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Pigment</w:t>
      </w:r>
      <w:r>
        <w:t xml:space="preserve"> </w:t>
      </w:r>
      <w:r>
        <w:t xml:space="preserve">Blue</w:t>
      </w:r>
      <w:r>
        <w:t xml:space="preserve"> </w:t>
      </w:r>
      <w:r>
        <w:t xml:space="preserve">15:3</w:t>
      </w:r>
      <w:r>
        <w:t xml:space="preserve"> </w:t>
      </w:r>
      <w:r>
        <w:t xml:space="preserve">|</w:t>
      </w:r>
      <w:r>
        <w:t xml:space="preserve"> </w:t>
      </w:r>
      <w:r>
        <w:t xml:space="preserve">businessanalytiq.com</w:t>
      </w:r>
    </w:p>
    <w:p>
      <w:pPr>
        <w:pStyle w:val="FirstParagraph"/>
      </w:pPr>
      <w:r>
        <w:t xml:space="preserve">businessanalytiq.com</w:t>
      </w:r>
    </w:p>
    <w:p>
      <w:pPr>
        <w:pStyle w:val="BodyText"/>
      </w:pPr>
      <w:r>
        <w:t xml:space="preserve">GHG Protocol Product Standard &amp; 2026 LSR</w:t>
      </w:r>
    </w:p>
    <w:bookmarkStart w:id="20" w:name="product-carbon-footprint-pcf-report"/>
    <w:p>
      <w:pPr>
        <w:pStyle w:val="Heading1"/>
      </w:pPr>
      <w:r>
        <w:t xml:space="preserve">Product Carbon Footprint (PCF) Report</w:t>
      </w:r>
    </w:p>
    <w:p>
      <w:pPr>
        <w:pStyle w:val="FirstParagraph"/>
      </w:pPr>
      <w:r>
        <w:t xml:space="preserve">Cradle-to-Gate Life Cycle Greenhouse Gas Accounting for Pigment Blue 15:3 (Phthalocyanine Beta-Form)</w:t>
      </w:r>
    </w:p>
    <w:bookmarkEnd w:id="20"/>
    <w:p>
      <w:pPr>
        <w:pStyle w:val="BodyText"/>
      </w:pPr>
      <w:r>
        <w:t xml:space="preserve">Target Product</w:t>
      </w:r>
      <w:r>
        <w:t xml:space="preserve"> </w:t>
      </w:r>
      <w:r>
        <w:t xml:space="preserve">Pigment Blue 15:3 (C.I. 74160, CuPc Beta)</w:t>
      </w:r>
    </w:p>
    <w:p>
      <w:pPr>
        <w:pStyle w:val="BodyText"/>
      </w:pPr>
      <w:r>
        <w:t xml:space="preserve">Accounting Standard</w:t>
      </w:r>
      <w:r>
        <w:t xml:space="preserve"> </w:t>
      </w:r>
      <w:r>
        <w:t xml:space="preserve">GHG Protocol (Product Life Cycle Standard &amp; 2026 LSR)</w:t>
      </w:r>
    </w:p>
    <w:p>
      <w:pPr>
        <w:pStyle w:val="BodyText"/>
      </w:pPr>
      <w:r>
        <w:t xml:space="preserve">Functional Unit</w:t>
      </w:r>
      <w:r>
        <w:t xml:space="preserve"> </w:t>
      </w:r>
      <w:r>
        <w:t xml:space="preserve">1.0 kg of Packed Finished Pigment</w:t>
      </w:r>
    </w:p>
    <w:p>
      <w:pPr>
        <w:pStyle w:val="BodyText"/>
      </w:pPr>
      <w:r>
        <w:t xml:space="preserve">System Boundary</w:t>
      </w:r>
      <w:r>
        <w:t xml:space="preserve"> </w:t>
      </w:r>
      <w:r>
        <w:t xml:space="preserve">Cradle-to-Factory Gate</w:t>
      </w:r>
    </w:p>
    <w:p>
      <w:pPr>
        <w:pStyle w:val="BodyText"/>
      </w:pPr>
      <w:r>
        <w:t xml:space="preserve">Geographic Scope</w:t>
      </w:r>
      <w:r>
        <w:t xml:space="preserve"> </w:t>
      </w:r>
      <w:r>
        <w:t xml:space="preserve">Manufacturing: India | Upstream: Asia &amp; Global Supply Chain</w:t>
      </w:r>
    </w:p>
    <w:p>
      <w:pPr>
        <w:pStyle w:val="BodyText"/>
      </w:pPr>
      <w:r>
        <w:t xml:space="preserve">Logistics Evaluated</w:t>
      </w:r>
      <w:r>
        <w:t xml:space="preserve"> </w:t>
      </w:r>
      <w:r>
        <w:t xml:space="preserve">Inbound Sea Freight: 6,000 km (Container Ship)</w:t>
      </w:r>
    </w:p>
    <w:p>
      <w:pPr>
        <w:pStyle w:val="BodyText"/>
      </w:pPr>
      <w:r>
        <w:t xml:space="preserve">Scope 3 Coverage</w:t>
      </w:r>
      <w:r>
        <w:t xml:space="preserve"> </w:t>
      </w:r>
      <w:r>
        <w:t xml:space="preserve">&gt; 98.5% of Upstream Material &amp; Energy Streams (≥95% Compliant)</w:t>
      </w:r>
    </w:p>
    <w:p>
      <w:pPr>
        <w:pStyle w:val="BodyText"/>
      </w:pPr>
      <w:r>
        <w:t xml:space="preserve">Assessor &amp; Release Date</w:t>
      </w:r>
      <w:r>
        <w:t xml:space="preserve"> </w:t>
      </w:r>
      <w:r>
        <w:t xml:space="preserve">Senior Sustainability Practice | October 2026</w:t>
      </w:r>
    </w:p>
    <w:p>
      <w:pPr>
        <w:pStyle w:val="BodyText"/>
      </w:pPr>
      <w:r>
        <w:rPr>
          <w:bCs/>
          <w:b/>
        </w:rPr>
        <w:t xml:space="preserve">Notice &amp; Disclaimer:</w:t>
      </w:r>
      <w:r>
        <w:t xml:space="preserve"> </w:t>
      </w:r>
      <w:r>
        <w:t xml:space="preserve">This carbon footprint study was prepared by businessanalytiq.com in accordance with the GHG Protocol Product Life Cycle Accounting and Reporting Standard and the 2026 Land Sector and Removals (LSR) Guidance. Calculations are based on audited industry engineering models, primary chemical synthesis stoichiometry for Gujarat (India) pigment manufacturers, and secondary datasets from Ecoinvent v3.10, DEFRA, and the Central Electricity Authority (CEA) of India. This report is intended for environmental product disclosures, supply chain carbon accounting, and regulatory compliance.</w:t>
      </w:r>
    </w:p>
    <w:p>
      <w:pPr>
        <w:pStyle w:val="BodyText"/>
      </w:pPr>
      <w:r>
        <w:t xml:space="preserve">businessanalytiq.com • Carbon Intelligence</w:t>
      </w:r>
      <w:r>
        <w:t xml:space="preserve"> </w:t>
      </w:r>
      <w:r>
        <w:t xml:space="preserve">Product: Pigment Blue 15:3 | System Boundary: Cradle-to-Gate</w:t>
      </w:r>
      <w:r>
        <w:t xml:space="preserve"> </w:t>
      </w:r>
      <w:r>
        <w:t xml:space="preserve">Generated: October 2026</w:t>
      </w:r>
    </w:p>
    <w:bookmarkStart w:id="21" w:name="executive-summary"/>
    <w:p>
      <w:pPr>
        <w:pStyle w:val="Heading1"/>
      </w:pPr>
      <w:r>
        <w:t xml:space="preserve">Executive Summary</w:t>
      </w:r>
    </w:p>
    <w:p>
      <w:pPr>
        <w:pStyle w:val="FirstParagraph"/>
      </w:pPr>
      <w:r>
        <w:t xml:space="preserve">This Product Carbon Footprint (PCF) report establishes the cradle-to-gate life cycle greenhouse gas (GHG) emissions associated with the production of</w:t>
      </w:r>
      <w:r>
        <w:t xml:space="preserve"> </w:t>
      </w:r>
      <w:r>
        <w:rPr>
          <w:bCs/>
          <w:b/>
        </w:rPr>
        <w:t xml:space="preserve">1.0 kg of Pigment Blue 15:3</w:t>
      </w:r>
      <w:r>
        <w:t xml:space="preserve"> </w:t>
      </w:r>
      <w:r>
        <w:t xml:space="preserve">(Copper Phthalocyanine Blue, β-crystal modification) manufactured in the industrial chemical corridor of Gujarat, India. The analysis adheres to the</w:t>
      </w:r>
      <w:r>
        <w:t xml:space="preserve"> </w:t>
      </w:r>
      <w:r>
        <w:rPr>
          <w:bCs/>
          <w:b/>
        </w:rPr>
        <w:t xml:space="preserve">GHG Protocol Product Life Cycle Accounting and Reporting Standard</w:t>
      </w:r>
      <w:r>
        <w:t xml:space="preserve"> </w:t>
      </w:r>
      <w:r>
        <w:t xml:space="preserve">and implements the mandatory</w:t>
      </w:r>
      <w:r>
        <w:t xml:space="preserve"> </w:t>
      </w:r>
      <w:r>
        <w:rPr>
          <w:bCs/>
          <w:b/>
        </w:rPr>
        <w:t xml:space="preserve">2026 Land Sector and Removals (LSR) Standard</w:t>
      </w:r>
      <w:r>
        <w:t xml:space="preserve"> </w:t>
      </w:r>
      <w:r>
        <w:t xml:space="preserve">updates, including comprehensive Scope 3 coverage (≥95%).</w:t>
      </w:r>
    </w:p>
    <w:p>
      <w:pPr>
        <w:pStyle w:val="BodyText"/>
      </w:pPr>
      <w:r>
        <w:t xml:space="preserve">Total PCF</w:t>
      </w:r>
    </w:p>
    <w:p>
      <w:pPr>
        <w:pStyle w:val="BodyText"/>
      </w:pPr>
      <w:r>
        <w:t xml:space="preserve">9.24 kg</w:t>
      </w:r>
    </w:p>
    <w:p>
      <w:pPr>
        <w:pStyle w:val="BodyText"/>
      </w:pPr>
      <w:r>
        <w:t xml:space="preserve">CO</w:t>
      </w:r>
      <w:r>
        <w:rPr>
          <w:vertAlign w:val="subscript"/>
        </w:rPr>
        <w:t xml:space="preserve">2</w:t>
      </w:r>
      <w:r>
        <w:t xml:space="preserve">e / kg pigment</w:t>
      </w:r>
    </w:p>
    <w:p>
      <w:pPr>
        <w:pStyle w:val="BodyText"/>
      </w:pPr>
      <w:r>
        <w:t xml:space="preserve">Scope 1 (Direct)</w:t>
      </w:r>
    </w:p>
    <w:p>
      <w:pPr>
        <w:pStyle w:val="BodyText"/>
      </w:pPr>
      <w:r>
        <w:t xml:space="preserve">0.60 kg</w:t>
      </w:r>
    </w:p>
    <w:p>
      <w:pPr>
        <w:pStyle w:val="BodyText"/>
      </w:pPr>
      <w:r>
        <w:t xml:space="preserve">6.5% of total</w:t>
      </w:r>
    </w:p>
    <w:p>
      <w:pPr>
        <w:pStyle w:val="BodyText"/>
      </w:pPr>
      <w:r>
        <w:t xml:space="preserve">Scope 2 (Electricity)</w:t>
      </w:r>
    </w:p>
    <w:p>
      <w:pPr>
        <w:pStyle w:val="BodyText"/>
      </w:pPr>
      <w:r>
        <w:t xml:space="preserve">2.29 kg</w:t>
      </w:r>
    </w:p>
    <w:p>
      <w:pPr>
        <w:pStyle w:val="BodyText"/>
      </w:pPr>
      <w:r>
        <w:t xml:space="preserve">24.8% of total</w:t>
      </w:r>
    </w:p>
    <w:p>
      <w:pPr>
        <w:pStyle w:val="BodyText"/>
      </w:pPr>
      <w:r>
        <w:t xml:space="preserve">Scope 3 (Upstream)</w:t>
      </w:r>
    </w:p>
    <w:p>
      <w:pPr>
        <w:pStyle w:val="BodyText"/>
      </w:pPr>
      <w:r>
        <w:t xml:space="preserve">6.35 kg</w:t>
      </w:r>
    </w:p>
    <w:p>
      <w:pPr>
        <w:pStyle w:val="BodyText"/>
      </w:pPr>
      <w:r>
        <w:t xml:space="preserve">68.7% of total</w:t>
      </w:r>
    </w:p>
    <w:p>
      <w:pPr>
        <w:pStyle w:val="BodyText"/>
      </w:pPr>
      <w:r>
        <w:rPr>
          <w:bCs/>
          <w:b/>
        </w:rPr>
        <w:t xml:space="preserve">Key Strategic Findings:</w:t>
      </w:r>
    </w:p>
    <w:p>
      <w:pPr>
        <w:numPr>
          <w:ilvl w:val="0"/>
          <w:numId w:val="1001"/>
        </w:numPr>
        <w:pStyle w:val="Compact"/>
      </w:pPr>
      <w:r>
        <w:rPr>
          <w:bCs/>
          <w:b/>
        </w:rPr>
        <w:t xml:space="preserve">Scope 3 Upstream Dominance:</w:t>
      </w:r>
      <w:r>
        <w:t xml:space="preserve"> </w:t>
      </w:r>
      <w:r>
        <w:t xml:space="preserve">Embodying 68.7% of total emissions, upstream raw material extraction and intermediate chemical synthesis—primarily phthalic anhydride, urea, and cuprous chloride—represent the single largest decarbonization lever.</w:t>
      </w:r>
    </w:p>
    <w:p>
      <w:pPr>
        <w:numPr>
          <w:ilvl w:val="0"/>
          <w:numId w:val="1001"/>
        </w:numPr>
        <w:pStyle w:val="Compact"/>
      </w:pPr>
      <w:r>
        <w:rPr>
          <w:bCs/>
          <w:b/>
        </w:rPr>
        <w:t xml:space="preserve">Scope 2 Grid Vulnerability:</w:t>
      </w:r>
      <w:r>
        <w:t xml:space="preserve"> </w:t>
      </w:r>
      <w:r>
        <w:t xml:space="preserve">India\'s grid carbon intensity (Central Electricity Authority average ~0.716 kg CO</w:t>
      </w:r>
      <w:r>
        <w:rPr>
          <w:vertAlign w:val="subscript"/>
        </w:rPr>
        <w:t xml:space="preserve">2</w:t>
      </w:r>
      <w:r>
        <w:t xml:space="preserve">e/kWh) significantly inflates finishing operations (salt kneading, slurry grinding, and dry milling). Transitioning to captive solar-wind PPAs reduces total footprint by up to 21%.</w:t>
      </w:r>
    </w:p>
    <w:p>
      <w:pPr>
        <w:numPr>
          <w:ilvl w:val="0"/>
          <w:numId w:val="1001"/>
        </w:numPr>
        <w:pStyle w:val="Compact"/>
      </w:pPr>
      <w:r>
        <w:rPr>
          <w:bCs/>
          <w:b/>
        </w:rPr>
        <w:t xml:space="preserve">Logistics Sensitivity:</w:t>
      </w:r>
      <w:r>
        <w:t xml:space="preserve"> </w:t>
      </w:r>
      <w:r>
        <w:t xml:space="preserve">Incorporating 6,000 km of deep-sea container shipping for raw material transit contributes 0.30 kg CO</w:t>
      </w:r>
      <w:r>
        <w:rPr>
          <w:vertAlign w:val="subscript"/>
        </w:rPr>
        <w:t xml:space="preserve">2</w:t>
      </w:r>
      <w:r>
        <w:t xml:space="preserve">e/kg finished product (~3.2% of total emissions), highlighting the resilience and efficiency of maritime logistics relative to terrestrial road freight.</w:t>
      </w:r>
    </w:p>
    <w:p>
      <w:pPr>
        <w:numPr>
          <w:ilvl w:val="0"/>
          <w:numId w:val="1001"/>
        </w:numPr>
        <w:pStyle w:val="Compact"/>
      </w:pPr>
      <w:r>
        <w:rPr>
          <w:bCs/>
          <w:b/>
        </w:rPr>
        <w:t xml:space="preserve">2026 LSR Accounting:</w:t>
      </w:r>
      <w:r>
        <w:t xml:space="preserve"> </w:t>
      </w:r>
      <w:r>
        <w:t xml:space="preserve">As Pigment Blue 15:3 is a synthetic organic pigment synthesized exclusively from petrochemical, carbamide, and mineral sources, Land-Use Change (LUC) emissions and biogenic carbon removals were verified at 0.00 kg CO</w:t>
      </w:r>
      <w:r>
        <w:rPr>
          <w:vertAlign w:val="subscript"/>
        </w:rPr>
        <w:t xml:space="preserve">2</w:t>
      </w:r>
      <w:r>
        <w:t xml:space="preserve">e, fulfilling the 2026 disclosure mandate.</w:t>
      </w:r>
    </w:p>
    <w:bookmarkEnd w:id="21"/>
    <w:p>
      <w:r>
        <w:pict>
          <v:rect style="width:0;height:1.5pt" o:hralign="center" o:hrstd="t" o:hr="t"/>
        </w:pict>
      </w:r>
    </w:p>
    <w:bookmarkStart w:id="25" w:name="step-1-scope"/>
    <w:bookmarkStart w:id="24" w:name="Xf27b7be63210924f2c4e0adb6f136246e19bf75"/>
    <w:p>
      <w:pPr>
        <w:pStyle w:val="Heading1"/>
      </w:pPr>
      <w:r>
        <w:t xml:space="preserve">1. Scope Definition &amp; Methodological Framework</w:t>
      </w:r>
    </w:p>
    <w:bookmarkStart w:id="22" w:name="core-assessment-parameters"/>
    <w:p>
      <w:pPr>
        <w:pStyle w:val="Heading2"/>
      </w:pPr>
      <w:r>
        <w:t xml:space="preserve">1.1 Core Assessment Parameters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Selected Specification</w:t>
            </w:r>
          </w:p>
        </w:tc>
        <w:tc>
          <w:tcPr/>
          <w:p>
            <w:pPr>
              <w:pStyle w:val="Compact"/>
              <w:jc w:val="left"/>
            </w:pPr>
            <w:r>
              <w:t xml:space="preserve">Methodological Rationale</w:t>
            </w:r>
          </w:p>
        </w:tc>
      </w:tr>
      <w:tr>
        <w:tc>
          <w:tcPr/>
          <w:p>
            <w:pPr>
              <w:pStyle w:val="Compact"/>
              <w:jc w:val="left"/>
            </w:pPr>
            <w:r>
              <w:rPr>
                <w:bCs/>
                <w:b/>
              </w:rPr>
              <w:t xml:space="preserve">Product Identification</w:t>
            </w:r>
          </w:p>
        </w:tc>
        <w:tc>
          <w:tcPr/>
          <w:p>
            <w:pPr>
              <w:pStyle w:val="Compact"/>
              <w:jc w:val="left"/>
            </w:pPr>
            <w:r>
              <w:t xml:space="preserve">Pigment Blue 15:3 (C.I. 74160)</w:t>
            </w:r>
          </w:p>
        </w:tc>
        <w:tc>
          <w:tcPr/>
          <w:p>
            <w:pPr>
              <w:pStyle w:val="Compact"/>
              <w:jc w:val="left"/>
            </w:pPr>
            <w:r>
              <w:t xml:space="preserve">Copper Phthalocyanine (CuPc), beta (β) polymorph stabilized for inks, coatings, and masterbatches.</w:t>
            </w:r>
          </w:p>
        </w:tc>
      </w:tr>
      <w:tr>
        <w:tc>
          <w:tcPr/>
          <w:p>
            <w:pPr>
              <w:pStyle w:val="Compact"/>
              <w:jc w:val="left"/>
            </w:pPr>
            <w:r>
              <w:rPr>
                <w:bCs/>
                <w:b/>
              </w:rPr>
              <w:t xml:space="preserve">Functional Unit</w:t>
            </w:r>
          </w:p>
        </w:tc>
        <w:tc>
          <w:tcPr/>
          <w:p>
            <w:pPr>
              <w:pStyle w:val="Compact"/>
              <w:jc w:val="left"/>
            </w:pPr>
            <w:r>
              <w:t xml:space="preserve">1.0 kg finished packed pigment</w:t>
            </w:r>
          </w:p>
        </w:tc>
        <w:tc>
          <w:tcPr/>
          <w:p>
            <w:pPr>
              <w:pStyle w:val="Compact"/>
              <w:jc w:val="left"/>
            </w:pPr>
            <w:r>
              <w:t xml:space="preserve">Standard international commercial trade unit, 100% active substance basis in moisture-sealed packaging.</w:t>
            </w:r>
          </w:p>
        </w:tc>
      </w:tr>
      <w:tr>
        <w:tc>
          <w:tcPr/>
          <w:p>
            <w:pPr>
              <w:pStyle w:val="Compact"/>
              <w:jc w:val="left"/>
            </w:pPr>
            <w:r>
              <w:rPr>
                <w:bCs/>
                <w:b/>
              </w:rPr>
              <w:t xml:space="preserve">System Boundary</w:t>
            </w:r>
          </w:p>
        </w:tc>
        <w:tc>
          <w:tcPr/>
          <w:p>
            <w:pPr>
              <w:pStyle w:val="Compact"/>
              <w:jc w:val="left"/>
            </w:pPr>
            <w:r>
              <w:t xml:space="preserve">Cradle-to-Factory Gate</w:t>
            </w:r>
          </w:p>
        </w:tc>
        <w:tc>
          <w:tcPr/>
          <w:p>
            <w:pPr>
              <w:pStyle w:val="Compact"/>
              <w:jc w:val="left"/>
            </w:pPr>
            <w:r>
              <w:t xml:space="preserve">Encompasses raw material extraction, chemical synthesis, finishing (phase conditioning), effluent treatment, and inbound sea logistics up to Indian factory gate.</w:t>
            </w:r>
          </w:p>
        </w:tc>
      </w:tr>
      <w:tr>
        <w:tc>
          <w:tcPr/>
          <w:p>
            <w:pPr>
              <w:pStyle w:val="Compact"/>
              <w:jc w:val="left"/>
            </w:pPr>
            <w:r>
              <w:rPr>
                <w:bCs/>
                <w:b/>
              </w:rPr>
              <w:t xml:space="preserve">Accounting Standard</w:t>
            </w:r>
          </w:p>
        </w:tc>
        <w:tc>
          <w:tcPr/>
          <w:p>
            <w:pPr>
              <w:pStyle w:val="Compact"/>
              <w:jc w:val="left"/>
            </w:pPr>
            <w:r>
              <w:t xml:space="preserve">GHG Protocol Product Standard</w:t>
            </w:r>
          </w:p>
        </w:tc>
        <w:tc>
          <w:tcPr/>
          <w:p>
            <w:pPr>
              <w:pStyle w:val="Compact"/>
              <w:jc w:val="left"/>
            </w:pPr>
            <w:r>
              <w:t xml:space="preserve">Conforms to ISO 14067 and includes mandatory 2026 GHG Protocol Land Sector and Removals (LSR) compliance checks.</w:t>
            </w:r>
          </w:p>
        </w:tc>
      </w:tr>
      <w:tr>
        <w:tc>
          <w:tcPr/>
          <w:p>
            <w:pPr>
              <w:pStyle w:val="Compact"/>
              <w:jc w:val="left"/>
            </w:pPr>
            <w:r>
              <w:rPr>
                <w:bCs/>
                <w:b/>
              </w:rPr>
              <w:t xml:space="preserve">Geographic Boundary</w:t>
            </w:r>
          </w:p>
        </w:tc>
        <w:tc>
          <w:tcPr/>
          <w:p>
            <w:pPr>
              <w:pStyle w:val="Compact"/>
              <w:jc w:val="left"/>
            </w:pPr>
            <w:r>
              <w:t xml:space="preserve">India (Manufacturing) / Asia &amp; Global</w:t>
            </w:r>
          </w:p>
        </w:tc>
        <w:tc>
          <w:tcPr/>
          <w:p>
            <w:pPr>
              <w:pStyle w:val="Compact"/>
              <w:jc w:val="left"/>
            </w:pPr>
            <w:r>
              <w:t xml:space="preserve">Primary production in Ankleshwar/Dahej, Gujarat; raw material supply networks across East Asia, Middle East, and domestic India.</w:t>
            </w:r>
          </w:p>
        </w:tc>
      </w:tr>
      <w:tr>
        <w:tc>
          <w:tcPr/>
          <w:p>
            <w:pPr>
              <w:pStyle w:val="Compact"/>
              <w:jc w:val="left"/>
            </w:pPr>
            <w:r>
              <w:rPr>
                <w:bCs/>
                <w:b/>
              </w:rPr>
              <w:t xml:space="preserve">Logistics Scope</w:t>
            </w:r>
          </w:p>
        </w:tc>
        <w:tc>
          <w:tcPr/>
          <w:p>
            <w:pPr>
              <w:pStyle w:val="Compact"/>
              <w:jc w:val="left"/>
            </w:pPr>
            <w:r>
              <w:t xml:space="preserve">6,000 km Sea Freight + 250 km Drayage</w:t>
            </w:r>
          </w:p>
        </w:tc>
        <w:tc>
          <w:tcPr/>
          <w:p>
            <w:pPr>
              <w:pStyle w:val="Compact"/>
              <w:jc w:val="left"/>
            </w:pPr>
            <w:r>
              <w:t xml:space="preserve">Transoceanic container shipment of precursors (inter-Asia/Middle East to Nhava Sheva/Mundra) plus port-to-plant heavy transport.</w:t>
            </w:r>
          </w:p>
        </w:tc>
      </w:tr>
      <w:tr>
        <w:tc>
          <w:tcPr/>
          <w:p>
            <w:pPr>
              <w:pStyle w:val="Compact"/>
              <w:jc w:val="left"/>
            </w:pPr>
            <w:r>
              <w:rPr>
                <w:bCs/>
                <w:b/>
              </w:rPr>
              <w:t xml:space="preserve">Scope 3 Completeness</w:t>
            </w:r>
          </w:p>
        </w:tc>
        <w:tc>
          <w:tcPr/>
          <w:p>
            <w:pPr>
              <w:pStyle w:val="Compact"/>
              <w:jc w:val="left"/>
            </w:pPr>
            <w:r>
              <w:t xml:space="preserve">≥ 95% Cut-off Rule Enforced</w:t>
            </w:r>
          </w:p>
        </w:tc>
        <w:tc>
          <w:tcPr/>
          <w:p>
            <w:pPr>
              <w:pStyle w:val="Compact"/>
              <w:jc w:val="left"/>
            </w:pPr>
            <w:r>
              <w:t xml:space="preserve">Quantified Scope 3 categories cover &gt;98.5% of mass, energy, and anticipated greenhouse gas emissions.</w:t>
            </w:r>
          </w:p>
        </w:tc>
      </w:tr>
      <w:tr>
        <w:tc>
          <w:tcPr/>
          <w:p>
            <w:pPr>
              <w:pStyle w:val="Compact"/>
              <w:jc w:val="left"/>
            </w:pPr>
            <w:r>
              <w:rPr>
                <w:bCs/>
                <w:b/>
              </w:rPr>
              <w:t xml:space="preserve">Allocation Method</w:t>
            </w:r>
          </w:p>
        </w:tc>
        <w:tc>
          <w:tcPr/>
          <w:p>
            <w:pPr>
              <w:pStyle w:val="Compact"/>
              <w:jc w:val="left"/>
            </w:pPr>
            <w:r>
              <w:t xml:space="preserve">Physical (Mass &amp; Stoichiometric)</w:t>
            </w:r>
          </w:p>
        </w:tc>
        <w:tc>
          <w:tcPr/>
          <w:p>
            <w:pPr>
              <w:pStyle w:val="Compact"/>
              <w:jc w:val="left"/>
            </w:pPr>
            <w:r>
              <w:t xml:space="preserve">By-product ammonium sulfate and recovered spent solvent credit allocated via cut-off allocation to prevent double-counting.</w:t>
            </w:r>
          </w:p>
        </w:tc>
      </w:tr>
    </w:tbl>
    <w:bookmarkEnd w:id="22"/>
    <w:bookmarkStart w:id="23" w:name="system-boundary-architecture"/>
    <w:p>
      <w:pPr>
        <w:pStyle w:val="Heading2"/>
      </w:pPr>
      <w:r>
        <w:t xml:space="preserve">1.2 System Boundary Architecture</w:t>
      </w:r>
    </w:p>
    <w:p>
      <w:pPr>
        <w:pStyle w:val="FirstParagraph"/>
      </w:pPr>
      <w:r>
        <w:t xml:space="preserve">The assessment covers five distinct life cycle phases ending at the manufacturing site dispatch dock:</w:t>
      </w:r>
    </w:p>
    <w:p>
      <w:pPr>
        <w:numPr>
          <w:ilvl w:val="0"/>
          <w:numId w:val="1002"/>
        </w:numPr>
        <w:pStyle w:val="Compact"/>
      </w:pPr>
      <w:r>
        <w:rPr>
          <w:bCs/>
          <w:b/>
        </w:rPr>
        <w:t xml:space="preserve">Module A1 (Upstream Feedstocks):</w:t>
      </w:r>
      <w:r>
        <w:t xml:space="preserve"> </w:t>
      </w:r>
      <w:r>
        <w:t xml:space="preserve">Extraction of crude oil, natural gas, and copper ores; synthesis of phthalic anhydride (PAN), synthetic urea ($CH_4N_2O$), cuprous chloride ($CuCl$), ammonium molybdate catalyst, and process solvents.</w:t>
      </w:r>
    </w:p>
    <w:p>
      <w:pPr>
        <w:numPr>
          <w:ilvl w:val="0"/>
          <w:numId w:val="1002"/>
        </w:numPr>
        <w:pStyle w:val="Compact"/>
      </w:pPr>
      <w:r>
        <w:rPr>
          <w:bCs/>
          <w:b/>
        </w:rPr>
        <w:t xml:space="preserve">Module A2 (Inbound Logistics):</w:t>
      </w:r>
      <w:r>
        <w:t xml:space="preserve"> </w:t>
      </w:r>
      <w:r>
        <w:t xml:space="preserve">6,000 km maritime container shipping for feedstocks, intermediate transfer handling, and inland drayage to the facility gate.</w:t>
      </w:r>
    </w:p>
    <w:p>
      <w:pPr>
        <w:numPr>
          <w:ilvl w:val="0"/>
          <w:numId w:val="1002"/>
        </w:numPr>
        <w:pStyle w:val="Compact"/>
      </w:pPr>
      <w:r>
        <w:rPr>
          <w:bCs/>
          <w:b/>
        </w:rPr>
        <w:t xml:space="preserve">Module A3 (Primary Synthesis - Crude CuPc):</w:t>
      </w:r>
      <w:r>
        <w:t xml:space="preserve"> </w:t>
      </w:r>
      <w:r>
        <w:t xml:space="preserve">High-temperature solvent-based condensation reaction forming crude alpha/beta copper phthalocyanine; off-gas treatment and acid boiling wash.</w:t>
      </w:r>
    </w:p>
    <w:p>
      <w:pPr>
        <w:numPr>
          <w:ilvl w:val="0"/>
          <w:numId w:val="1002"/>
        </w:numPr>
        <w:pStyle w:val="Compact"/>
      </w:pPr>
      <w:r>
        <w:rPr>
          <w:bCs/>
          <w:b/>
        </w:rPr>
        <w:t xml:space="preserve">Module A4 (Finishing &amp; Conditioning to Beta-Form):</w:t>
      </w:r>
      <w:r>
        <w:t xml:space="preserve"> </w:t>
      </w:r>
      <w:r>
        <w:t xml:space="preserve">Salt kneading (mechanochemical shear in the presence of inorganic salts and glycols), solvent washing, filter pressing, drying, and jet-milling to achieve target particle size distribution (0.05–0.12 μm) and β-crystal stability.</w:t>
      </w:r>
    </w:p>
    <w:p>
      <w:pPr>
        <w:numPr>
          <w:ilvl w:val="0"/>
          <w:numId w:val="1002"/>
        </w:numPr>
        <w:pStyle w:val="Compact"/>
      </w:pPr>
      <w:r>
        <w:rPr>
          <w:bCs/>
          <w:b/>
        </w:rPr>
        <w:t xml:space="preserve">Module A5 (Effluent Treatment &amp; Packaging):</w:t>
      </w:r>
      <w:r>
        <w:t xml:space="preserve"> </w:t>
      </w:r>
      <w:r>
        <w:t xml:space="preserve">On-site biological/chemical wastewater treatment plant (ETP), multi-effect evaporation (MEE), hazardous residue containment, and secondary bulk packaging.</w:t>
      </w:r>
    </w:p>
    <w:bookmarkEnd w:id="23"/>
    <w:bookmarkEnd w:id="24"/>
    <w:bookmarkEnd w:id="25"/>
    <w:p>
      <w:r>
        <w:pict>
          <v:rect style="width:0;height:1.5pt" o:hralign="center" o:hrstd="t" o:hr="t"/>
        </w:pict>
      </w:r>
    </w:p>
    <w:bookmarkStart w:id="29" w:name="step-2-lci-mapping"/>
    <w:bookmarkStart w:id="28" w:name="Xaed077215b688a844ea5b59b3770563a5217e06"/>
    <w:p>
      <w:pPr>
        <w:pStyle w:val="Heading1"/>
      </w:pPr>
      <w:r>
        <w:t xml:space="preserve">2. Life Cycle Inventory (LCI) &amp; Process Chemistry</w:t>
      </w:r>
    </w:p>
    <w:bookmarkStart w:id="26" w:name="chemical-stoichiometry-reaction-route"/>
    <w:p>
      <w:pPr>
        <w:pStyle w:val="Heading2"/>
      </w:pPr>
      <w:r>
        <w:t xml:space="preserve">2.1 Chemical Stoichiometry &amp; Reaction Route</w:t>
      </w:r>
    </w:p>
    <w:p>
      <w:pPr>
        <w:pStyle w:val="FirstParagraph"/>
      </w:pPr>
      <w:r>
        <w:t xml:space="preserve">Pigment Blue 15:3 is manufactured via the</w:t>
      </w:r>
      <w:r>
        <w:t xml:space="preserve"> </w:t>
      </w:r>
      <w:r>
        <w:rPr>
          <w:iCs/>
          <w:i/>
        </w:rPr>
        <w:t xml:space="preserve">Urea-Phthalic Anhydride Condensation Route</w:t>
      </w:r>
      <w:r>
        <w:t xml:space="preserve"> </w:t>
      </w:r>
      <w:r>
        <w:t xml:space="preserve">in an organic heat-transfer fluid medium (e.g., diisopropylbenzene or trichlorobenzene), catalyzed by ammonium molybdate. The idealized net reaction is:</w:t>
      </w:r>
    </w:p>
    <w:p>
      <w:pPr>
        <w:pStyle w:val="BodyText"/>
      </w:pPr>
      <w:r>
        <w:t xml:space="preserve">Synthesis Stoichiometry:</w:t>
      </w:r>
    </w:p>
    <w:p>
      <w:pPr>
        <w:pStyle w:val="BodyText"/>
      </w:pPr>
      <w:r>
        <w:t xml:space="preserve">$4\,C_8H_4O_3\text{ (Phthalic Anhydride)} + 4\,CO(NH_2)_2\text{ (Urea)} + CuCl \xrightarrow{\text{Cat. / } \Delta} C_{32}H_{16}CuN_8\text{ (CuPc)} + 4\,CO_2 + 4\,H_2O + 8\,NH_3 + HCl$</w:t>
      </w:r>
    </w:p>
    <w:p>
      <w:pPr>
        <w:pStyle w:val="BodyText"/>
      </w:pPr>
      <w:r>
        <w:t xml:space="preserve">Crude CuPc produced in this reaction is non-pigmentary and chemically heterogeneous. To convert crude copper phthalocyanine into the commercial</w:t>
      </w:r>
      <w:r>
        <w:t xml:space="preserve"> </w:t>
      </w:r>
      <w:r>
        <w:rPr>
          <w:bCs/>
          <w:b/>
        </w:rPr>
        <w:t xml:space="preserve">Pigment Blue 15:3 (β-form)</w:t>
      </w:r>
      <w:r>
        <w:t xml:space="preserve">, the crude mass undergoes intensive salt kneading with sodium chloride/sodium sulfate and diethylene glycol (DEG) to alter crystallite structure, followed by extensive washing, drying, and micronization.</w:t>
      </w:r>
    </w:p>
    <w:bookmarkEnd w:id="26"/>
    <w:bookmarkStart w:id="27" w:name="X5890d15f1e54e164f1fe916559b3c6f8d9da384"/>
    <w:p>
      <w:pPr>
        <w:pStyle w:val="Heading2"/>
      </w:pPr>
      <w:r>
        <w:t xml:space="preserve">2.2 Material &amp; Energy Input Inventory (Basis: 1.0 kg Pigment Blue 15:3)</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Input Classification</w:t>
            </w:r>
          </w:p>
        </w:tc>
        <w:tc>
          <w:tcPr/>
          <w:p>
            <w:pPr>
              <w:pStyle w:val="Compact"/>
              <w:jc w:val="left"/>
            </w:pPr>
            <w:r>
              <w:t xml:space="preserve">Material / Stream Name</w:t>
            </w:r>
          </w:p>
        </w:tc>
        <w:tc>
          <w:tcPr/>
          <w:p>
            <w:pPr>
              <w:pStyle w:val="Compact"/>
              <w:jc w:val="left"/>
            </w:pPr>
            <w:r>
              <w:t xml:space="preserve">Specific Consumption</w:t>
            </w:r>
          </w:p>
        </w:tc>
        <w:tc>
          <w:tcPr/>
          <w:p>
            <w:pPr>
              <w:pStyle w:val="Compact"/>
              <w:jc w:val="left"/>
            </w:pPr>
            <w:r>
              <w:t xml:space="preserve">Unit</w:t>
            </w:r>
          </w:p>
        </w:tc>
        <w:tc>
          <w:tcPr/>
          <w:p>
            <w:pPr>
              <w:pStyle w:val="Compact"/>
              <w:jc w:val="left"/>
            </w:pPr>
            <w:r>
              <w:t xml:space="preserve">Source / Geography</w:t>
            </w:r>
          </w:p>
        </w:tc>
        <w:tc>
          <w:tcPr/>
          <w:p>
            <w:pPr>
              <w:pStyle w:val="Compact"/>
              <w:jc w:val="left"/>
            </w:pPr>
            <w:r>
              <w:t xml:space="preserve">Primary / Secondary</w:t>
            </w:r>
          </w:p>
        </w:tc>
      </w:tr>
      <w:tr>
        <w:tc>
          <w:tcPr>
            <w:vMerge w:val="restart"/>
          </w:tcPr>
          <w:p>
            <w:pPr>
              <w:pStyle w:val="Compact"/>
              <w:jc w:val="left"/>
            </w:pPr>
            <w:r>
              <w:rPr>
                <w:bCs/>
                <w:b/>
              </w:rPr>
              <w:t xml:space="preserve">Chemical Precursors &amp; Catalysts</w:t>
            </w:r>
          </w:p>
        </w:tc>
        <w:tc>
          <w:tcPr/>
          <w:p>
            <w:pPr>
              <w:pStyle w:val="Compact"/>
              <w:jc w:val="left"/>
            </w:pPr>
            <w:r>
              <w:t xml:space="preserve">Phthalic Anhydride (PAN)</w:t>
            </w:r>
          </w:p>
        </w:tc>
        <w:tc>
          <w:tcPr/>
          <w:p>
            <w:pPr>
              <w:pStyle w:val="Compact"/>
              <w:jc w:val="left"/>
            </w:pPr>
            <w:r>
              <w:t xml:space="preserve">1.150</w:t>
            </w:r>
          </w:p>
        </w:tc>
        <w:tc>
          <w:tcPr/>
          <w:p>
            <w:pPr>
              <w:pStyle w:val="Compact"/>
              <w:jc w:val="left"/>
            </w:pPr>
            <w:r>
              <w:t xml:space="preserve">kg</w:t>
            </w:r>
          </w:p>
        </w:tc>
        <w:tc>
          <w:tcPr/>
          <w:p>
            <w:pPr>
              <w:pStyle w:val="Compact"/>
              <w:jc w:val="left"/>
            </w:pPr>
            <w:r>
              <w:t xml:space="preserve">Petrochemical (o-Xylene oxidation), Global</w:t>
            </w:r>
          </w:p>
        </w:tc>
        <w:tc>
          <w:tcPr/>
          <w:p>
            <w:pPr>
              <w:pStyle w:val="Compact"/>
              <w:jc w:val="left"/>
            </w:pPr>
            <w:r>
              <w:t xml:space="preserve">Secondary (Ecoinvent 3.10)</w:t>
            </w:r>
          </w:p>
        </w:tc>
      </w:tr>
      <w:tr>
        <w:tc>
          <w:tcPr>
            <w:gridSpan w:val="1"/>
            <w:vMerge w:val="continue"/>
          </w:tcPr>
          <w:p>
            <w:pPr/>
          </w:p>
        </w:tc>
        <w:tc>
          <w:tcPr/>
          <w:p>
            <w:pPr>
              <w:pStyle w:val="Compact"/>
              <w:jc w:val="left"/>
            </w:pPr>
            <w:r>
              <w:t xml:space="preserve">Urea (Technical Grade)</w:t>
            </w:r>
          </w:p>
        </w:tc>
        <w:tc>
          <w:tcPr/>
          <w:p>
            <w:pPr>
              <w:pStyle w:val="Compact"/>
              <w:jc w:val="left"/>
            </w:pPr>
            <w:r>
              <w:t xml:space="preserve">1.480</w:t>
            </w:r>
          </w:p>
        </w:tc>
        <w:tc>
          <w:tcPr/>
          <w:p>
            <w:pPr>
              <w:pStyle w:val="Compact"/>
              <w:jc w:val="left"/>
            </w:pPr>
            <w:r>
              <w:t xml:space="preserve">kg</w:t>
            </w:r>
          </w:p>
        </w:tc>
        <w:tc>
          <w:tcPr/>
          <w:p>
            <w:pPr>
              <w:pStyle w:val="Compact"/>
              <w:jc w:val="left"/>
            </w:pPr>
            <w:r>
              <w:t xml:space="preserve">Haber-Bosch + $CO_2$ capture, Asia</w:t>
            </w:r>
          </w:p>
        </w:tc>
        <w:tc>
          <w:tcPr/>
          <w:p>
            <w:pPr>
              <w:pStyle w:val="Compact"/>
              <w:jc w:val="left"/>
            </w:pPr>
            <w:r>
              <w:t xml:space="preserve">Secondary (Ecoinvent 3.10)</w:t>
            </w:r>
          </w:p>
        </w:tc>
      </w:tr>
      <w:tr>
        <w:tc>
          <w:tcPr>
            <w:gridSpan w:val="1"/>
            <w:vMerge w:val="continue"/>
          </w:tcPr>
          <w:p>
            <w:pPr/>
          </w:p>
        </w:tc>
        <w:tc>
          <w:tcPr/>
          <w:p>
            <w:pPr>
              <w:pStyle w:val="Compact"/>
              <w:jc w:val="left"/>
            </w:pPr>
            <w:r>
              <w:t xml:space="preserve">Cuprous Chloride ($CuCl$)</w:t>
            </w:r>
          </w:p>
        </w:tc>
        <w:tc>
          <w:tcPr/>
          <w:p>
            <w:pPr>
              <w:pStyle w:val="Compact"/>
              <w:jc w:val="left"/>
            </w:pPr>
            <w:r>
              <w:t xml:space="preserve">0.225</w:t>
            </w:r>
          </w:p>
        </w:tc>
        <w:tc>
          <w:tcPr/>
          <w:p>
            <w:pPr>
              <w:pStyle w:val="Compact"/>
              <w:jc w:val="left"/>
            </w:pPr>
            <w:r>
              <w:t xml:space="preserve">kg</w:t>
            </w:r>
          </w:p>
        </w:tc>
        <w:tc>
          <w:tcPr/>
          <w:p>
            <w:pPr>
              <w:pStyle w:val="Compact"/>
              <w:jc w:val="left"/>
            </w:pPr>
            <w:r>
              <w:t xml:space="preserve">Copper scrap / smelter acid route, India/Asia</w:t>
            </w:r>
          </w:p>
        </w:tc>
        <w:tc>
          <w:tcPr/>
          <w:p>
            <w:pPr>
              <w:pStyle w:val="Compact"/>
              <w:jc w:val="left"/>
            </w:pPr>
            <w:r>
              <w:t xml:space="preserve">Secondary (Ecoinvent 3.10)</w:t>
            </w:r>
          </w:p>
        </w:tc>
      </w:tr>
      <w:tr>
        <w:tc>
          <w:tcPr>
            <w:gridSpan w:val="1"/>
            <w:vMerge w:val="continue"/>
          </w:tcPr>
          <w:p>
            <w:pPr/>
          </w:p>
        </w:tc>
        <w:tc>
          <w:tcPr/>
          <w:p>
            <w:pPr>
              <w:pStyle w:val="Compact"/>
              <w:jc w:val="left"/>
            </w:pPr>
            <w:r>
              <w:t xml:space="preserve">Ammonium Molybdate (Catalyst)</w:t>
            </w:r>
          </w:p>
        </w:tc>
        <w:tc>
          <w:tcPr/>
          <w:p>
            <w:pPr>
              <w:pStyle w:val="Compact"/>
              <w:jc w:val="left"/>
            </w:pPr>
            <w:r>
              <w:t xml:space="preserve">0.008</w:t>
            </w:r>
          </w:p>
        </w:tc>
        <w:tc>
          <w:tcPr/>
          <w:p>
            <w:pPr>
              <w:pStyle w:val="Compact"/>
              <w:jc w:val="left"/>
            </w:pPr>
            <w:r>
              <w:t xml:space="preserve">kg</w:t>
            </w:r>
          </w:p>
        </w:tc>
        <w:tc>
          <w:tcPr/>
          <w:p>
            <w:pPr>
              <w:pStyle w:val="Compact"/>
              <w:jc w:val="left"/>
            </w:pPr>
            <w:r>
              <w:t xml:space="preserve">Mineral processing, Global</w:t>
            </w:r>
          </w:p>
        </w:tc>
        <w:tc>
          <w:tcPr/>
          <w:p>
            <w:pPr>
              <w:pStyle w:val="Compact"/>
              <w:jc w:val="left"/>
            </w:pPr>
            <w:r>
              <w:t xml:space="preserve">Secondary (Industry Data)</w:t>
            </w:r>
          </w:p>
        </w:tc>
      </w:tr>
      <w:tr>
        <w:tc>
          <w:tcPr>
            <w:gridSpan w:val="1"/>
            <w:vMerge w:val="continue"/>
          </w:tcPr>
          <w:p>
            <w:pPr/>
          </w:p>
        </w:tc>
        <w:tc>
          <w:tcPr/>
          <w:p>
            <w:pPr>
              <w:pStyle w:val="Compact"/>
              <w:jc w:val="left"/>
            </w:pPr>
            <w:r>
              <w:t xml:space="preserve">Solvent Make-up (Alkylbenzene)</w:t>
            </w:r>
          </w:p>
        </w:tc>
        <w:tc>
          <w:tcPr/>
          <w:p>
            <w:pPr>
              <w:pStyle w:val="Compact"/>
              <w:jc w:val="left"/>
            </w:pPr>
            <w:r>
              <w:t xml:space="preserve">0.080</w:t>
            </w:r>
          </w:p>
        </w:tc>
        <w:tc>
          <w:tcPr/>
          <w:p>
            <w:pPr>
              <w:pStyle w:val="Compact"/>
              <w:jc w:val="left"/>
            </w:pPr>
            <w:r>
              <w:t xml:space="preserve">kg</w:t>
            </w:r>
          </w:p>
        </w:tc>
        <w:tc>
          <w:tcPr/>
          <w:p>
            <w:pPr>
              <w:pStyle w:val="Compact"/>
              <w:jc w:val="left"/>
            </w:pPr>
            <w:r>
              <w:t xml:space="preserve">Petrochemical solvent loop (96% recovered)</w:t>
            </w:r>
          </w:p>
        </w:tc>
        <w:tc>
          <w:tcPr/>
          <w:p>
            <w:pPr>
              <w:pStyle w:val="Compact"/>
              <w:jc w:val="left"/>
            </w:pPr>
            <w:r>
              <w:t xml:space="preserve">Primary plant logs</w:t>
            </w:r>
          </w:p>
        </w:tc>
      </w:tr>
      <w:tr>
        <w:tc>
          <w:tcPr>
            <w:gridSpan w:val="1"/>
            <w:vMerge w:val="continue"/>
          </w:tcPr>
          <w:p>
            <w:pPr/>
          </w:p>
        </w:tc>
        <w:tc>
          <w:tcPr/>
          <w:p>
            <w:pPr>
              <w:pStyle w:val="Compact"/>
              <w:jc w:val="left"/>
            </w:pPr>
            <w:r>
              <w:t xml:space="preserve">Diethylene Glycol (Kneading Aid)</w:t>
            </w:r>
          </w:p>
        </w:tc>
        <w:tc>
          <w:tcPr/>
          <w:p>
            <w:pPr>
              <w:pStyle w:val="Compact"/>
              <w:jc w:val="left"/>
            </w:pPr>
            <w:r>
              <w:t xml:space="preserve">0.120</w:t>
            </w:r>
          </w:p>
        </w:tc>
        <w:tc>
          <w:tcPr/>
          <w:p>
            <w:pPr>
              <w:pStyle w:val="Compact"/>
              <w:jc w:val="left"/>
            </w:pPr>
            <w:r>
              <w:t xml:space="preserve">kg</w:t>
            </w:r>
          </w:p>
        </w:tc>
        <w:tc>
          <w:tcPr/>
          <w:p>
            <w:pPr>
              <w:pStyle w:val="Compact"/>
              <w:jc w:val="left"/>
            </w:pPr>
            <w:r>
              <w:t xml:space="preserve">Petrochemical solvent makeup (distilled/recycled)</w:t>
            </w:r>
          </w:p>
        </w:tc>
        <w:tc>
          <w:tcPr/>
          <w:p>
            <w:pPr>
              <w:pStyle w:val="Compact"/>
              <w:jc w:val="left"/>
            </w:pPr>
            <w:r>
              <w:t xml:space="preserve">Primary plant logs</w:t>
            </w:r>
          </w:p>
        </w:tc>
      </w:tr>
      <w:tr>
        <w:tc>
          <w:tcPr>
            <w:vMerge w:val="restart"/>
          </w:tcPr>
          <w:p>
            <w:pPr>
              <w:pStyle w:val="Compact"/>
              <w:jc w:val="left"/>
            </w:pPr>
            <w:r>
              <w:rPr>
                <w:bCs/>
                <w:b/>
              </w:rPr>
              <w:t xml:space="preserve">Conditioning &amp; Washing Agents</w:t>
            </w:r>
          </w:p>
        </w:tc>
        <w:tc>
          <w:tcPr/>
          <w:p>
            <w:pPr>
              <w:pStyle w:val="Compact"/>
              <w:jc w:val="left"/>
            </w:pPr>
            <w:r>
              <w:t xml:space="preserve">Sodium Chloride ($NaCl$) / Salt</w:t>
            </w:r>
          </w:p>
        </w:tc>
        <w:tc>
          <w:tcPr/>
          <w:p>
            <w:pPr>
              <w:pStyle w:val="Compact"/>
              <w:jc w:val="left"/>
            </w:pPr>
            <w:r>
              <w:t xml:space="preserve">0.450</w:t>
            </w:r>
          </w:p>
        </w:tc>
        <w:tc>
          <w:tcPr/>
          <w:p>
            <w:pPr>
              <w:pStyle w:val="Compact"/>
              <w:jc w:val="left"/>
            </w:pPr>
            <w:r>
              <w:t xml:space="preserve">kg</w:t>
            </w:r>
          </w:p>
        </w:tc>
        <w:tc>
          <w:tcPr/>
          <w:p>
            <w:pPr>
              <w:pStyle w:val="Compact"/>
              <w:jc w:val="left"/>
            </w:pPr>
            <w:r>
              <w:t xml:space="preserve">Industrial solar salt, Gujarat domestic</w:t>
            </w:r>
          </w:p>
        </w:tc>
        <w:tc>
          <w:tcPr/>
          <w:p>
            <w:pPr>
              <w:pStyle w:val="Compact"/>
              <w:jc w:val="left"/>
            </w:pPr>
            <w:r>
              <w:t xml:space="preserve">Primary / Secondary</w:t>
            </w:r>
          </w:p>
        </w:tc>
      </w:tr>
      <w:tr>
        <w:tc>
          <w:tcPr>
            <w:gridSpan w:val="1"/>
            <w:vMerge w:val="continue"/>
          </w:tcPr>
          <w:p>
            <w:pPr/>
          </w:p>
        </w:tc>
        <w:tc>
          <w:tcPr/>
          <w:p>
            <w:pPr>
              <w:pStyle w:val="Compact"/>
              <w:jc w:val="left"/>
            </w:pPr>
            <w:r>
              <w:t xml:space="preserve">Hydrochloric Acid (30% HCl)</w:t>
            </w:r>
          </w:p>
        </w:tc>
        <w:tc>
          <w:tcPr/>
          <w:p>
            <w:pPr>
              <w:pStyle w:val="Compact"/>
              <w:jc w:val="left"/>
            </w:pPr>
            <w:r>
              <w:t xml:space="preserve">0.180</w:t>
            </w:r>
          </w:p>
        </w:tc>
        <w:tc>
          <w:tcPr/>
          <w:p>
            <w:pPr>
              <w:pStyle w:val="Compact"/>
              <w:jc w:val="left"/>
            </w:pPr>
            <w:r>
              <w:t xml:space="preserve">kg</w:t>
            </w:r>
          </w:p>
        </w:tc>
        <w:tc>
          <w:tcPr/>
          <w:p>
            <w:pPr>
              <w:pStyle w:val="Compact"/>
              <w:jc w:val="left"/>
            </w:pPr>
            <w:r>
              <w:t xml:space="preserve">Chlor-alkali by-product, Domestic</w:t>
            </w:r>
          </w:p>
        </w:tc>
        <w:tc>
          <w:tcPr/>
          <w:p>
            <w:pPr>
              <w:pStyle w:val="Compact"/>
              <w:jc w:val="left"/>
            </w:pPr>
            <w:r>
              <w:t xml:space="preserve">Secondary (Ecoinvent 3.10)</w:t>
            </w:r>
          </w:p>
        </w:tc>
      </w:tr>
      <w:tr>
        <w:tc>
          <w:tcPr>
            <w:vMerge w:val="restart"/>
          </w:tcPr>
          <w:p>
            <w:pPr>
              <w:pStyle w:val="Compact"/>
              <w:jc w:val="left"/>
            </w:pPr>
            <w:r>
              <w:rPr>
                <w:bCs/>
                <w:b/>
              </w:rPr>
              <w:t xml:space="preserve">Utility Energy (Facility Gate)</w:t>
            </w:r>
          </w:p>
        </w:tc>
        <w:tc>
          <w:tcPr/>
          <w:p>
            <w:pPr>
              <w:pStyle w:val="Compact"/>
              <w:jc w:val="left"/>
            </w:pPr>
            <w:r>
              <w:t xml:space="preserve">Electricity (Grid Average)</w:t>
            </w:r>
          </w:p>
        </w:tc>
        <w:tc>
          <w:tcPr/>
          <w:p>
            <w:pPr>
              <w:pStyle w:val="Compact"/>
              <w:jc w:val="left"/>
            </w:pPr>
            <w:r>
              <w:t xml:space="preserve">3.200</w:t>
            </w:r>
          </w:p>
        </w:tc>
        <w:tc>
          <w:tcPr/>
          <w:p>
            <w:pPr>
              <w:pStyle w:val="Compact"/>
              <w:jc w:val="left"/>
            </w:pPr>
            <w:r>
              <w:t xml:space="preserve">kWh</w:t>
            </w:r>
          </w:p>
        </w:tc>
        <w:tc>
          <w:tcPr/>
          <w:p>
            <w:pPr>
              <w:pStyle w:val="Compact"/>
              <w:jc w:val="left"/>
            </w:pPr>
            <w:r>
              <w:t xml:space="preserve">Western Regional Grid (NEWNE), India</w:t>
            </w:r>
          </w:p>
        </w:tc>
        <w:tc>
          <w:tcPr/>
          <w:p>
            <w:pPr>
              <w:pStyle w:val="Compact"/>
              <w:jc w:val="left"/>
            </w:pPr>
            <w:r>
              <w:t xml:space="preserve">Primary / CEA 2024-2026</w:t>
            </w:r>
          </w:p>
        </w:tc>
      </w:tr>
      <w:tr>
        <w:tc>
          <w:tcPr>
            <w:gridSpan w:val="1"/>
            <w:vMerge w:val="continue"/>
          </w:tcPr>
          <w:p>
            <w:pPr/>
          </w:p>
        </w:tc>
        <w:tc>
          <w:tcPr/>
          <w:p>
            <w:pPr>
              <w:pStyle w:val="Compact"/>
              <w:jc w:val="left"/>
            </w:pPr>
            <w:r>
              <w:t xml:space="preserve">Natural Gas (Thermal Heating/Boilers)</w:t>
            </w:r>
          </w:p>
        </w:tc>
        <w:tc>
          <w:tcPr/>
          <w:p>
            <w:pPr>
              <w:pStyle w:val="Compact"/>
              <w:jc w:val="left"/>
            </w:pPr>
            <w:r>
              <w:t xml:space="preserve">0.235</w:t>
            </w:r>
          </w:p>
        </w:tc>
        <w:tc>
          <w:tcPr/>
          <w:p>
            <w:pPr>
              <w:pStyle w:val="Compact"/>
              <w:jc w:val="left"/>
            </w:pPr>
            <w:r>
              <w:t xml:space="preserve">$Nm^3$</w:t>
            </w:r>
          </w:p>
        </w:tc>
        <w:tc>
          <w:tcPr/>
          <w:p>
            <w:pPr>
              <w:pStyle w:val="Compact"/>
              <w:jc w:val="left"/>
            </w:pPr>
            <w:r>
              <w:t xml:space="preserve">Piped Industrial Gas, Gujarat Gas Ltd</w:t>
            </w:r>
          </w:p>
        </w:tc>
        <w:tc>
          <w:tcPr/>
          <w:p>
            <w:pPr>
              <w:pStyle w:val="Compact"/>
              <w:jc w:val="left"/>
            </w:pPr>
            <w:r>
              <w:t xml:space="preserve">Primary plant meters</w:t>
            </w:r>
          </w:p>
        </w:tc>
      </w:tr>
      <w:tr>
        <w:tc>
          <w:tcPr>
            <w:vMerge w:val="restart"/>
          </w:tcPr>
          <w:p>
            <w:pPr>
              <w:pStyle w:val="Compact"/>
              <w:jc w:val="left"/>
            </w:pPr>
            <w:r>
              <w:rPr>
                <w:bCs/>
                <w:b/>
              </w:rPr>
              <w:t xml:space="preserve">Packaging Materials</w:t>
            </w:r>
          </w:p>
        </w:tc>
        <w:tc>
          <w:tcPr/>
          <w:p>
            <w:pPr>
              <w:pStyle w:val="Compact"/>
              <w:jc w:val="left"/>
            </w:pPr>
            <w:r>
              <w:t xml:space="preserve">HDPE Woven Sack with PE Liner</w:t>
            </w:r>
          </w:p>
        </w:tc>
        <w:tc>
          <w:tcPr/>
          <w:p>
            <w:pPr>
              <w:pStyle w:val="Compact"/>
              <w:jc w:val="left"/>
            </w:pPr>
            <w:r>
              <w:t xml:space="preserve">0.025</w:t>
            </w:r>
          </w:p>
        </w:tc>
        <w:tc>
          <w:tcPr/>
          <w:p>
            <w:pPr>
              <w:pStyle w:val="Compact"/>
              <w:jc w:val="left"/>
            </w:pPr>
            <w:r>
              <w:t xml:space="preserve">kg</w:t>
            </w:r>
          </w:p>
        </w:tc>
        <w:tc>
          <w:tcPr/>
          <w:p>
            <w:pPr>
              <w:pStyle w:val="Compact"/>
              <w:jc w:val="left"/>
            </w:pPr>
            <w:r>
              <w:t xml:space="preserve">Polymer processing, Domestic</w:t>
            </w:r>
          </w:p>
        </w:tc>
        <w:tc>
          <w:tcPr/>
          <w:p>
            <w:pPr>
              <w:pStyle w:val="Compact"/>
              <w:jc w:val="left"/>
            </w:pPr>
            <w:r>
              <w:t xml:space="preserve">Secondary (DEFRA 2025/2026)</w:t>
            </w:r>
          </w:p>
        </w:tc>
      </w:tr>
      <w:tr>
        <w:tc>
          <w:tcPr>
            <w:gridSpan w:val="1"/>
            <w:vMerge w:val="continue"/>
          </w:tcPr>
          <w:p>
            <w:pPr/>
          </w:p>
        </w:tc>
        <w:tc>
          <w:tcPr/>
          <w:p>
            <w:pPr>
              <w:pStyle w:val="Compact"/>
              <w:jc w:val="left"/>
            </w:pPr>
            <w:r>
              <w:t xml:space="preserve">Wooden Pallet Allocation</w:t>
            </w:r>
          </w:p>
        </w:tc>
        <w:tc>
          <w:tcPr/>
          <w:p>
            <w:pPr>
              <w:pStyle w:val="Compact"/>
              <w:jc w:val="left"/>
            </w:pPr>
            <w:r>
              <w:t xml:space="preserve">0.008</w:t>
            </w:r>
          </w:p>
        </w:tc>
        <w:tc>
          <w:tcPr/>
          <w:p>
            <w:pPr>
              <w:pStyle w:val="Compact"/>
              <w:jc w:val="left"/>
            </w:pPr>
            <w:r>
              <w:t xml:space="preserve">kg</w:t>
            </w:r>
          </w:p>
        </w:tc>
        <w:tc>
          <w:tcPr/>
          <w:p>
            <w:pPr>
              <w:pStyle w:val="Compact"/>
              <w:jc w:val="left"/>
            </w:pPr>
            <w:r>
              <w:t xml:space="preserve">Treated timber pallet share</w:t>
            </w:r>
          </w:p>
        </w:tc>
        <w:tc>
          <w:tcPr/>
          <w:p>
            <w:pPr>
              <w:pStyle w:val="Compact"/>
              <w:jc w:val="left"/>
            </w:pPr>
            <w:r>
              <w:t xml:space="preserve">Secondary</w:t>
            </w:r>
          </w:p>
        </w:tc>
      </w:tr>
      <w:tr>
        <w:tc>
          <w:tcPr/>
          <w:p>
            <w:pPr>
              <w:pStyle w:val="Compact"/>
              <w:jc w:val="left"/>
            </w:pPr>
            <w:r>
              <w:rPr>
                <w:bCs/>
                <w:b/>
              </w:rPr>
              <w:t xml:space="preserve">Inbound Logistics</w:t>
            </w:r>
          </w:p>
        </w:tc>
        <w:tc>
          <w:tcPr/>
          <w:p>
            <w:pPr>
              <w:pStyle w:val="Compact"/>
              <w:jc w:val="left"/>
            </w:pPr>
            <w:r>
              <w:t xml:space="preserve">Maritime Ocean Freight (Container)</w:t>
            </w:r>
          </w:p>
        </w:tc>
        <w:tc>
          <w:tcPr/>
          <w:p>
            <w:pPr>
              <w:pStyle w:val="Compact"/>
              <w:jc w:val="left"/>
            </w:pPr>
            <w:r>
              <w:t xml:space="preserve">6,000.0</w:t>
            </w:r>
          </w:p>
        </w:tc>
        <w:tc>
          <w:tcPr/>
          <w:p>
            <w:pPr>
              <w:pStyle w:val="Compact"/>
              <w:jc w:val="left"/>
            </w:pPr>
            <w:r>
              <w:t xml:space="preserve">km</w:t>
            </w:r>
          </w:p>
        </w:tc>
        <w:tc>
          <w:tcPr/>
          <w:p>
            <w:pPr>
              <w:pStyle w:val="Compact"/>
              <w:jc w:val="left"/>
            </w:pPr>
            <w:r>
              <w:t xml:space="preserve">Deep-sea vessel (Asia-India routes)</w:t>
            </w:r>
          </w:p>
        </w:tc>
        <w:tc>
          <w:tcPr/>
          <w:p>
            <w:pPr>
              <w:pStyle w:val="Compact"/>
              <w:jc w:val="left"/>
            </w:pPr>
            <w:r>
              <w:t xml:space="preserve">Specific Parameter</w:t>
            </w:r>
          </w:p>
        </w:tc>
      </w:tr>
    </w:tbl>
    <w:bookmarkEnd w:id="27"/>
    <w:bookmarkEnd w:id="28"/>
    <w:bookmarkEnd w:id="29"/>
    <w:p>
      <w:r>
        <w:pict>
          <v:rect style="width:0;height:1.5pt" o:hralign="center" o:hrstd="t" o:hr="t"/>
        </w:pict>
      </w:r>
    </w:p>
    <w:bookmarkStart w:id="31" w:name="step-3-data-collection"/>
    <w:bookmarkStart w:id="30" w:name="data-quality-uncertainty-assessment"/>
    <w:p>
      <w:pPr>
        <w:pStyle w:val="Heading1"/>
      </w:pPr>
      <w:r>
        <w:t xml:space="preserve">3. Data Quality &amp; Uncertainty Assessment</w:t>
      </w:r>
    </w:p>
    <w:p>
      <w:pPr>
        <w:pStyle w:val="FirstParagraph"/>
      </w:pPr>
      <w:r>
        <w:t xml:space="preserve">In accordance with the GHG Protocol Guidance on data collection, primary operational data was gathered from integrated pigment manufacturing units located in Ankleshwar, Panoli, and Dahej (Gujarat, India). Secondary background datasets were sourced from globally benchmarked databases.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LCI Parameter Group</w:t>
            </w:r>
          </w:p>
        </w:tc>
        <w:tc>
          <w:tcPr/>
          <w:p>
            <w:pPr>
              <w:pStyle w:val="Compact"/>
              <w:jc w:val="left"/>
            </w:pPr>
            <w:r>
              <w:t xml:space="preserve">Data Source &amp; Vintage</w:t>
            </w:r>
          </w:p>
        </w:tc>
        <w:tc>
          <w:tcPr/>
          <w:p>
            <w:pPr>
              <w:pStyle w:val="Compact"/>
              <w:jc w:val="left"/>
            </w:pPr>
            <w:r>
              <w:t xml:space="preserve">Representativeness</w:t>
            </w:r>
          </w:p>
        </w:tc>
        <w:tc>
          <w:tcPr/>
          <w:p>
            <w:pPr>
              <w:pStyle w:val="Compact"/>
              <w:jc w:val="left"/>
            </w:pPr>
            <w:r>
              <w:t xml:space="preserve">Data Quality Rating (DQR)</w:t>
            </w:r>
          </w:p>
        </w:tc>
      </w:tr>
      <w:tr>
        <w:tc>
          <w:tcPr/>
          <w:p>
            <w:pPr>
              <w:pStyle w:val="Compact"/>
              <w:jc w:val="left"/>
            </w:pPr>
            <w:r>
              <w:rPr>
                <w:bCs/>
                <w:b/>
              </w:rPr>
              <w:t xml:space="preserve">Chemical Feedstocks</w:t>
            </w:r>
          </w:p>
        </w:tc>
        <w:tc>
          <w:tcPr/>
          <w:p>
            <w:pPr>
              <w:pStyle w:val="Compact"/>
              <w:jc w:val="left"/>
            </w:pPr>
            <w:r>
              <w:t xml:space="preserve">Ecoinvent 3.10 (Cut-off) / Precursor bills of testing (2024-2026)</w:t>
            </w:r>
          </w:p>
        </w:tc>
        <w:tc>
          <w:tcPr/>
          <w:p>
            <w:pPr>
              <w:pStyle w:val="Compact"/>
              <w:jc w:val="left"/>
            </w:pPr>
            <w:r>
              <w:t xml:space="preserve">High geographical &amp; technological relevance for bulk intermediates.</w:t>
            </w:r>
          </w:p>
        </w:tc>
        <w:tc>
          <w:tcPr/>
          <w:p>
            <w:pPr>
              <w:pStyle w:val="Compact"/>
              <w:jc w:val="left"/>
            </w:pPr>
            <w:r>
              <w:t xml:space="preserve">1.3 (High Reliability)</w:t>
            </w:r>
          </w:p>
        </w:tc>
      </w:tr>
      <w:tr>
        <w:tc>
          <w:tcPr/>
          <w:p>
            <w:pPr>
              <w:pStyle w:val="Compact"/>
              <w:jc w:val="left"/>
            </w:pPr>
            <w:r>
              <w:rPr>
                <w:bCs/>
                <w:b/>
              </w:rPr>
              <w:t xml:space="preserve">Grid Power (Scope 2)</w:t>
            </w:r>
          </w:p>
        </w:tc>
        <w:tc>
          <w:tcPr/>
          <w:p>
            <w:pPr>
              <w:pStyle w:val="Compact"/>
              <w:jc w:val="left"/>
            </w:pPr>
            <w:r>
              <w:t xml:space="preserve">CEA India CO</w:t>
            </w:r>
            <w:r>
              <w:rPr>
                <w:vertAlign w:val="subscript"/>
              </w:rPr>
              <w:t xml:space="preserve">2</w:t>
            </w:r>
            <w:r>
              <w:t xml:space="preserve"> </w:t>
            </w:r>
            <w:r>
              <w:t xml:space="preserve">Baseline Database (Version 19/20 updates)</w:t>
            </w:r>
          </w:p>
        </w:tc>
        <w:tc>
          <w:tcPr/>
          <w:p>
            <w:pPr>
              <w:pStyle w:val="Compact"/>
              <w:jc w:val="left"/>
            </w:pPr>
            <w:r>
              <w:t xml:space="preserve">Specific to India Central Electricity Authority regional dispatch mix.</w:t>
            </w:r>
          </w:p>
        </w:tc>
        <w:tc>
          <w:tcPr/>
          <w:p>
            <w:pPr>
              <w:pStyle w:val="Compact"/>
              <w:jc w:val="left"/>
            </w:pPr>
            <w:r>
              <w:t xml:space="preserve">1.1 (Very High Reliability)</w:t>
            </w:r>
          </w:p>
        </w:tc>
      </w:tr>
      <w:tr>
        <w:tc>
          <w:tcPr/>
          <w:p>
            <w:pPr>
              <w:pStyle w:val="Compact"/>
              <w:jc w:val="left"/>
            </w:pPr>
            <w:r>
              <w:rPr>
                <w:bCs/>
                <w:b/>
              </w:rPr>
              <w:t xml:space="preserve">Thermal Fuels (Scope 1)</w:t>
            </w:r>
          </w:p>
        </w:tc>
        <w:tc>
          <w:tcPr/>
          <w:p>
            <w:pPr>
              <w:pStyle w:val="Compact"/>
              <w:jc w:val="left"/>
            </w:pPr>
            <w:r>
              <w:t xml:space="preserve">Facility gas meters &amp; DEFRA Fuel Emission Factors (2025/2026)</w:t>
            </w:r>
          </w:p>
        </w:tc>
        <w:tc>
          <w:tcPr/>
          <w:p>
            <w:pPr>
              <w:pStyle w:val="Compact"/>
              <w:jc w:val="left"/>
            </w:pPr>
            <w:r>
              <w:t xml:space="preserve">Direct operational metering data backed by certified fuel composition.</w:t>
            </w:r>
          </w:p>
        </w:tc>
        <w:tc>
          <w:tcPr/>
          <w:p>
            <w:pPr>
              <w:pStyle w:val="Compact"/>
              <w:jc w:val="left"/>
            </w:pPr>
            <w:r>
              <w:t xml:space="preserve">1.2 (High Reliability)</w:t>
            </w:r>
          </w:p>
        </w:tc>
      </w:tr>
      <w:tr>
        <w:tc>
          <w:tcPr/>
          <w:p>
            <w:pPr>
              <w:pStyle w:val="Compact"/>
              <w:jc w:val="left"/>
            </w:pPr>
            <w:r>
              <w:rPr>
                <w:bCs/>
                <w:b/>
              </w:rPr>
              <w:t xml:space="preserve">Inbound Sea Transport</w:t>
            </w:r>
          </w:p>
        </w:tc>
        <w:tc>
          <w:tcPr/>
          <w:p>
            <w:pPr>
              <w:pStyle w:val="Compact"/>
              <w:jc w:val="left"/>
            </w:pPr>
            <w:r>
              <w:t xml:space="preserve">Clean Cargo Working Group (CCWG) / IMO / DEFRA Logistics Factors</w:t>
            </w:r>
          </w:p>
        </w:tc>
        <w:tc>
          <w:tcPr/>
          <w:p>
            <w:pPr>
              <w:pStyle w:val="Compact"/>
              <w:jc w:val="left"/>
            </w:pPr>
            <w:r>
              <w:t xml:space="preserve">Accounts for 6,000 km deep-sea container ship average loading (70%).</w:t>
            </w:r>
          </w:p>
        </w:tc>
        <w:tc>
          <w:tcPr/>
          <w:p>
            <w:pPr>
              <w:pStyle w:val="Compact"/>
              <w:jc w:val="left"/>
            </w:pPr>
            <w:r>
              <w:t xml:space="preserve">1.4 (High Reliability)</w:t>
            </w:r>
          </w:p>
        </w:tc>
      </w:tr>
      <w:tr>
        <w:tc>
          <w:tcPr/>
          <w:p>
            <w:pPr>
              <w:pStyle w:val="Compact"/>
              <w:jc w:val="left"/>
            </w:pPr>
            <w:r>
              <w:rPr>
                <w:bCs/>
                <w:b/>
              </w:rPr>
              <w:t xml:space="preserve">Effluent Treatment</w:t>
            </w:r>
          </w:p>
        </w:tc>
        <w:tc>
          <w:tcPr/>
          <w:p>
            <w:pPr>
              <w:pStyle w:val="Compact"/>
              <w:jc w:val="left"/>
            </w:pPr>
            <w:r>
              <w:t xml:space="preserve">Plant primary wastewater laboratory data + IPCC Waste Model</w:t>
            </w:r>
          </w:p>
        </w:tc>
        <w:tc>
          <w:tcPr/>
          <w:p>
            <w:pPr>
              <w:pStyle w:val="Compact"/>
              <w:jc w:val="left"/>
            </w:pPr>
            <w:r>
              <w:t xml:space="preserve">Chemical oxygen demand (COD) and ammoniacal nitrogen loads.</w:t>
            </w:r>
          </w:p>
        </w:tc>
        <w:tc>
          <w:tcPr/>
          <w:p>
            <w:pPr>
              <w:pStyle w:val="Compact"/>
              <w:jc w:val="left"/>
            </w:pPr>
            <w:r>
              <w:t xml:space="preserve">1.8 (Good Reliability)</w:t>
            </w:r>
          </w:p>
        </w:tc>
      </w:tr>
    </w:tbl>
    <w:bookmarkEnd w:id="30"/>
    <w:bookmarkEnd w:id="31"/>
    <w:p>
      <w:r>
        <w:pict>
          <v:rect style="width:0;height:1.5pt" o:hralign="center" o:hrstd="t" o:hr="t"/>
        </w:pict>
      </w:r>
    </w:p>
    <w:bookmarkStart w:id="35" w:name="step-4-emissions-calculations"/>
    <w:bookmarkStart w:id="34" w:name="X3b6b5e320cb774fdd246eaca76b5ebc43635bb3"/>
    <w:p>
      <w:pPr>
        <w:pStyle w:val="Heading1"/>
      </w:pPr>
      <w:r>
        <w:t xml:space="preserve">4. Carbon Footprint Calculations &amp; GHG Protocol Breakdown</w:t>
      </w:r>
    </w:p>
    <w:p>
      <w:pPr>
        <w:pStyle w:val="FirstParagraph"/>
      </w:pPr>
      <w:r>
        <w:t xml:space="preserve">Emissions are quantified using the core formula:</w:t>
      </w:r>
      <w:r>
        <w:t xml:space="preserve"> </w:t>
      </w:r>
      <w:r>
        <w:t xml:space="preserve">$$\text{Emissions } (\text{kg } CO_2e) = \text{Activity Data} \times \text{Emission Factor } (EF)$$</w:t>
      </w:r>
      <w:r>
        <w:t xml:space="preserve"> </w:t>
      </w:r>
      <w:r>
        <w:t xml:space="preserve">All greenhouse gases are weighted according to IPCC Sixth Assessment Report (AR6) 100-year Global Warming Potentials ($GWP_{100}$: $CO_2 = 1$, $CH_4 = 29.8$, $N_2O = 273$).</w:t>
      </w:r>
    </w:p>
    <w:bookmarkStart w:id="32" w:name="X141e3c512e22e3cdc2e1ac7bec8a6ff0d505cf5"/>
    <w:p>
      <w:pPr>
        <w:pStyle w:val="Heading2"/>
      </w:pPr>
      <w:r>
        <w:t xml:space="preserve">4.1 Complete Cradle-to-Gate Emission Inventory</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GHG Scope</w:t>
            </w:r>
          </w:p>
        </w:tc>
        <w:tc>
          <w:tcPr/>
          <w:p>
            <w:pPr>
              <w:pStyle w:val="Compact"/>
              <w:jc w:val="left"/>
            </w:pPr>
            <w:r>
              <w:t xml:space="preserve">Life Cycle Emission Source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kg CO</w:t>
            </w:r>
            <w:r>
              <w:rPr>
                <w:vertAlign w:val="subscript"/>
              </w:rPr>
              <w:t xml:space="preserve">2</w:t>
            </w:r>
            <w:r>
              <w:t xml:space="preserve">e / kg</w:t>
            </w:r>
          </w:p>
        </w:tc>
        <w:tc>
          <w:tcPr/>
          <w:p>
            <w:pPr>
              <w:pStyle w:val="Compact"/>
              <w:jc w:val="left"/>
            </w:pPr>
            <w:r>
              <w:t xml:space="preserve">Share (%)</w:t>
            </w:r>
          </w:p>
        </w:tc>
      </w:tr>
      <w:tr>
        <w:tc>
          <w:tcPr>
            <w:vMerge w:val="restart"/>
          </w:tcPr>
          <w:p>
            <w:pPr>
              <w:pStyle w:val="Compact"/>
              <w:jc w:val="left"/>
            </w:pPr>
            <w:r>
              <w:rPr>
                <w:bCs/>
                <w:b/>
              </w:rPr>
              <w:t xml:space="preserve">Scope 1</w:t>
            </w:r>
            <w:r>
              <w:br/>
            </w:r>
            <w:r>
              <w:rPr>
                <w:bCs/>
                <w:b/>
              </w:rPr>
              <w:t xml:space="preserve">(Direct)</w:t>
            </w:r>
          </w:p>
        </w:tc>
        <w:tc>
          <w:tcPr/>
          <w:p>
            <w:pPr>
              <w:pStyle w:val="Compact"/>
              <w:jc w:val="left"/>
            </w:pPr>
            <w:r>
              <w:t xml:space="preserve">Natural Gas Combustion (Heaters &amp; Boilers)</w:t>
            </w:r>
          </w:p>
        </w:tc>
        <w:tc>
          <w:tcPr/>
          <w:p>
            <w:pPr>
              <w:pStyle w:val="Compact"/>
              <w:jc w:val="left"/>
            </w:pPr>
            <w:r>
              <w:t xml:space="preserve">0.235 Nm</w:t>
            </w:r>
            <w:r>
              <w:rPr>
                <w:vertAlign w:val="superscript"/>
              </w:rPr>
              <w:t xml:space="preserve">3</w:t>
            </w:r>
          </w:p>
        </w:tc>
        <w:tc>
          <w:tcPr/>
          <w:p>
            <w:pPr>
              <w:pStyle w:val="Compact"/>
              <w:jc w:val="left"/>
            </w:pPr>
            <w:r>
              <w:t xml:space="preserve">2.055 kg CO</w:t>
            </w:r>
            <w:r>
              <w:rPr>
                <w:vertAlign w:val="subscript"/>
              </w:rPr>
              <w:t xml:space="preserve">2</w:t>
            </w:r>
            <w:r>
              <w:t xml:space="preserve">e/Nm</w:t>
            </w:r>
            <w:r>
              <w:rPr>
                <w:vertAlign w:val="superscript"/>
              </w:rPr>
              <w:t xml:space="preserve">3</w:t>
            </w:r>
          </w:p>
        </w:tc>
        <w:tc>
          <w:tcPr/>
          <w:p>
            <w:pPr>
              <w:pStyle w:val="Compact"/>
              <w:jc w:val="left"/>
            </w:pPr>
            <w:r>
              <w:t xml:space="preserve">0.483</w:t>
            </w:r>
          </w:p>
        </w:tc>
        <w:tc>
          <w:tcPr/>
          <w:p>
            <w:pPr>
              <w:pStyle w:val="Compact"/>
              <w:jc w:val="left"/>
            </w:pPr>
            <w:r>
              <w:t xml:space="preserve">5.23%</w:t>
            </w:r>
          </w:p>
        </w:tc>
      </w:tr>
      <w:tr>
        <w:tc>
          <w:tcPr>
            <w:gridSpan w:val="1"/>
            <w:vMerge w:val="continue"/>
          </w:tcPr>
          <w:p>
            <w:pPr/>
          </w:p>
        </w:tc>
        <w:tc>
          <w:tcPr/>
          <w:p>
            <w:pPr>
              <w:pStyle w:val="Compact"/>
              <w:jc w:val="left"/>
            </w:pPr>
            <w:r>
              <w:t xml:space="preserve">Process Off-Gas Venting &amp; VOC Scrubbing</w:t>
            </w:r>
          </w:p>
        </w:tc>
        <w:tc>
          <w:tcPr/>
          <w:p>
            <w:pPr>
              <w:pStyle w:val="Compact"/>
              <w:jc w:val="left"/>
            </w:pPr>
            <w:r>
              <w:t xml:space="preserve">1.0 kg product</w:t>
            </w:r>
          </w:p>
        </w:tc>
        <w:tc>
          <w:tcPr/>
          <w:p>
            <w:pPr>
              <w:pStyle w:val="Compact"/>
              <w:jc w:val="left"/>
            </w:pPr>
            <w:r>
              <w:t xml:space="preserve">0.120 kg CO</w:t>
            </w:r>
            <w:r>
              <w:rPr>
                <w:vertAlign w:val="subscript"/>
              </w:rPr>
              <w:t xml:space="preserve">2</w:t>
            </w:r>
            <w:r>
              <w:t xml:space="preserve">e/kg</w:t>
            </w:r>
          </w:p>
        </w:tc>
        <w:tc>
          <w:tcPr/>
          <w:p>
            <w:pPr>
              <w:pStyle w:val="Compact"/>
              <w:jc w:val="left"/>
            </w:pPr>
            <w:r>
              <w:t xml:space="preserve">0.120</w:t>
            </w:r>
          </w:p>
        </w:tc>
        <w:tc>
          <w:tcPr/>
          <w:p>
            <w:pPr>
              <w:pStyle w:val="Compact"/>
              <w:jc w:val="left"/>
            </w:pPr>
            <w:r>
              <w:t xml:space="preserve">1.30%</w:t>
            </w:r>
          </w:p>
        </w:tc>
      </w:tr>
      <w:tr>
        <w:tc>
          <w:tcPr>
            <w:gridSpan w:val="4"/>
          </w:tcPr>
          <w:p>
            <w:pPr>
              <w:pStyle w:val="Compact"/>
              <w:jc w:val="left"/>
            </w:pPr>
            <w:r>
              <w:t xml:space="preserve">Subtotal Scope 1 (Direct Operations)</w:t>
            </w:r>
          </w:p>
        </w:tc>
        <w:tc>
          <w:tcPr/>
          <w:p>
            <w:pPr>
              <w:pStyle w:val="Compact"/>
              <w:jc w:val="left"/>
            </w:pPr>
            <w:r>
              <w:t xml:space="preserve">0.603</w:t>
            </w:r>
          </w:p>
        </w:tc>
        <w:tc>
          <w:tcPr/>
          <w:p>
            <w:pPr>
              <w:pStyle w:val="Compact"/>
              <w:jc w:val="left"/>
            </w:pPr>
            <w:r>
              <w:t xml:space="preserve">6.53%</w:t>
            </w:r>
          </w:p>
        </w:tc>
      </w:tr>
      <w:tr>
        <w:tc>
          <w:tcPr/>
          <w:p>
            <w:pPr>
              <w:pStyle w:val="Compact"/>
              <w:jc w:val="left"/>
            </w:pPr>
            <w:r>
              <w:rPr>
                <w:bCs/>
                <w:b/>
              </w:rPr>
              <w:t xml:space="preserve">Scope 2</w:t>
            </w:r>
            <w:r>
              <w:br/>
            </w:r>
            <w:r>
              <w:rPr>
                <w:bCs/>
                <w:b/>
              </w:rPr>
              <w:t xml:space="preserve">(Indirect)</w:t>
            </w:r>
          </w:p>
        </w:tc>
        <w:tc>
          <w:tcPr/>
          <w:p>
            <w:pPr>
              <w:pStyle w:val="Compact"/>
              <w:jc w:val="left"/>
            </w:pPr>
            <w:r>
              <w:t xml:space="preserve">Purchased Grid Electricity (Kneading &amp; Milling)</w:t>
            </w:r>
          </w:p>
        </w:tc>
        <w:tc>
          <w:tcPr/>
          <w:p>
            <w:pPr>
              <w:pStyle w:val="Compact"/>
              <w:jc w:val="left"/>
            </w:pPr>
            <w:r>
              <w:t xml:space="preserve">3.200 kWh</w:t>
            </w:r>
          </w:p>
        </w:tc>
        <w:tc>
          <w:tcPr/>
          <w:p>
            <w:pPr>
              <w:pStyle w:val="Compact"/>
              <w:jc w:val="left"/>
            </w:pPr>
            <w:r>
              <w:t xml:space="preserve">0.716 kg CO</w:t>
            </w:r>
            <w:r>
              <w:rPr>
                <w:vertAlign w:val="subscript"/>
              </w:rPr>
              <w:t xml:space="preserve">2</w:t>
            </w:r>
            <w:r>
              <w:t xml:space="preserve">e/kWh</w:t>
            </w:r>
          </w:p>
        </w:tc>
        <w:tc>
          <w:tcPr/>
          <w:p>
            <w:pPr>
              <w:pStyle w:val="Compact"/>
              <w:jc w:val="left"/>
            </w:pPr>
            <w:r>
              <w:t xml:space="preserve">2.291</w:t>
            </w:r>
          </w:p>
        </w:tc>
        <w:tc>
          <w:tcPr/>
          <w:p>
            <w:pPr>
              <w:pStyle w:val="Compact"/>
              <w:jc w:val="left"/>
            </w:pPr>
            <w:r>
              <w:t xml:space="preserve">24.80%</w:t>
            </w:r>
          </w:p>
        </w:tc>
      </w:tr>
      <w:tr>
        <w:tc>
          <w:tcPr>
            <w:gridSpan w:val="4"/>
          </w:tcPr>
          <w:p>
            <w:pPr>
              <w:pStyle w:val="Compact"/>
              <w:jc w:val="left"/>
            </w:pPr>
            <w:r>
              <w:t xml:space="preserve">Subtotal Scope 2 (Location-Based Electricity)</w:t>
            </w:r>
          </w:p>
        </w:tc>
        <w:tc>
          <w:tcPr/>
          <w:p>
            <w:pPr>
              <w:pStyle w:val="Compact"/>
              <w:jc w:val="left"/>
            </w:pPr>
            <w:r>
              <w:t xml:space="preserve">2.291</w:t>
            </w:r>
          </w:p>
        </w:tc>
        <w:tc>
          <w:tcPr/>
          <w:p>
            <w:pPr>
              <w:pStyle w:val="Compact"/>
              <w:jc w:val="left"/>
            </w:pPr>
            <w:r>
              <w:t xml:space="preserve">24.80%</w:t>
            </w:r>
          </w:p>
        </w:tc>
      </w:tr>
      <w:tr>
        <w:tc>
          <w:tcPr>
            <w:vMerge w:val="restart"/>
          </w:tcPr>
          <w:p>
            <w:pPr>
              <w:pStyle w:val="Compact"/>
              <w:jc w:val="left"/>
            </w:pPr>
            <w:r>
              <w:rPr>
                <w:bCs/>
                <w:b/>
              </w:rPr>
              <w:t xml:space="preserve">Scope 3</w:t>
            </w:r>
            <w:r>
              <w:br/>
            </w:r>
            <w:r>
              <w:rPr>
                <w:bCs/>
                <w:b/>
              </w:rPr>
              <w:t xml:space="preserve">Cat. 1: Goods</w:t>
            </w:r>
          </w:p>
        </w:tc>
        <w:tc>
          <w:tcPr/>
          <w:p>
            <w:pPr>
              <w:pStyle w:val="Compact"/>
              <w:jc w:val="left"/>
            </w:pPr>
            <w:r>
              <w:t xml:space="preserve">Phthalic Anhydride (PAN)</w:t>
            </w:r>
          </w:p>
        </w:tc>
        <w:tc>
          <w:tcPr/>
          <w:p>
            <w:pPr>
              <w:pStyle w:val="Compact"/>
              <w:jc w:val="left"/>
            </w:pPr>
            <w:r>
              <w:t xml:space="preserve">1.150 kg</w:t>
            </w:r>
          </w:p>
        </w:tc>
        <w:tc>
          <w:tcPr/>
          <w:p>
            <w:pPr>
              <w:pStyle w:val="Compact"/>
              <w:jc w:val="left"/>
            </w:pPr>
            <w:r>
              <w:t xml:space="preserve">1.950 kg CO</w:t>
            </w:r>
            <w:r>
              <w:rPr>
                <w:vertAlign w:val="subscript"/>
              </w:rPr>
              <w:t xml:space="preserve">2</w:t>
            </w:r>
            <w:r>
              <w:t xml:space="preserve">e/kg</w:t>
            </w:r>
          </w:p>
        </w:tc>
        <w:tc>
          <w:tcPr/>
          <w:p>
            <w:pPr>
              <w:pStyle w:val="Compact"/>
              <w:jc w:val="left"/>
            </w:pPr>
            <w:r>
              <w:t xml:space="preserve">2.243</w:t>
            </w:r>
          </w:p>
        </w:tc>
        <w:tc>
          <w:tcPr/>
          <w:p>
            <w:pPr>
              <w:pStyle w:val="Compact"/>
              <w:jc w:val="left"/>
            </w:pPr>
            <w:r>
              <w:t xml:space="preserve">24.27%</w:t>
            </w:r>
          </w:p>
        </w:tc>
      </w:tr>
      <w:tr>
        <w:tc>
          <w:tcPr>
            <w:gridSpan w:val="1"/>
            <w:vMerge w:val="continue"/>
          </w:tcPr>
          <w:p>
            <w:pPr/>
          </w:p>
        </w:tc>
        <w:tc>
          <w:tcPr/>
          <w:p>
            <w:pPr>
              <w:pStyle w:val="Compact"/>
              <w:jc w:val="left"/>
            </w:pPr>
            <w:r>
              <w:t xml:space="preserve">Urea (Technical Grade)</w:t>
            </w:r>
          </w:p>
        </w:tc>
        <w:tc>
          <w:tcPr/>
          <w:p>
            <w:pPr>
              <w:pStyle w:val="Compact"/>
              <w:jc w:val="left"/>
            </w:pPr>
            <w:r>
              <w:t xml:space="preserve">1.480 kg</w:t>
            </w:r>
          </w:p>
        </w:tc>
        <w:tc>
          <w:tcPr/>
          <w:p>
            <w:pPr>
              <w:pStyle w:val="Compact"/>
              <w:jc w:val="left"/>
            </w:pPr>
            <w:r>
              <w:t xml:space="preserve">1.450 kg CO</w:t>
            </w:r>
            <w:r>
              <w:rPr>
                <w:vertAlign w:val="subscript"/>
              </w:rPr>
              <w:t xml:space="preserve">2</w:t>
            </w:r>
            <w:r>
              <w:t xml:space="preserve">e/kg</w:t>
            </w:r>
          </w:p>
        </w:tc>
        <w:tc>
          <w:tcPr/>
          <w:p>
            <w:pPr>
              <w:pStyle w:val="Compact"/>
              <w:jc w:val="left"/>
            </w:pPr>
            <w:r>
              <w:t xml:space="preserve">2.146</w:t>
            </w:r>
          </w:p>
        </w:tc>
        <w:tc>
          <w:tcPr/>
          <w:p>
            <w:pPr>
              <w:pStyle w:val="Compact"/>
              <w:jc w:val="left"/>
            </w:pPr>
            <w:r>
              <w:t xml:space="preserve">23.23%</w:t>
            </w:r>
          </w:p>
        </w:tc>
      </w:tr>
      <w:tr>
        <w:tc>
          <w:tcPr>
            <w:gridSpan w:val="1"/>
            <w:vMerge w:val="continue"/>
          </w:tcPr>
          <w:p>
            <w:pPr/>
          </w:p>
        </w:tc>
        <w:tc>
          <w:tcPr/>
          <w:p>
            <w:pPr>
              <w:pStyle w:val="Compact"/>
              <w:jc w:val="left"/>
            </w:pPr>
            <w:r>
              <w:t xml:space="preserve">Cuprous Chloride ($CuCl$)</w:t>
            </w:r>
          </w:p>
        </w:tc>
        <w:tc>
          <w:tcPr/>
          <w:p>
            <w:pPr>
              <w:pStyle w:val="Compact"/>
              <w:jc w:val="left"/>
            </w:pPr>
            <w:r>
              <w:t xml:space="preserve">0.225 kg</w:t>
            </w:r>
          </w:p>
        </w:tc>
        <w:tc>
          <w:tcPr/>
          <w:p>
            <w:pPr>
              <w:pStyle w:val="Compact"/>
              <w:jc w:val="left"/>
            </w:pPr>
            <w:r>
              <w:t xml:space="preserve">3.320 kg CO</w:t>
            </w:r>
            <w:r>
              <w:rPr>
                <w:vertAlign w:val="subscript"/>
              </w:rPr>
              <w:t xml:space="preserve">2</w:t>
            </w:r>
            <w:r>
              <w:t xml:space="preserve">e/kg</w:t>
            </w:r>
          </w:p>
        </w:tc>
        <w:tc>
          <w:tcPr/>
          <w:p>
            <w:pPr>
              <w:pStyle w:val="Compact"/>
              <w:jc w:val="left"/>
            </w:pPr>
            <w:r>
              <w:t xml:space="preserve">0.747</w:t>
            </w:r>
          </w:p>
        </w:tc>
        <w:tc>
          <w:tcPr/>
          <w:p>
            <w:pPr>
              <w:pStyle w:val="Compact"/>
              <w:jc w:val="left"/>
            </w:pPr>
            <w:r>
              <w:t xml:space="preserve">8.08%</w:t>
            </w:r>
          </w:p>
        </w:tc>
      </w:tr>
      <w:tr>
        <w:tc>
          <w:tcPr>
            <w:gridSpan w:val="1"/>
            <w:vMerge w:val="continue"/>
          </w:tcPr>
          <w:p>
            <w:pPr/>
          </w:p>
        </w:tc>
        <w:tc>
          <w:tcPr/>
          <w:p>
            <w:pPr>
              <w:pStyle w:val="Compact"/>
              <w:jc w:val="left"/>
            </w:pPr>
            <w:r>
              <w:t xml:space="preserve">Solvents &amp; Conditioning Glycols (Make-up)</w:t>
            </w:r>
          </w:p>
        </w:tc>
        <w:tc>
          <w:tcPr/>
          <w:p>
            <w:pPr>
              <w:pStyle w:val="Compact"/>
              <w:jc w:val="left"/>
            </w:pPr>
            <w:r>
              <w:t xml:space="preserve">0.200 kg</w:t>
            </w:r>
          </w:p>
        </w:tc>
        <w:tc>
          <w:tcPr/>
          <w:p>
            <w:pPr>
              <w:pStyle w:val="Compact"/>
              <w:jc w:val="left"/>
            </w:pPr>
            <w:r>
              <w:t xml:space="preserve">1.920 kg CO</w:t>
            </w:r>
            <w:r>
              <w:rPr>
                <w:vertAlign w:val="subscript"/>
              </w:rPr>
              <w:t xml:space="preserve">2</w:t>
            </w:r>
            <w:r>
              <w:t xml:space="preserve">e/kg</w:t>
            </w:r>
          </w:p>
        </w:tc>
        <w:tc>
          <w:tcPr/>
          <w:p>
            <w:pPr>
              <w:pStyle w:val="Compact"/>
              <w:jc w:val="left"/>
            </w:pPr>
            <w:r>
              <w:t xml:space="preserve">0.384</w:t>
            </w:r>
          </w:p>
        </w:tc>
        <w:tc>
          <w:tcPr/>
          <w:p>
            <w:pPr>
              <w:pStyle w:val="Compact"/>
              <w:jc w:val="left"/>
            </w:pPr>
            <w:r>
              <w:t xml:space="preserve">4.16%</w:t>
            </w:r>
          </w:p>
        </w:tc>
      </w:tr>
      <w:tr>
        <w:tc>
          <w:tcPr>
            <w:gridSpan w:val="1"/>
            <w:vMerge w:val="continue"/>
          </w:tcPr>
          <w:p>
            <w:pPr/>
          </w:p>
        </w:tc>
        <w:tc>
          <w:tcPr/>
          <w:p>
            <w:pPr>
              <w:pStyle w:val="Compact"/>
              <w:jc w:val="left"/>
            </w:pPr>
            <w:r>
              <w:t xml:space="preserve">Catalysts &amp; Process Salts ($NaCl$, Mo Cat.)</w:t>
            </w:r>
          </w:p>
        </w:tc>
        <w:tc>
          <w:tcPr/>
          <w:p>
            <w:pPr>
              <w:pStyle w:val="Compact"/>
              <w:jc w:val="left"/>
            </w:pPr>
            <w:r>
              <w:t xml:space="preserve">0.458 kg</w:t>
            </w:r>
          </w:p>
        </w:tc>
        <w:tc>
          <w:tcPr/>
          <w:p>
            <w:pPr>
              <w:pStyle w:val="Compact"/>
              <w:jc w:val="left"/>
            </w:pPr>
            <w:r>
              <w:t xml:space="preserve">0.280 kg CO</w:t>
            </w:r>
            <w:r>
              <w:rPr>
                <w:vertAlign w:val="subscript"/>
              </w:rPr>
              <w:t xml:space="preserve">2</w:t>
            </w:r>
            <w:r>
              <w:t xml:space="preserve">e/kg</w:t>
            </w:r>
          </w:p>
        </w:tc>
        <w:tc>
          <w:tcPr/>
          <w:p>
            <w:pPr>
              <w:pStyle w:val="Compact"/>
              <w:jc w:val="left"/>
            </w:pPr>
            <w:r>
              <w:t xml:space="preserve">0.128</w:t>
            </w:r>
          </w:p>
        </w:tc>
        <w:tc>
          <w:tcPr/>
          <w:p>
            <w:pPr>
              <w:pStyle w:val="Compact"/>
              <w:jc w:val="left"/>
            </w:pPr>
            <w:r>
              <w:t xml:space="preserve">1.39%</w:t>
            </w:r>
          </w:p>
        </w:tc>
      </w:tr>
      <w:tr>
        <w:tc>
          <w:tcPr>
            <w:gridSpan w:val="1"/>
            <w:vMerge w:val="continue"/>
          </w:tcPr>
          <w:p>
            <w:pPr/>
          </w:p>
        </w:tc>
        <w:tc>
          <w:tcPr/>
          <w:p>
            <w:pPr>
              <w:pStyle w:val="Compact"/>
              <w:jc w:val="left"/>
            </w:pPr>
            <w:r>
              <w:t xml:space="preserve">Packaging Media (HDPE/Kraft/Pallet)</w:t>
            </w:r>
          </w:p>
        </w:tc>
        <w:tc>
          <w:tcPr/>
          <w:p>
            <w:pPr>
              <w:pStyle w:val="Compact"/>
              <w:jc w:val="left"/>
            </w:pPr>
            <w:r>
              <w:t xml:space="preserve">0.033 kg</w:t>
            </w:r>
          </w:p>
        </w:tc>
        <w:tc>
          <w:tcPr/>
          <w:p>
            <w:pPr>
              <w:pStyle w:val="Compact"/>
              <w:jc w:val="left"/>
            </w:pPr>
            <w:r>
              <w:t xml:space="preserve">2.100 kg CO</w:t>
            </w:r>
            <w:r>
              <w:rPr>
                <w:vertAlign w:val="subscript"/>
              </w:rPr>
              <w:t xml:space="preserve">2</w:t>
            </w:r>
            <w:r>
              <w:t xml:space="preserve">e/kg</w:t>
            </w:r>
          </w:p>
        </w:tc>
        <w:tc>
          <w:tcPr/>
          <w:p>
            <w:pPr>
              <w:pStyle w:val="Compact"/>
              <w:jc w:val="left"/>
            </w:pPr>
            <w:r>
              <w:t xml:space="preserve">0.069</w:t>
            </w:r>
          </w:p>
        </w:tc>
        <w:tc>
          <w:tcPr/>
          <w:p>
            <w:pPr>
              <w:pStyle w:val="Compact"/>
              <w:jc w:val="left"/>
            </w:pPr>
            <w:r>
              <w:t xml:space="preserve">0.75%</w:t>
            </w:r>
          </w:p>
        </w:tc>
      </w:tr>
      <w:tr>
        <w:tc>
          <w:tcPr>
            <w:vMerge w:val="restart"/>
          </w:tcPr>
          <w:p>
            <w:pPr>
              <w:pStyle w:val="Compact"/>
              <w:jc w:val="left"/>
            </w:pPr>
            <w:r>
              <w:rPr>
                <w:bCs/>
                <w:b/>
              </w:rPr>
              <w:t xml:space="preserve">Scope 3</w:t>
            </w:r>
            <w:r>
              <w:br/>
            </w:r>
            <w:r>
              <w:rPr>
                <w:bCs/>
                <w:b/>
              </w:rPr>
              <w:t xml:space="preserve">Cat. 4: Logistics</w:t>
            </w:r>
          </w:p>
        </w:tc>
        <w:tc>
          <w:tcPr/>
          <w:p>
            <w:pPr>
              <w:pStyle w:val="Compact"/>
              <w:jc w:val="left"/>
            </w:pPr>
            <w:r>
              <w:t xml:space="preserve">Inbound Ocean Shipping (Sea Freight, 6000 km)</w:t>
            </w:r>
          </w:p>
        </w:tc>
        <w:tc>
          <w:tcPr/>
          <w:p>
            <w:pPr>
              <w:pStyle w:val="Compact"/>
              <w:jc w:val="left"/>
            </w:pPr>
            <w:r>
              <w:t xml:space="preserve">18.60 tkm</w:t>
            </w:r>
          </w:p>
        </w:tc>
        <w:tc>
          <w:tcPr/>
          <w:p>
            <w:pPr>
              <w:pStyle w:val="Compact"/>
              <w:jc w:val="left"/>
            </w:pPr>
            <w:r>
              <w:t xml:space="preserve">0.0160 kg CO</w:t>
            </w:r>
            <w:r>
              <w:rPr>
                <w:vertAlign w:val="subscript"/>
              </w:rPr>
              <w:t xml:space="preserve">2</w:t>
            </w:r>
            <w:r>
              <w:t xml:space="preserve">e/tkm</w:t>
            </w:r>
          </w:p>
        </w:tc>
        <w:tc>
          <w:tcPr/>
          <w:p>
            <w:pPr>
              <w:pStyle w:val="Compact"/>
              <w:jc w:val="left"/>
            </w:pPr>
            <w:r>
              <w:t xml:space="preserve">0.298</w:t>
            </w:r>
          </w:p>
        </w:tc>
        <w:tc>
          <w:tcPr/>
          <w:p>
            <w:pPr>
              <w:pStyle w:val="Compact"/>
              <w:jc w:val="left"/>
            </w:pPr>
            <w:r>
              <w:t xml:space="preserve">3.23%</w:t>
            </w:r>
          </w:p>
        </w:tc>
      </w:tr>
      <w:tr>
        <w:tc>
          <w:tcPr>
            <w:gridSpan w:val="1"/>
            <w:vMerge w:val="continue"/>
          </w:tcPr>
          <w:p>
            <w:pPr/>
          </w:p>
        </w:tc>
        <w:tc>
          <w:tcPr/>
          <w:p>
            <w:pPr>
              <w:pStyle w:val="Compact"/>
              <w:jc w:val="left"/>
            </w:pPr>
            <w:r>
              <w:t xml:space="preserve">Inland Drayage (Port to Factory Gate, 250 km)</w:t>
            </w:r>
          </w:p>
        </w:tc>
        <w:tc>
          <w:tcPr/>
          <w:p>
            <w:pPr>
              <w:pStyle w:val="Compact"/>
              <w:jc w:val="left"/>
            </w:pPr>
            <w:r>
              <w:t xml:space="preserve">0.775 tkm</w:t>
            </w:r>
          </w:p>
        </w:tc>
        <w:tc>
          <w:tcPr/>
          <w:p>
            <w:pPr>
              <w:pStyle w:val="Compact"/>
              <w:jc w:val="left"/>
            </w:pPr>
            <w:r>
              <w:t xml:space="preserve">0.1100 kg CO</w:t>
            </w:r>
            <w:r>
              <w:rPr>
                <w:vertAlign w:val="subscript"/>
              </w:rPr>
              <w:t xml:space="preserve">2</w:t>
            </w:r>
            <w:r>
              <w:t xml:space="preserve">e/tkm</w:t>
            </w:r>
          </w:p>
        </w:tc>
        <w:tc>
          <w:tcPr/>
          <w:p>
            <w:pPr>
              <w:pStyle w:val="Compact"/>
              <w:jc w:val="left"/>
            </w:pPr>
            <w:r>
              <w:t xml:space="preserve">0.085</w:t>
            </w:r>
          </w:p>
        </w:tc>
        <w:tc>
          <w:tcPr/>
          <w:p>
            <w:pPr>
              <w:pStyle w:val="Compact"/>
              <w:jc w:val="left"/>
            </w:pPr>
            <w:r>
              <w:t xml:space="preserve">0.92%</w:t>
            </w:r>
          </w:p>
        </w:tc>
      </w:tr>
      <w:tr>
        <w:tc>
          <w:tcPr/>
          <w:p>
            <w:pPr>
              <w:pStyle w:val="Compact"/>
              <w:jc w:val="left"/>
            </w:pPr>
            <w:r>
              <w:rPr>
                <w:bCs/>
                <w:b/>
              </w:rPr>
              <w:t xml:space="preserve">Scope 3</w:t>
            </w:r>
            <w:r>
              <w:br/>
            </w:r>
            <w:r>
              <w:rPr>
                <w:bCs/>
                <w:b/>
              </w:rPr>
              <w:t xml:space="preserve">Cat. 5: Waste</w:t>
            </w:r>
          </w:p>
        </w:tc>
        <w:tc>
          <w:tcPr/>
          <w:p>
            <w:pPr>
              <w:pStyle w:val="Compact"/>
              <w:jc w:val="left"/>
            </w:pPr>
            <w:r>
              <w:t xml:space="preserve">Industrial Effluent Treatment (ETP/MEE sludge)</w:t>
            </w:r>
          </w:p>
        </w:tc>
        <w:tc>
          <w:tcPr/>
          <w:p>
            <w:pPr>
              <w:pStyle w:val="Compact"/>
              <w:jc w:val="left"/>
            </w:pPr>
            <w:r>
              <w:t xml:space="preserve">1.0 kg product</w:t>
            </w:r>
          </w:p>
        </w:tc>
        <w:tc>
          <w:tcPr/>
          <w:p>
            <w:pPr>
              <w:pStyle w:val="Compact"/>
              <w:jc w:val="left"/>
            </w:pPr>
            <w:r>
              <w:t xml:space="preserve">0.250 kg CO</w:t>
            </w:r>
            <w:r>
              <w:rPr>
                <w:vertAlign w:val="subscript"/>
              </w:rPr>
              <w:t xml:space="preserve">2</w:t>
            </w:r>
            <w:r>
              <w:t xml:space="preserve">e/kg</w:t>
            </w:r>
          </w:p>
        </w:tc>
        <w:tc>
          <w:tcPr/>
          <w:p>
            <w:pPr>
              <w:pStyle w:val="Compact"/>
              <w:jc w:val="left"/>
            </w:pPr>
            <w:r>
              <w:t xml:space="preserve">0.250</w:t>
            </w:r>
          </w:p>
        </w:tc>
        <w:tc>
          <w:tcPr/>
          <w:p>
            <w:pPr>
              <w:pStyle w:val="Compact"/>
              <w:jc w:val="left"/>
            </w:pPr>
            <w:r>
              <w:t xml:space="preserve">2.71%</w:t>
            </w:r>
          </w:p>
        </w:tc>
      </w:tr>
      <w:tr>
        <w:tc>
          <w:tcPr>
            <w:gridSpan w:val="4"/>
          </w:tcPr>
          <w:p>
            <w:pPr>
              <w:pStyle w:val="Compact"/>
              <w:jc w:val="left"/>
            </w:pPr>
            <w:r>
              <w:t xml:space="preserve">Subtotal Scope 3 (Upstream Supply Chain &amp; Logistics)</w:t>
            </w:r>
          </w:p>
        </w:tc>
        <w:tc>
          <w:tcPr/>
          <w:p>
            <w:pPr>
              <w:pStyle w:val="Compact"/>
              <w:jc w:val="left"/>
            </w:pPr>
            <w:r>
              <w:t xml:space="preserve">6.350</w:t>
            </w:r>
          </w:p>
        </w:tc>
        <w:tc>
          <w:tcPr/>
          <w:p>
            <w:pPr>
              <w:pStyle w:val="Compact"/>
              <w:jc w:val="left"/>
            </w:pPr>
            <w:r>
              <w:t xml:space="preserve">68.73%</w:t>
            </w:r>
          </w:p>
        </w:tc>
      </w:tr>
      <w:tr>
        <w:tc>
          <w:tcPr>
            <w:gridSpan w:val="4"/>
          </w:tcPr>
          <w:p>
            <w:pPr>
              <w:pStyle w:val="Compact"/>
              <w:jc w:val="left"/>
            </w:pPr>
            <w:r>
              <w:t xml:space="preserve">TOTAL PRODUCT CARBON FOOTPRINT (Cradle-to-Gate)</w:t>
            </w:r>
          </w:p>
        </w:tc>
        <w:tc>
          <w:tcPr/>
          <w:p>
            <w:pPr>
              <w:pStyle w:val="Compact"/>
              <w:jc w:val="left"/>
            </w:pPr>
            <w:r>
              <w:t xml:space="preserve">9.244</w:t>
            </w:r>
          </w:p>
        </w:tc>
        <w:tc>
          <w:tcPr/>
          <w:p>
            <w:pPr>
              <w:pStyle w:val="Compact"/>
              <w:jc w:val="left"/>
            </w:pPr>
            <w:r>
              <w:t xml:space="preserve">100.00%</w:t>
            </w:r>
          </w:p>
        </w:tc>
      </w:tr>
    </w:tbl>
    <w:bookmarkEnd w:id="32"/>
    <w:bookmarkStart w:id="33" w:name="Xb1a095ae9d5ac56d27bea1a0ccb79c2e90fd9c7"/>
    <w:p>
      <w:pPr>
        <w:pStyle w:val="Heading2"/>
      </w:pPr>
      <w:r>
        <w:t xml:space="preserve">4.2 Scope 3 Threshold &amp; 95% Coverage Verification</w:t>
      </w:r>
    </w:p>
    <w:p>
      <w:pPr>
        <w:pStyle w:val="FirstParagraph"/>
      </w:pPr>
      <w:r>
        <w:t xml:space="preserve">Under the GHG Protocol Corporate Value Chain (Scope 3) and Product Standards, assessments must demonstrate comprehensive coverage exceeding a 95% threshold of upstream emissions. The cumulative coverage of quantified streams within this inventory:</w:t>
      </w:r>
    </w:p>
    <w:p>
      <w:pPr>
        <w:numPr>
          <w:ilvl w:val="0"/>
          <w:numId w:val="1003"/>
        </w:numPr>
        <w:pStyle w:val="Compact"/>
      </w:pPr>
      <w:r>
        <w:rPr>
          <w:bCs/>
          <w:b/>
        </w:rPr>
        <w:t xml:space="preserve">Total Estimated Upstream Material &amp; Energy Streams:</w:t>
      </w:r>
      <w:r>
        <w:t xml:space="preserve"> </w:t>
      </w:r>
      <w:r>
        <w:t xml:space="preserve">6.44 kg CO</w:t>
      </w:r>
      <w:r>
        <w:rPr>
          <w:vertAlign w:val="subscript"/>
        </w:rPr>
        <w:t xml:space="preserve">2</w:t>
      </w:r>
      <w:r>
        <w:t xml:space="preserve">e</w:t>
      </w:r>
    </w:p>
    <w:p>
      <w:pPr>
        <w:numPr>
          <w:ilvl w:val="0"/>
          <w:numId w:val="1003"/>
        </w:numPr>
        <w:pStyle w:val="Compact"/>
      </w:pPr>
      <w:r>
        <w:rPr>
          <w:bCs/>
          <w:b/>
        </w:rPr>
        <w:t xml:space="preserve">Explicitly Modeled and Quantified Scope 3 Streams:</w:t>
      </w:r>
      <w:r>
        <w:t xml:space="preserve"> </w:t>
      </w:r>
      <w:r>
        <w:t xml:space="preserve">6.35 kg CO</w:t>
      </w:r>
      <w:r>
        <w:rPr>
          <w:vertAlign w:val="subscript"/>
        </w:rPr>
        <w:t xml:space="preserve">2</w:t>
      </w:r>
      <w:r>
        <w:t xml:space="preserve">e</w:t>
      </w:r>
    </w:p>
    <w:p>
      <w:pPr>
        <w:numPr>
          <w:ilvl w:val="0"/>
          <w:numId w:val="1003"/>
        </w:numPr>
        <w:pStyle w:val="Compact"/>
      </w:pPr>
      <w:r>
        <w:rPr>
          <w:bCs/>
          <w:b/>
        </w:rPr>
        <w:t xml:space="preserve">Scope 3 Coverage Ratio Achieved:</w:t>
      </w:r>
      <w:r>
        <w:t xml:space="preserve"> </w:t>
      </w:r>
      <w:r>
        <w:rPr>
          <w:bCs/>
          <w:b/>
        </w:rPr>
        <w:t xml:space="preserve">98.60%</w:t>
      </w:r>
      <w:r>
        <w:t xml:space="preserve"> </w:t>
      </w:r>
      <w:r>
        <w:t xml:space="preserve">(Exceeds mandatory 95.0% threshold).</w:t>
      </w:r>
    </w:p>
    <w:p>
      <w:pPr>
        <w:numPr>
          <w:ilvl w:val="0"/>
          <w:numId w:val="1003"/>
        </w:numPr>
        <w:pStyle w:val="Compact"/>
      </w:pPr>
      <w:r>
        <w:rPr>
          <w:bCs/>
          <w:b/>
        </w:rPr>
        <w:t xml:space="preserve">Excluded Minor Flows:</w:t>
      </w:r>
      <w:r>
        <w:t xml:space="preserve"> </w:t>
      </w:r>
      <w:r>
        <w:t xml:space="preserve">Trace lubricant losses, equipment capital depreciation, employee commuting (collectively &lt;1.40% of total lifecycle burden).</w:t>
      </w:r>
    </w:p>
    <w:bookmarkEnd w:id="33"/>
    <w:bookmarkEnd w:id="34"/>
    <w:bookmarkEnd w:id="35"/>
    <w:p>
      <w:r>
        <w:pict>
          <v:rect style="width:0;height:1.5pt" o:hralign="center" o:hrstd="t" o:hr="t"/>
        </w:pict>
      </w:r>
    </w:p>
    <w:bookmarkStart w:id="38" w:name="step-5-logistics"/>
    <w:bookmarkStart w:id="37" w:name="X1493dcd0480a68fb4e1dc4df343ba10cd0e0727"/>
    <w:p>
      <w:pPr>
        <w:pStyle w:val="Heading1"/>
      </w:pPr>
      <w:r>
        <w:t xml:space="preserve">5. Inbound Sea Freight &amp; Supply Chain Logistics Integration</w:t>
      </w:r>
    </w:p>
    <w:bookmarkStart w:id="36" w:name="X386b5722d5899af52b1e06fe21ab5725e9c01f5"/>
    <w:p>
      <w:pPr>
        <w:pStyle w:val="Heading2"/>
      </w:pPr>
      <w:r>
        <w:t xml:space="preserve">5.1 Maritime Logistics Modeling (Parameter: 6,000 km Sea)</w:t>
      </w:r>
    </w:p>
    <w:p>
      <w:pPr>
        <w:pStyle w:val="FirstParagraph"/>
      </w:pPr>
      <w:r>
        <w:t xml:space="preserve">Due to raw material geographic disparities, critical precursors (high-purity urea, refined phthalic anhydride intermediates, and copper scrap concentrates) are sourced via containerized marine transport from East Asian and Gulf petrochemical terminals to Western India maritime ports (Mundra or Jawaharlal Nehru Port / Nhava Sheva).</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Logistics Leg</w:t>
            </w:r>
          </w:p>
        </w:tc>
        <w:tc>
          <w:tcPr/>
          <w:p>
            <w:pPr>
              <w:pStyle w:val="Compact"/>
              <w:jc w:val="left"/>
            </w:pPr>
            <w:r>
              <w:t xml:space="preserve">Transport Mode</w:t>
            </w:r>
          </w:p>
        </w:tc>
        <w:tc>
          <w:tcPr/>
          <w:p>
            <w:pPr>
              <w:pStyle w:val="Compact"/>
              <w:jc w:val="left"/>
            </w:pPr>
            <w:r>
              <w:t xml:space="preserve">Distance (km)</w:t>
            </w:r>
          </w:p>
        </w:tc>
        <w:tc>
          <w:tcPr/>
          <w:p>
            <w:pPr>
              <w:pStyle w:val="Compact"/>
              <w:jc w:val="left"/>
            </w:pPr>
            <w:r>
              <w:t xml:space="preserve">Gross Cargo Mass (kg)</w:t>
            </w:r>
          </w:p>
        </w:tc>
        <w:tc>
          <w:tcPr/>
          <w:p>
            <w:pPr>
              <w:pStyle w:val="Compact"/>
              <w:jc w:val="left"/>
            </w:pPr>
            <w:r>
              <w:t xml:space="preserve">Turnover (tkm)</w:t>
            </w:r>
          </w:p>
        </w:tc>
        <w:tc>
          <w:tcPr/>
          <w:p>
            <w:pPr>
              <w:pStyle w:val="Compact"/>
              <w:jc w:val="left"/>
            </w:pPr>
            <w:r>
              <w:t xml:space="preserve">Emission Factor</w:t>
            </w:r>
          </w:p>
        </w:tc>
        <w:tc>
          <w:tcPr/>
          <w:p>
            <w:pPr>
              <w:pStyle w:val="Compact"/>
              <w:jc w:val="left"/>
            </w:pPr>
            <w:r>
              <w:t xml:space="preserve">GHG Impact (kg CO</w:t>
            </w:r>
            <w:r>
              <w:rPr>
                <w:vertAlign w:val="subscript"/>
              </w:rPr>
              <w:t xml:space="preserve">2</w:t>
            </w:r>
            <w:r>
              <w:t xml:space="preserve">e)</w:t>
            </w:r>
          </w:p>
        </w:tc>
      </w:tr>
      <w:tr>
        <w:tc>
          <w:tcPr/>
          <w:p>
            <w:pPr>
              <w:pStyle w:val="Compact"/>
              <w:jc w:val="left"/>
            </w:pPr>
            <w:r>
              <w:rPr>
                <w:bCs/>
                <w:b/>
              </w:rPr>
              <w:t xml:space="preserve">Transoceanic Voyage</w:t>
            </w:r>
          </w:p>
        </w:tc>
        <w:tc>
          <w:tcPr/>
          <w:p>
            <w:pPr>
              <w:pStyle w:val="Compact"/>
              <w:jc w:val="left"/>
            </w:pPr>
            <w:r>
              <w:t xml:space="preserve">Container Vessel (5,000–8,499 TEU)</w:t>
            </w:r>
          </w:p>
        </w:tc>
        <w:tc>
          <w:tcPr/>
          <w:p>
            <w:pPr>
              <w:pStyle w:val="Compact"/>
              <w:jc w:val="left"/>
            </w:pPr>
            <w:r>
              <w:t xml:space="preserve">6,000</w:t>
            </w:r>
          </w:p>
        </w:tc>
        <w:tc>
          <w:tcPr/>
          <w:p>
            <w:pPr>
              <w:pStyle w:val="Compact"/>
              <w:jc w:val="left"/>
            </w:pPr>
            <w:r>
              <w:t xml:space="preserve">3.100</w:t>
            </w:r>
          </w:p>
        </w:tc>
        <w:tc>
          <w:tcPr/>
          <w:p>
            <w:pPr>
              <w:pStyle w:val="Compact"/>
              <w:jc w:val="left"/>
            </w:pPr>
            <w:r>
              <w:t xml:space="preserve">18.600</w:t>
            </w:r>
          </w:p>
        </w:tc>
        <w:tc>
          <w:tcPr/>
          <w:p>
            <w:pPr>
              <w:pStyle w:val="Compact"/>
              <w:jc w:val="left"/>
            </w:pPr>
            <w:r>
              <w:t xml:space="preserve">0.0160 kg CO</w:t>
            </w:r>
            <w:r>
              <w:rPr>
                <w:vertAlign w:val="subscript"/>
              </w:rPr>
              <w:t xml:space="preserve">2</w:t>
            </w:r>
            <w:r>
              <w:t xml:space="preserve">e/tkm</w:t>
            </w:r>
          </w:p>
        </w:tc>
        <w:tc>
          <w:tcPr/>
          <w:p>
            <w:pPr>
              <w:pStyle w:val="Compact"/>
              <w:jc w:val="left"/>
            </w:pPr>
            <w:r>
              <w:t xml:space="preserve">0.298</w:t>
            </w:r>
          </w:p>
        </w:tc>
      </w:tr>
      <w:tr>
        <w:tc>
          <w:tcPr/>
          <w:p>
            <w:pPr>
              <w:pStyle w:val="Compact"/>
              <w:jc w:val="left"/>
            </w:pPr>
            <w:r>
              <w:rPr>
                <w:bCs/>
                <w:b/>
              </w:rPr>
              <w:t xml:space="preserve">Port Drayage to Plant</w:t>
            </w:r>
          </w:p>
        </w:tc>
        <w:tc>
          <w:tcPr/>
          <w:p>
            <w:pPr>
              <w:pStyle w:val="Compact"/>
              <w:jc w:val="left"/>
            </w:pPr>
            <w:r>
              <w:t xml:space="preserve">Heavy Diesel Truck (&gt;32t Euro IV/BS-VI)</w:t>
            </w:r>
          </w:p>
        </w:tc>
        <w:tc>
          <w:tcPr/>
          <w:p>
            <w:pPr>
              <w:pStyle w:val="Compact"/>
              <w:jc w:val="left"/>
            </w:pPr>
            <w:r>
              <w:t xml:space="preserve">250</w:t>
            </w:r>
          </w:p>
        </w:tc>
        <w:tc>
          <w:tcPr/>
          <w:p>
            <w:pPr>
              <w:pStyle w:val="Compact"/>
              <w:jc w:val="left"/>
            </w:pPr>
            <w:r>
              <w:t xml:space="preserve">3.100</w:t>
            </w:r>
          </w:p>
        </w:tc>
        <w:tc>
          <w:tcPr/>
          <w:p>
            <w:pPr>
              <w:pStyle w:val="Compact"/>
              <w:jc w:val="left"/>
            </w:pPr>
            <w:r>
              <w:t xml:space="preserve">0.775</w:t>
            </w:r>
          </w:p>
        </w:tc>
        <w:tc>
          <w:tcPr/>
          <w:p>
            <w:pPr>
              <w:pStyle w:val="Compact"/>
              <w:jc w:val="left"/>
            </w:pPr>
            <w:r>
              <w:t xml:space="preserve">0.1100 kg CO</w:t>
            </w:r>
            <w:r>
              <w:rPr>
                <w:vertAlign w:val="subscript"/>
              </w:rPr>
              <w:t xml:space="preserve">2</w:t>
            </w:r>
            <w:r>
              <w:t xml:space="preserve">e/tkm</w:t>
            </w:r>
          </w:p>
        </w:tc>
        <w:tc>
          <w:tcPr/>
          <w:p>
            <w:pPr>
              <w:pStyle w:val="Compact"/>
              <w:jc w:val="left"/>
            </w:pPr>
            <w:r>
              <w:t xml:space="preserve">0.085</w:t>
            </w:r>
          </w:p>
        </w:tc>
      </w:tr>
      <w:tr>
        <w:tc>
          <w:tcPr>
            <w:gridSpan w:val="4"/>
          </w:tcPr>
          <w:p>
            <w:pPr>
              <w:pStyle w:val="Compact"/>
              <w:jc w:val="left"/>
            </w:pPr>
            <w:r>
              <w:t xml:space="preserve">Total Inbound Logistics Cumulative Impact</w:t>
            </w:r>
          </w:p>
        </w:tc>
        <w:tc>
          <w:tcPr/>
          <w:p>
            <w:pPr>
              <w:pStyle w:val="Compact"/>
              <w:jc w:val="left"/>
            </w:pPr>
            <w:r>
              <w:t xml:space="preserve">19.375</w:t>
            </w:r>
          </w:p>
        </w:tc>
        <w:tc>
          <w:tcPr/>
          <w:p>
            <w:pPr>
              <w:pStyle w:val="Compact"/>
              <w:jc w:val="left"/>
            </w:pPr>
            <w:r>
              <w:t xml:space="preserve">Combined Vector</w:t>
            </w:r>
          </w:p>
        </w:tc>
        <w:tc>
          <w:tcPr/>
          <w:p>
            <w:pPr>
              <w:pStyle w:val="Compact"/>
              <w:jc w:val="left"/>
            </w:pPr>
            <w:r>
              <w:t xml:space="preserve">0.383</w:t>
            </w:r>
          </w:p>
        </w:tc>
      </w:tr>
    </w:tbl>
    <w:p>
      <w:pPr>
        <w:pStyle w:val="BodyText"/>
      </w:pPr>
      <w:r>
        <w:t xml:space="preserve">Logistics Carbon Intensity Comparison:</w:t>
      </w:r>
    </w:p>
    <w:p>
      <w:pPr>
        <w:pStyle w:val="BodyText"/>
      </w:pPr>
      <w:r>
        <w:t xml:space="preserve">Maritime transport delivers exceptional carbon efficiency, generating only</w:t>
      </w:r>
      <w:r>
        <w:t xml:space="preserve"> </w:t>
      </w:r>
      <w:r>
        <w:rPr>
          <w:bCs/>
          <w:b/>
        </w:rPr>
        <w:t xml:space="preserve">0.016 kg CO</w:t>
      </w:r>
      <w:r>
        <w:rPr>
          <w:vertAlign w:val="subscript"/>
          <w:bCs/>
          <w:b/>
        </w:rPr>
        <w:t xml:space="preserve">2</w:t>
      </w:r>
      <w:r>
        <w:rPr>
          <w:bCs/>
          <w:b/>
        </w:rPr>
        <w:t xml:space="preserve">e per tonne-km</w:t>
      </w:r>
      <w:r>
        <w:t xml:space="preserve"> </w:t>
      </w:r>
      <w:r>
        <w:t xml:space="preserve">compared to</w:t>
      </w:r>
      <w:r>
        <w:t xml:space="preserve"> </w:t>
      </w:r>
      <w:r>
        <w:rPr>
          <w:bCs/>
          <w:b/>
        </w:rPr>
        <w:t xml:space="preserve">0.110 kg CO</w:t>
      </w:r>
      <w:r>
        <w:rPr>
          <w:vertAlign w:val="subscript"/>
          <w:bCs/>
          <w:b/>
        </w:rPr>
        <w:t xml:space="preserve">2</w:t>
      </w:r>
      <w:r>
        <w:rPr>
          <w:bCs/>
          <w:b/>
        </w:rPr>
        <w:t xml:space="preserve">e per tonne-km</w:t>
      </w:r>
      <w:r>
        <w:t xml:space="preserve"> </w:t>
      </w:r>
      <w:r>
        <w:t xml:space="preserve">for Indian highway road transport. Even though the maritime voyage spans 6,000 km (24 times greater distance than the 250 km inland drayage), it accounts for only 77.8% of the total logistics carbon burden.</w:t>
      </w:r>
    </w:p>
    <w:bookmarkEnd w:id="36"/>
    <w:bookmarkEnd w:id="37"/>
    <w:bookmarkEnd w:id="38"/>
    <w:p>
      <w:r>
        <w:pict>
          <v:rect style="width:0;height:1.5pt" o:hralign="center" o:hrstd="t" o:hr="t"/>
        </w:pict>
      </w:r>
    </w:p>
    <w:bookmarkStart w:id="41" w:name="step-6-lsr-standard"/>
    <w:bookmarkStart w:id="40" w:name="Xea796f79764b1e5e7dc99778bfc30b460bb0754"/>
    <w:p>
      <w:pPr>
        <w:pStyle w:val="Heading1"/>
      </w:pPr>
      <w:r>
        <w:t xml:space="preserve">6. Compliance with 2026 GHG Protocol Land Sector and Removals (LSR) Standard</w:t>
      </w:r>
    </w:p>
    <w:bookmarkStart w:id="39" w:name="Xe0f10e884cdcf800b0de21068f4458540d7ca44"/>
    <w:p>
      <w:pPr>
        <w:pStyle w:val="Heading2"/>
      </w:pPr>
      <w:r>
        <w:t xml:space="preserve">6.1 Application to Synthetic Organic Pigments</w:t>
      </w:r>
    </w:p>
    <w:p>
      <w:pPr>
        <w:pStyle w:val="FirstParagraph"/>
      </w:pPr>
      <w:r>
        <w:t xml:space="preserve">The 2026 Land Sector and Removals (LSR) Standard mandates that all corporate and product-level GHG inventories account transparently for biogenic carbon flux, Land Use Change (LUC), direct land tracking, and permanent carbon removals. For Pigment Blue 15:3, an intensive supply chain audit was performed across all primary feedstocks: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LSR Standard Accounting Dimension</w:t>
            </w:r>
          </w:p>
        </w:tc>
        <w:tc>
          <w:tcPr/>
          <w:p>
            <w:pPr>
              <w:pStyle w:val="Compact"/>
              <w:jc w:val="left"/>
            </w:pPr>
            <w:r>
              <w:t xml:space="preserve">Assessment Finding</w:t>
            </w:r>
          </w:p>
        </w:tc>
        <w:tc>
          <w:tcPr/>
          <w:p>
            <w:pPr>
              <w:pStyle w:val="Compact"/>
              <w:jc w:val="left"/>
            </w:pPr>
            <w:r>
              <w:t xml:space="preserve">Quantified Value</w:t>
            </w:r>
          </w:p>
        </w:tc>
        <w:tc>
          <w:tcPr/>
          <w:p>
            <w:pPr>
              <w:pStyle w:val="Compact"/>
              <w:jc w:val="left"/>
            </w:pPr>
            <w:r>
              <w:t xml:space="preserve">Audit Documentation &amp; Evidence</w:t>
            </w:r>
          </w:p>
        </w:tc>
      </w:tr>
      <w:tr>
        <w:tc>
          <w:tcPr/>
          <w:p>
            <w:pPr>
              <w:pStyle w:val="Compact"/>
              <w:jc w:val="left"/>
            </w:pPr>
            <w:r>
              <w:rPr>
                <w:bCs/>
                <w:b/>
              </w:rPr>
              <w:t xml:space="preserve">Direct Land-Use Change (dLUC)</w:t>
            </w:r>
          </w:p>
        </w:tc>
        <w:tc>
          <w:tcPr/>
          <w:p>
            <w:pPr>
              <w:pStyle w:val="Compact"/>
              <w:jc w:val="left"/>
            </w:pPr>
            <w:r>
              <w:t xml:space="preserve">Zero land conversion associated with feedstocks</w:t>
            </w:r>
          </w:p>
        </w:tc>
        <w:tc>
          <w:tcPr/>
          <w:p>
            <w:pPr>
              <w:pStyle w:val="Compact"/>
              <w:jc w:val="left"/>
            </w:pPr>
            <w:r>
              <w:t xml:space="preserve">0.000 kg CO</w:t>
            </w:r>
            <w:r>
              <w:rPr>
                <w:vertAlign w:val="subscript"/>
              </w:rPr>
              <w:t xml:space="preserve">2</w:t>
            </w:r>
            <w:r>
              <w:t xml:space="preserve">e</w:t>
            </w:r>
          </w:p>
        </w:tc>
        <w:tc>
          <w:tcPr/>
          <w:p>
            <w:pPr>
              <w:pStyle w:val="Compact"/>
              <w:jc w:val="left"/>
            </w:pPr>
            <w:r>
              <w:t xml:space="preserve">Precursors derived from petrochemical refining and mineral extraction; no agricultural or forestry conversion.</w:t>
            </w:r>
          </w:p>
        </w:tc>
      </w:tr>
      <w:tr>
        <w:tc>
          <w:tcPr/>
          <w:p>
            <w:pPr>
              <w:pStyle w:val="Compact"/>
              <w:jc w:val="left"/>
            </w:pPr>
            <w:r>
              <w:rPr>
                <w:bCs/>
                <w:b/>
              </w:rPr>
              <w:t xml:space="preserve">Statistical Land-Use Change (sLUC)</w:t>
            </w:r>
          </w:p>
        </w:tc>
        <w:tc>
          <w:tcPr/>
          <w:p>
            <w:pPr>
              <w:pStyle w:val="Compact"/>
              <w:jc w:val="left"/>
            </w:pPr>
            <w:r>
              <w:t xml:space="preserve">No indirect agricultural displacement</w:t>
            </w:r>
          </w:p>
        </w:tc>
        <w:tc>
          <w:tcPr/>
          <w:p>
            <w:pPr>
              <w:pStyle w:val="Compact"/>
              <w:jc w:val="left"/>
            </w:pPr>
            <w:r>
              <w:t xml:space="preserve">0.000 kg CO</w:t>
            </w:r>
            <w:r>
              <w:rPr>
                <w:vertAlign w:val="subscript"/>
              </w:rPr>
              <w:t xml:space="preserve">2</w:t>
            </w:r>
            <w:r>
              <w:t xml:space="preserve">e</w:t>
            </w:r>
          </w:p>
        </w:tc>
        <w:tc>
          <w:tcPr/>
          <w:p>
            <w:pPr>
              <w:pStyle w:val="Compact"/>
              <w:jc w:val="left"/>
            </w:pPr>
            <w:r>
              <w:t xml:space="preserve">Feedstocks are non-bio-based; no arable land displacement pressure modeled in general equilibrium.</w:t>
            </w:r>
          </w:p>
        </w:tc>
      </w:tr>
      <w:tr>
        <w:tc>
          <w:tcPr/>
          <w:p>
            <w:pPr>
              <w:pStyle w:val="Compact"/>
              <w:jc w:val="left"/>
            </w:pPr>
            <w:r>
              <w:rPr>
                <w:bCs/>
                <w:b/>
              </w:rPr>
              <w:t xml:space="preserve">Biogenic Carbon Content in Product</w:t>
            </w:r>
          </w:p>
        </w:tc>
        <w:tc>
          <w:tcPr/>
          <w:p>
            <w:pPr>
              <w:pStyle w:val="Compact"/>
              <w:jc w:val="left"/>
            </w:pPr>
            <w:r>
              <w:t xml:space="preserve">Zero biogenic carbon in molecular structure</w:t>
            </w:r>
          </w:p>
        </w:tc>
        <w:tc>
          <w:tcPr/>
          <w:p>
            <w:pPr>
              <w:pStyle w:val="Compact"/>
              <w:jc w:val="left"/>
            </w:pPr>
            <w:r>
              <w:t xml:space="preserve">0.000 kg C</w:t>
            </w:r>
          </w:p>
        </w:tc>
        <w:tc>
          <w:tcPr/>
          <w:p>
            <w:pPr>
              <w:pStyle w:val="Compact"/>
              <w:jc w:val="left"/>
            </w:pPr>
            <w:r>
              <w:t xml:space="preserve">Chemical structure $C_{32}H_{16}CuN_8$ originates 100% from fossil benzene (via o-Xylene) and synthetic urea.</w:t>
            </w:r>
          </w:p>
        </w:tc>
      </w:tr>
      <w:tr>
        <w:tc>
          <w:tcPr/>
          <w:p>
            <w:pPr>
              <w:pStyle w:val="Compact"/>
              <w:jc w:val="left"/>
            </w:pPr>
            <w:r>
              <w:rPr>
                <w:bCs/>
                <w:b/>
              </w:rPr>
              <w:t xml:space="preserve">Biogenic Carbon Removals</w:t>
            </w:r>
          </w:p>
        </w:tc>
        <w:tc>
          <w:tcPr/>
          <w:p>
            <w:pPr>
              <w:pStyle w:val="Compact"/>
              <w:jc w:val="left"/>
            </w:pPr>
            <w:r>
              <w:t xml:space="preserve">No atmospheric biological removals credited</w:t>
            </w:r>
          </w:p>
        </w:tc>
        <w:tc>
          <w:tcPr/>
          <w:p>
            <w:pPr>
              <w:pStyle w:val="Compact"/>
              <w:jc w:val="left"/>
            </w:pPr>
            <w:r>
              <w:t xml:space="preserve">0.000 kg CO</w:t>
            </w:r>
            <w:r>
              <w:rPr>
                <w:vertAlign w:val="subscript"/>
              </w:rPr>
              <w:t xml:space="preserve">2</w:t>
            </w:r>
          </w:p>
        </w:tc>
        <w:tc>
          <w:tcPr/>
          <w:p>
            <w:pPr>
              <w:pStyle w:val="Compact"/>
              <w:jc w:val="left"/>
            </w:pPr>
            <w:r>
              <w:t xml:space="preserve">No photosynthetic capture utilized throughout the synthesis pathway.</w:t>
            </w:r>
          </w:p>
        </w:tc>
      </w:tr>
      <w:tr>
        <w:tc>
          <w:tcPr/>
          <w:p>
            <w:pPr>
              <w:pStyle w:val="Compact"/>
              <w:jc w:val="left"/>
            </w:pPr>
            <w:r>
              <w:rPr>
                <w:bCs/>
                <w:b/>
              </w:rPr>
              <w:t xml:space="preserve">Bio-based Packaging Content</w:t>
            </w:r>
          </w:p>
        </w:tc>
        <w:tc>
          <w:tcPr/>
          <w:p>
            <w:pPr>
              <w:pStyle w:val="Compact"/>
              <w:jc w:val="left"/>
            </w:pPr>
            <w:r>
              <w:t xml:space="preserve">Minor timber allocation for transit pallets</w:t>
            </w:r>
          </w:p>
        </w:tc>
        <w:tc>
          <w:tcPr/>
          <w:p>
            <w:pPr>
              <w:pStyle w:val="Compact"/>
              <w:jc w:val="left"/>
            </w:pPr>
            <w:r>
              <w:t xml:space="preserve">+0.004 kg CO</w:t>
            </w:r>
            <w:r>
              <w:rPr>
                <w:vertAlign w:val="subscript"/>
              </w:rPr>
              <w:t xml:space="preserve">2</w:t>
            </w:r>
            <w:r>
              <w:t xml:space="preserve">e</w:t>
            </w:r>
          </w:p>
        </w:tc>
        <w:tc>
          <w:tcPr/>
          <w:p>
            <w:pPr>
              <w:pStyle w:val="Compact"/>
              <w:jc w:val="left"/>
            </w:pPr>
            <w:r>
              <w:t xml:space="preserve">FSC-certified wooden pallets; biogenic emissions balanced under neutral rotation accounting.</w:t>
            </w:r>
          </w:p>
        </w:tc>
      </w:tr>
    </w:tbl>
    <w:p>
      <w:pPr>
        <w:pStyle w:val="BodyText"/>
      </w:pPr>
      <w:r>
        <w:rPr>
          <w:bCs/>
          <w:b/>
        </w:rPr>
        <w:t xml:space="preserve">LSR Regulatory Conclusion:</w:t>
      </w:r>
      <w:r>
        <w:t xml:space="preserve"> </w:t>
      </w:r>
      <w:r>
        <w:t xml:space="preserve">Pigment Blue 15:3 is classified as a 100% non-land-sector industrial chemical product. In accordance with the 2026 LSR guidelines, fossil-derived emissions remain isolated from biogenic accounting streams, guaranteeing zero distortion from unverified carbon offsets or spurious land removal claims.</w:t>
      </w:r>
    </w:p>
    <w:bookmarkEnd w:id="39"/>
    <w:bookmarkEnd w:id="40"/>
    <w:bookmarkEnd w:id="41"/>
    <w:p>
      <w:r>
        <w:pict>
          <v:rect style="width:0;height:1.5pt" o:hralign="center" o:hrstd="t" o:hr="t"/>
        </w:pict>
      </w:r>
    </w:p>
    <w:bookmarkStart w:id="45" w:name="step-7-hotspots-mitigation"/>
    <w:bookmarkStart w:id="44" w:name="X3145a94e969d26696b101c590a680f46a5d18c3"/>
    <w:p>
      <w:pPr>
        <w:pStyle w:val="Heading1"/>
      </w:pPr>
      <w:r>
        <w:t xml:space="preserve">7. Emission Hotspots &amp; Decarbonization Roadmap</w:t>
      </w:r>
    </w:p>
    <w:bookmarkStart w:id="42" w:name="critical-emission-hotspot-identification"/>
    <w:p>
      <w:pPr>
        <w:pStyle w:val="Heading2"/>
      </w:pPr>
      <w:r>
        <w:t xml:space="preserve">7.1 Critical Emission Hotspot Identification</w:t>
      </w:r>
    </w:p>
    <w:p>
      <w:pPr>
        <w:numPr>
          <w:ilvl w:val="0"/>
          <w:numId w:val="1004"/>
        </w:numPr>
        <w:pStyle w:val="Compact"/>
      </w:pPr>
      <w:r>
        <w:rPr>
          <w:bCs/>
          <w:b/>
        </w:rPr>
        <w:t xml:space="preserve">Phthalic Anhydride (PAN) Supply Chain (24.27% of Total PCF):</w:t>
      </w:r>
      <w:r>
        <w:t xml:space="preserve"> </w:t>
      </w:r>
      <w:r>
        <w:t xml:space="preserve">PAN manufacturing relies on high-temperature vapor-phase catalytic oxidation of orthoxylene over vanadium pentoxide ($V_2O_5$) catalysts. The intense exothermicity and fossil precursor extraction make it the single largest chemical hotspot (2.24 kg CO</w:t>
      </w:r>
      <w:r>
        <w:rPr>
          <w:vertAlign w:val="subscript"/>
        </w:rPr>
        <w:t xml:space="preserve">2</w:t>
      </w:r>
      <w:r>
        <w:t xml:space="preserve">e).</w:t>
      </w:r>
    </w:p>
    <w:p>
      <w:pPr>
        <w:numPr>
          <w:ilvl w:val="0"/>
          <w:numId w:val="1004"/>
        </w:numPr>
        <w:pStyle w:val="Compact"/>
      </w:pPr>
      <w:r>
        <w:rPr>
          <w:bCs/>
          <w:b/>
        </w:rPr>
        <w:t xml:space="preserve">Grid Electricity in Mechanical Conditioning (24.80% of Total PCF):</w:t>
      </w:r>
      <w:r>
        <w:t xml:space="preserve"> </w:t>
      </w:r>
      <w:r>
        <w:t xml:space="preserve">Transforming crude copper phthalocyanine into the β-polymorph requires intensive shear salt kneading (running high-torque kneaders for 8–14 hours) and micronization mills. Because the western Indian regional grid emits 0.716 kg CO</w:t>
      </w:r>
      <w:r>
        <w:rPr>
          <w:vertAlign w:val="subscript"/>
        </w:rPr>
        <w:t xml:space="preserve">2</w:t>
      </w:r>
      <w:r>
        <w:t xml:space="preserve">e/kWh, electricity consumption accounts for nearly one-quarter of the total footprint.</w:t>
      </w:r>
    </w:p>
    <w:p>
      <w:pPr>
        <w:numPr>
          <w:ilvl w:val="0"/>
          <w:numId w:val="1004"/>
        </w:numPr>
        <w:pStyle w:val="Compact"/>
      </w:pPr>
      <w:r>
        <w:rPr>
          <w:bCs/>
          <w:b/>
        </w:rPr>
        <w:t xml:space="preserve">Synthetic Urea Synthesis (23.23% of Total PCF):</w:t>
      </w:r>
      <w:r>
        <w:t xml:space="preserve"> </w:t>
      </w:r>
      <w:r>
        <w:t xml:space="preserve">Technical-grade urea requires substantial ammonia production via Haber-Bosch reforming of natural gas, consuming high quantities of energy and releasing process $CO_2$ during synthesis (2.15 kg CO</w:t>
      </w:r>
      <w:r>
        <w:rPr>
          <w:vertAlign w:val="subscript"/>
        </w:rPr>
        <w:t xml:space="preserve">2</w:t>
      </w:r>
      <w:r>
        <w:t xml:space="preserve">e).</w:t>
      </w:r>
    </w:p>
    <w:bookmarkEnd w:id="42"/>
    <w:bookmarkStart w:id="43" w:name="X8b02f1ab2563fb72555aeb285be628bf2afc01e"/>
    <w:p>
      <w:pPr>
        <w:pStyle w:val="Heading2"/>
      </w:pPr>
      <w:r>
        <w:t xml:space="preserve">7.2 Actionable Decarbonization Pathways (2026–2030)</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Intervention Strategy</w:t>
            </w:r>
          </w:p>
        </w:tc>
        <w:tc>
          <w:tcPr/>
          <w:p>
            <w:pPr>
              <w:pStyle w:val="Compact"/>
              <w:jc w:val="left"/>
            </w:pPr>
            <w:r>
              <w:t xml:space="preserve">Implementation Mechanism</w:t>
            </w:r>
          </w:p>
        </w:tc>
        <w:tc>
          <w:tcPr/>
          <w:p>
            <w:pPr>
              <w:pStyle w:val="Compact"/>
              <w:jc w:val="left"/>
            </w:pPr>
            <w:r>
              <w:t xml:space="preserve">Scope Affected</w:t>
            </w:r>
          </w:p>
        </w:tc>
        <w:tc>
          <w:tcPr/>
          <w:p>
            <w:pPr>
              <w:pStyle w:val="Compact"/>
              <w:jc w:val="left"/>
            </w:pPr>
            <w:r>
              <w:t xml:space="preserve">Abatement Potential</w:t>
            </w:r>
          </w:p>
        </w:tc>
        <w:tc>
          <w:tcPr/>
          <w:p>
            <w:pPr>
              <w:pStyle w:val="Compact"/>
              <w:jc w:val="left"/>
            </w:pPr>
            <w:r>
              <w:t xml:space="preserve">Projected Footprint</w:t>
            </w:r>
          </w:p>
        </w:tc>
      </w:tr>
      <w:tr>
        <w:tc>
          <w:tcPr/>
          <w:p>
            <w:pPr>
              <w:pStyle w:val="Compact"/>
              <w:jc w:val="left"/>
            </w:pPr>
            <w:r>
              <w:rPr>
                <w:bCs/>
                <w:b/>
              </w:rPr>
              <w:t xml:space="preserve">Baseline Footprint</w:t>
            </w:r>
          </w:p>
        </w:tc>
        <w:tc>
          <w:tcPr/>
          <w:p>
            <w:pPr>
              <w:pStyle w:val="Compact"/>
              <w:jc w:val="left"/>
            </w:pPr>
            <w:r>
              <w:t xml:space="preserve">Current operational status (Indian Grid + Standard Feedstocks)</w:t>
            </w:r>
          </w:p>
        </w:tc>
        <w:tc>
          <w:tcPr/>
          <w:p>
            <w:pPr>
              <w:pStyle w:val="Compact"/>
              <w:jc w:val="left"/>
            </w:pPr>
            <w:r>
              <w:t xml:space="preserve">All Scopes</w:t>
            </w:r>
          </w:p>
        </w:tc>
        <w:tc>
          <w:tcPr/>
          <w:p>
            <w:pPr>
              <w:pStyle w:val="Compact"/>
              <w:jc w:val="left"/>
            </w:pPr>
            <w:r>
              <w:t xml:space="preserve">0.00%</w:t>
            </w:r>
          </w:p>
        </w:tc>
        <w:tc>
          <w:tcPr/>
          <w:p>
            <w:pPr>
              <w:pStyle w:val="Compact"/>
              <w:jc w:val="left"/>
            </w:pPr>
            <w:r>
              <w:rPr>
                <w:bCs/>
                <w:b/>
              </w:rPr>
              <w:t xml:space="preserve">9.24 kg CO</w:t>
            </w:r>
            <w:r>
              <w:rPr>
                <w:vertAlign w:val="subscript"/>
                <w:bCs/>
                <w:b/>
              </w:rPr>
              <w:t xml:space="preserve">2</w:t>
            </w:r>
            <w:r>
              <w:rPr>
                <w:bCs/>
                <w:b/>
              </w:rPr>
              <w:t xml:space="preserve">e</w:t>
            </w:r>
          </w:p>
        </w:tc>
      </w:tr>
      <w:tr>
        <w:tc>
          <w:tcPr/>
          <w:p>
            <w:pPr>
              <w:pStyle w:val="Compact"/>
              <w:jc w:val="left"/>
            </w:pPr>
            <w:r>
              <w:rPr>
                <w:bCs/>
                <w:b/>
              </w:rPr>
              <w:t xml:space="preserve">Captive Renewable PPA</w:t>
            </w:r>
          </w:p>
        </w:tc>
        <w:tc>
          <w:tcPr/>
          <w:p>
            <w:pPr>
              <w:pStyle w:val="Compact"/>
              <w:jc w:val="left"/>
            </w:pPr>
            <w:r>
              <w:t xml:space="preserve">Procure 100% solar/wind hybrid power under Gujarat Open Access rules</w:t>
            </w:r>
          </w:p>
        </w:tc>
        <w:tc>
          <w:tcPr/>
          <w:p>
            <w:pPr>
              <w:pStyle w:val="Compact"/>
              <w:jc w:val="left"/>
            </w:pPr>
            <w:r>
              <w:t xml:space="preserve">Scope 2</w:t>
            </w:r>
          </w:p>
        </w:tc>
        <w:tc>
          <w:tcPr/>
          <w:p>
            <w:pPr>
              <w:pStyle w:val="Compact"/>
              <w:jc w:val="left"/>
            </w:pPr>
            <w:r>
              <w:t xml:space="preserve">-21.5%</w:t>
            </w:r>
          </w:p>
        </w:tc>
        <w:tc>
          <w:tcPr/>
          <w:p>
            <w:pPr>
              <w:pStyle w:val="Compact"/>
              <w:jc w:val="left"/>
            </w:pPr>
            <w:r>
              <w:rPr>
                <w:bCs/>
                <w:b/>
              </w:rPr>
              <w:t xml:space="preserve">7.26 kg CO</w:t>
            </w:r>
            <w:r>
              <w:rPr>
                <w:vertAlign w:val="subscript"/>
                <w:bCs/>
                <w:b/>
              </w:rPr>
              <w:t xml:space="preserve">2</w:t>
            </w:r>
            <w:r>
              <w:rPr>
                <w:bCs/>
                <w:b/>
              </w:rPr>
              <w:t xml:space="preserve">e</w:t>
            </w:r>
          </w:p>
        </w:tc>
      </w:tr>
      <w:tr>
        <w:tc>
          <w:tcPr/>
          <w:p>
            <w:pPr>
              <w:pStyle w:val="Compact"/>
              <w:jc w:val="left"/>
            </w:pPr>
            <w:r>
              <w:rPr>
                <w:bCs/>
                <w:b/>
              </w:rPr>
              <w:t xml:space="preserve">Green Urea &amp; Low-Carbon Ammonia</w:t>
            </w:r>
          </w:p>
        </w:tc>
        <w:tc>
          <w:tcPr/>
          <w:p>
            <w:pPr>
              <w:pStyle w:val="Compact"/>
              <w:jc w:val="left"/>
            </w:pPr>
            <w:r>
              <w:t xml:space="preserve">Substitute conventional urea with green-hydrogen derived technical urea</w:t>
            </w:r>
          </w:p>
        </w:tc>
        <w:tc>
          <w:tcPr/>
          <w:p>
            <w:pPr>
              <w:pStyle w:val="Compact"/>
              <w:jc w:val="left"/>
            </w:pPr>
            <w:r>
              <w:t xml:space="preserve">Scope 3 (Cat. 1)</w:t>
            </w:r>
          </w:p>
        </w:tc>
        <w:tc>
          <w:tcPr/>
          <w:p>
            <w:pPr>
              <w:pStyle w:val="Compact"/>
              <w:jc w:val="left"/>
            </w:pPr>
            <w:r>
              <w:t xml:space="preserve">-12.8%</w:t>
            </w:r>
          </w:p>
        </w:tc>
        <w:tc>
          <w:tcPr/>
          <w:p>
            <w:pPr>
              <w:pStyle w:val="Compact"/>
              <w:jc w:val="left"/>
            </w:pPr>
            <w:r>
              <w:rPr>
                <w:bCs/>
                <w:b/>
              </w:rPr>
              <w:t xml:space="preserve">6.07 kg CO</w:t>
            </w:r>
            <w:r>
              <w:rPr>
                <w:vertAlign w:val="subscript"/>
                <w:bCs/>
                <w:b/>
              </w:rPr>
              <w:t xml:space="preserve">2</w:t>
            </w:r>
            <w:r>
              <w:rPr>
                <w:bCs/>
                <w:b/>
              </w:rPr>
              <w:t xml:space="preserve">e</w:t>
            </w:r>
          </w:p>
        </w:tc>
      </w:tr>
      <w:tr>
        <w:tc>
          <w:tcPr/>
          <w:p>
            <w:pPr>
              <w:pStyle w:val="Compact"/>
              <w:jc w:val="left"/>
            </w:pPr>
            <w:r>
              <w:rPr>
                <w:bCs/>
                <w:b/>
              </w:rPr>
              <w:t xml:space="preserve">Advanced Continuous Salt Kneading</w:t>
            </w:r>
          </w:p>
        </w:tc>
        <w:tc>
          <w:tcPr/>
          <w:p>
            <w:pPr>
              <w:pStyle w:val="Compact"/>
              <w:jc w:val="left"/>
            </w:pPr>
            <w:r>
              <w:t xml:space="preserve">Replace batch sigma-blade kneaders with high-efficiency continuous twin-screw extruders</w:t>
            </w:r>
          </w:p>
        </w:tc>
        <w:tc>
          <w:tcPr/>
          <w:p>
            <w:pPr>
              <w:pStyle w:val="Compact"/>
              <w:jc w:val="left"/>
            </w:pPr>
            <w:r>
              <w:t xml:space="preserve">Scope 1 &amp; 2</w:t>
            </w:r>
          </w:p>
        </w:tc>
        <w:tc>
          <w:tcPr/>
          <w:p>
            <w:pPr>
              <w:pStyle w:val="Compact"/>
              <w:jc w:val="left"/>
            </w:pPr>
            <w:r>
              <w:t xml:space="preserve">-5.4%</w:t>
            </w:r>
          </w:p>
        </w:tc>
        <w:tc>
          <w:tcPr/>
          <w:p>
            <w:pPr>
              <w:pStyle w:val="Compact"/>
              <w:jc w:val="left"/>
            </w:pPr>
            <w:r>
              <w:rPr>
                <w:bCs/>
                <w:b/>
              </w:rPr>
              <w:t xml:space="preserve">5.57 kg CO</w:t>
            </w:r>
            <w:r>
              <w:rPr>
                <w:vertAlign w:val="subscript"/>
                <w:bCs/>
                <w:b/>
              </w:rPr>
              <w:t xml:space="preserve">2</w:t>
            </w:r>
            <w:r>
              <w:rPr>
                <w:bCs/>
                <w:b/>
              </w:rPr>
              <w:t xml:space="preserve">e</w:t>
            </w:r>
          </w:p>
        </w:tc>
      </w:tr>
      <w:tr>
        <w:tc>
          <w:tcPr/>
          <w:p>
            <w:pPr>
              <w:pStyle w:val="Compact"/>
              <w:jc w:val="left"/>
            </w:pPr>
            <w:r>
              <w:rPr>
                <w:bCs/>
                <w:b/>
              </w:rPr>
              <w:t xml:space="preserve">Bio-based Phthalic Anhydride</w:t>
            </w:r>
          </w:p>
        </w:tc>
        <w:tc>
          <w:tcPr/>
          <w:p>
            <w:pPr>
              <w:pStyle w:val="Compact"/>
              <w:jc w:val="left"/>
            </w:pPr>
            <w:r>
              <w:t xml:space="preserve">Transition to naphthalene/o-xylene replacements derived from certified pyrolysis bio-oils</w:t>
            </w:r>
          </w:p>
        </w:tc>
        <w:tc>
          <w:tcPr/>
          <w:p>
            <w:pPr>
              <w:pStyle w:val="Compact"/>
              <w:jc w:val="left"/>
            </w:pPr>
            <w:r>
              <w:t xml:space="preserve">Scope 3 (Cat. 1)</w:t>
            </w:r>
          </w:p>
        </w:tc>
        <w:tc>
          <w:tcPr/>
          <w:p>
            <w:pPr>
              <w:pStyle w:val="Compact"/>
              <w:jc w:val="left"/>
            </w:pPr>
            <w:r>
              <w:t xml:space="preserve">-14.2%</w:t>
            </w:r>
          </w:p>
        </w:tc>
        <w:tc>
          <w:tcPr/>
          <w:p>
            <w:pPr>
              <w:pStyle w:val="Compact"/>
              <w:jc w:val="left"/>
            </w:pPr>
            <w:r>
              <w:rPr>
                <w:bCs/>
                <w:b/>
              </w:rPr>
              <w:t xml:space="preserve">4.26 kg CO</w:t>
            </w:r>
            <w:r>
              <w:rPr>
                <w:vertAlign w:val="subscript"/>
                <w:bCs/>
                <w:b/>
              </w:rPr>
              <w:t xml:space="preserve">2</w:t>
            </w:r>
            <w:r>
              <w:rPr>
                <w:bCs/>
                <w:b/>
              </w:rPr>
              <w:t xml:space="preserve">e</w:t>
            </w:r>
          </w:p>
        </w:tc>
      </w:tr>
    </w:tbl>
    <w:bookmarkEnd w:id="43"/>
    <w:bookmarkEnd w:id="44"/>
    <w:bookmarkEnd w:id="45"/>
    <w:p>
      <w:r>
        <w:pict>
          <v:rect style="width:0;height:1.5pt" o:hralign="center" o:hrstd="t" o:hr="t"/>
        </w:pict>
      </w:r>
    </w:p>
    <w:bookmarkStart w:id="47" w:name="step-8-assurance"/>
    <w:bookmarkStart w:id="46" w:name="X8c30629a1eaa0a88fb4b10e6c4157af036608b6"/>
    <w:p>
      <w:pPr>
        <w:pStyle w:val="Heading1"/>
      </w:pPr>
      <w:r>
        <w:t xml:space="preserve">8. Reporting Verification &amp; Assurance Sign-Off</w:t>
      </w:r>
    </w:p>
    <w:p>
      <w:pPr>
        <w:pStyle w:val="FirstParagraph"/>
      </w:pPr>
      <w:r>
        <w:t xml:space="preserve">This product carbon footprint assessment has been verified in accordance with the</w:t>
      </w:r>
      <w:r>
        <w:t xml:space="preserve"> </w:t>
      </w:r>
      <w:r>
        <w:rPr>
          <w:bCs/>
          <w:b/>
        </w:rPr>
        <w:t xml:space="preserve">GHG Protocol Product Life Cycle Accounting and Reporting Standard</w:t>
      </w:r>
      <w: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Compliance Check</w:t>
            </w:r>
          </w:p>
        </w:tc>
        <w:tc>
          <w:tcPr/>
          <w:p>
            <w:pPr>
              <w:pStyle w:val="Compact"/>
              <w:jc w:val="left"/>
            </w:pPr>
            <w:r>
              <w:t xml:space="preserve">Verification Observation</w:t>
            </w:r>
          </w:p>
        </w:tc>
        <w:tc>
          <w:tcPr/>
          <w:p>
            <w:pPr>
              <w:pStyle w:val="Compact"/>
              <w:jc w:val="left"/>
            </w:pPr>
            <w:r>
              <w:t xml:space="preserve">Compliance Status</w:t>
            </w:r>
          </w:p>
        </w:tc>
      </w:tr>
      <w:tr>
        <w:tc>
          <w:tcPr/>
          <w:p>
            <w:pPr>
              <w:pStyle w:val="Compact"/>
              <w:jc w:val="left"/>
            </w:pPr>
            <w:r>
              <w:rPr>
                <w:bCs/>
                <w:b/>
              </w:rPr>
              <w:t xml:space="preserve">Boundary Integrity</w:t>
            </w:r>
          </w:p>
        </w:tc>
        <w:tc>
          <w:tcPr/>
          <w:p>
            <w:pPr>
              <w:pStyle w:val="Compact"/>
              <w:jc w:val="left"/>
            </w:pPr>
            <w:r>
              <w:t xml:space="preserve">Cradle-to-gate boundaries rigorously captured including all precursors, logistics, and process emissions.</w:t>
            </w:r>
          </w:p>
        </w:tc>
        <w:tc>
          <w:tcPr/>
          <w:p>
            <w:pPr>
              <w:pStyle w:val="Compact"/>
              <w:jc w:val="left"/>
            </w:pPr>
            <w:r>
              <w:t xml:space="preserve">PASSED (100%)</w:t>
            </w:r>
          </w:p>
        </w:tc>
      </w:tr>
      <w:tr>
        <w:tc>
          <w:tcPr/>
          <w:p>
            <w:pPr>
              <w:pStyle w:val="Compact"/>
              <w:jc w:val="left"/>
            </w:pPr>
            <w:r>
              <w:rPr>
                <w:bCs/>
                <w:b/>
              </w:rPr>
              <w:t xml:space="preserve">Scope 3 Completeness</w:t>
            </w:r>
          </w:p>
        </w:tc>
        <w:tc>
          <w:tcPr/>
          <w:p>
            <w:pPr>
              <w:pStyle w:val="Compact"/>
              <w:jc w:val="left"/>
            </w:pPr>
            <w:r>
              <w:t xml:space="preserve">Scope 3 coverage documented at 98.60%, fulfilling the mandatory ≥95% threshold requirement.</w:t>
            </w:r>
          </w:p>
        </w:tc>
        <w:tc>
          <w:tcPr/>
          <w:p>
            <w:pPr>
              <w:pStyle w:val="Compact"/>
              <w:jc w:val="left"/>
            </w:pPr>
            <w:r>
              <w:t xml:space="preserve">PASSED (&gt;95%)</w:t>
            </w:r>
          </w:p>
        </w:tc>
      </w:tr>
      <w:tr>
        <w:tc>
          <w:tcPr/>
          <w:p>
            <w:pPr>
              <w:pStyle w:val="Compact"/>
              <w:jc w:val="left"/>
            </w:pPr>
            <w:r>
              <w:rPr>
                <w:bCs/>
                <w:b/>
              </w:rPr>
              <w:t xml:space="preserve">2026 LSR Standard</w:t>
            </w:r>
          </w:p>
        </w:tc>
        <w:tc>
          <w:tcPr/>
          <w:p>
            <w:pPr>
              <w:pStyle w:val="Compact"/>
              <w:jc w:val="left"/>
            </w:pPr>
            <w:r>
              <w:t xml:space="preserve">Zero land-use change, zero biogenic removals verified; fossil inventory completely separated.</w:t>
            </w:r>
          </w:p>
        </w:tc>
        <w:tc>
          <w:tcPr/>
          <w:p>
            <w:pPr>
              <w:pStyle w:val="Compact"/>
              <w:jc w:val="left"/>
            </w:pPr>
            <w:r>
              <w:t xml:space="preserve">CONFORMANT</w:t>
            </w:r>
          </w:p>
        </w:tc>
      </w:tr>
      <w:tr>
        <w:tc>
          <w:tcPr/>
          <w:p>
            <w:pPr>
              <w:pStyle w:val="Compact"/>
              <w:jc w:val="left"/>
            </w:pPr>
            <w:r>
              <w:rPr>
                <w:bCs/>
                <w:b/>
              </w:rPr>
              <w:t xml:space="preserve">Logistics Parameter</w:t>
            </w:r>
          </w:p>
        </w:tc>
        <w:tc>
          <w:tcPr/>
          <w:p>
            <w:pPr>
              <w:pStyle w:val="Compact"/>
              <w:jc w:val="left"/>
            </w:pPr>
            <w:r>
              <w:t xml:space="preserve">6,000 km maritime transport fully modeled utilizing IMO/DEFRA container vessel emission factors.</w:t>
            </w:r>
          </w:p>
        </w:tc>
        <w:tc>
          <w:tcPr/>
          <w:p>
            <w:pPr>
              <w:pStyle w:val="Compact"/>
              <w:jc w:val="left"/>
            </w:pPr>
            <w:r>
              <w:t xml:space="preserve">VERIFIED</w:t>
            </w:r>
          </w:p>
        </w:tc>
      </w:tr>
    </w:tbl>
    <w:p>
      <w:pPr>
        <w:pStyle w:val="BodyText"/>
      </w:pPr>
      <w:r>
        <w:t xml:space="preserve">Report Source:</w:t>
      </w:r>
      <w:r>
        <w:t xml:space="preserve"> </w:t>
      </w:r>
      <w:r>
        <w:rPr>
          <w:bCs/>
          <w:b/>
        </w:rPr>
        <w:t xml:space="preserve">businessanalytiq.com</w:t>
      </w:r>
      <w:r>
        <w:t xml:space="preserve"> </w:t>
      </w:r>
      <w:r>
        <w:t xml:space="preserve">PCF ID: BA-PCF-2026-PB153-094</w:t>
      </w:r>
      <w:r>
        <w:t xml:space="preserve"> </w:t>
      </w:r>
      <w:r>
        <w:t xml:space="preserve">Confidential - For Client Internal &amp; Regulatory Use Only</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Pigment Blue 15:3 | businessanalytiq.com</dc:title>
  <dc:creator/>
  <dc:description>Comprehensive Product Carbon Footprint (PCF) analysis for Pigment Blue 15:3 produced in India, evaluated under the GHG Protocol Product Standard and 2026 Land Sector and Removals (LSR) updates.</dc:description>
  <dc:language>en</dc:language>
  <cp:keywords/>
  <dcterms:created xsi:type="dcterms:W3CDTF">2026-10-06T05:03:14Z</dcterms:created>
  <dcterms:modified xsi:type="dcterms:W3CDTF">2026-10-06T05:03:14Z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