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Methyl</w:t>
      </w:r>
      <w:r>
        <w:t xml:space="preserve"> </w:t>
      </w:r>
      <w:r>
        <w:t xml:space="preserve">Methacrylate</w:t>
      </w:r>
      <w:r>
        <w:t xml:space="preserve"> </w:t>
      </w:r>
      <w:r>
        <w:t xml:space="preserve">(MMA)</w:t>
      </w:r>
      <w:r>
        <w:t xml:space="preserve"> </w:t>
      </w:r>
      <w:r>
        <w:t xml:space="preserve">|</w:t>
      </w:r>
      <w:r>
        <w:t xml:space="preserve"> </w:t>
      </w:r>
      <w:r>
        <w:t xml:space="preserve">GHG</w:t>
      </w:r>
      <w:r>
        <w:t xml:space="preserve"> </w:t>
      </w:r>
      <w:r>
        <w:t xml:space="preserve">Protocol</w:t>
      </w:r>
    </w:p>
    <w:p>
      <w:pPr>
        <w:pStyle w:val="FirstParagraph"/>
      </w:pPr>
      <w:r>
        <w:t xml:space="preserve">businessanalytiq.com</w:t>
      </w:r>
    </w:p>
    <w:p>
      <w:pPr>
        <w:pStyle w:val="BodyText"/>
      </w:pPr>
      <w:r>
        <w:t xml:space="preserve">GHG Protocol Product Life Cycle Accounting</w:t>
      </w:r>
    </w:p>
    <w:bookmarkStart w:id="20" w:name="product-carbon-footprint-pcf-analysis"/>
    <w:p>
      <w:pPr>
        <w:pStyle w:val="Heading1"/>
      </w:pPr>
      <w:r>
        <w:t xml:space="preserve">Product Carbon Footprint (PCF) Analysis</w:t>
      </w:r>
    </w:p>
    <w:p>
      <w:pPr>
        <w:pStyle w:val="FirstParagraph"/>
      </w:pPr>
      <w:r>
        <w:t xml:space="preserve">Methyl Methacrylate (MMA) Monomer — Lifetime Cradle-to-Grave Assessment</w:t>
      </w:r>
    </w:p>
    <w:bookmarkEnd w:id="20"/>
    <w:p>
      <w:pPr>
        <w:pStyle w:val="BodyText"/>
      </w:pPr>
      <w:r>
        <w:rPr>
          <w:bCs/>
          <w:b/>
        </w:rPr>
        <w:t xml:space="preserve">Accounting Standard:</w:t>
      </w:r>
      <w:r>
        <w:t xml:space="preserve"> </w:t>
      </w:r>
      <w:r>
        <w:t xml:space="preserve">GHG Protocol Product Life Cycle Accounting and Reporting Standard</w:t>
      </w:r>
    </w:p>
    <w:p>
      <w:pPr>
        <w:pStyle w:val="BodyText"/>
      </w:pPr>
      <w:r>
        <w:rPr>
          <w:bCs/>
          <w:b/>
        </w:rPr>
        <w:t xml:space="preserve">Methodological Standards:</w:t>
      </w:r>
      <w:r>
        <w:t xml:space="preserve"> </w:t>
      </w:r>
      <w:r>
        <w:t xml:space="preserve">GHG Protocol Land Sector and Removals (LSR) Standard (2026); ISO 14067:2018</w:t>
      </w:r>
    </w:p>
    <w:p>
      <w:pPr>
        <w:pStyle w:val="BodyText"/>
      </w:pPr>
      <w:r>
        <w:rPr>
          <w:bCs/>
          <w:b/>
        </w:rPr>
        <w:t xml:space="preserve">Scope 3 Coverage Threshold:</w:t>
      </w:r>
      <w:r>
        <w:t xml:space="preserve"> </w:t>
      </w:r>
      <w:r>
        <w:t xml:space="preserve">&gt;95% Material &amp; Process Boundary Completeness Verified</w:t>
      </w:r>
    </w:p>
    <w:p>
      <w:pPr>
        <w:pStyle w:val="BodyText"/>
      </w:pPr>
      <w:r>
        <w:rPr>
          <w:bCs/>
          <w:b/>
        </w:rPr>
        <w:t xml:space="preserve">Product Studied:</w:t>
      </w:r>
      <w:r>
        <w:t xml:space="preserve"> </w:t>
      </w:r>
      <w:r>
        <w:t xml:space="preserve">High-Purity Methyl Methacrylate (MMA, CAS 80-62-6)</w:t>
      </w:r>
    </w:p>
    <w:p>
      <w:pPr>
        <w:pStyle w:val="BodyText"/>
      </w:pPr>
      <w:r>
        <w:rPr>
          <w:bCs/>
          <w:b/>
        </w:rPr>
        <w:t xml:space="preserve">Functional Unit:</w:t>
      </w:r>
      <w:r>
        <w:t xml:space="preserve"> </w:t>
      </w:r>
      <w:r>
        <w:t xml:space="preserve">1.0 kg of packaged, liquid Methyl Methacrylate</w:t>
      </w:r>
    </w:p>
    <w:p>
      <w:pPr>
        <w:pStyle w:val="BodyText"/>
      </w:pPr>
      <w:r>
        <w:rPr>
          <w:bCs/>
          <w:b/>
        </w:rPr>
        <w:t xml:space="preserve">System Boundary:</w:t>
      </w:r>
      <w:r>
        <w:t xml:space="preserve"> </w:t>
      </w:r>
      <w:r>
        <w:t xml:space="preserve">Lifetime (Cradle-to-Grave)</w:t>
      </w:r>
    </w:p>
    <w:p>
      <w:pPr>
        <w:pStyle w:val="BodyText"/>
      </w:pPr>
      <w:r>
        <w:rPr>
          <w:bCs/>
          <w:b/>
        </w:rPr>
        <w:t xml:space="preserve">Final Production Country:</w:t>
      </w:r>
      <w:r>
        <w:t xml:space="preserve"> </w:t>
      </w:r>
      <w:r>
        <w:t xml:space="preserve">Germany</w:t>
      </w:r>
    </w:p>
    <w:p>
      <w:pPr>
        <w:pStyle w:val="BodyText"/>
      </w:pPr>
      <w:r>
        <w:rPr>
          <w:bCs/>
          <w:b/>
        </w:rPr>
        <w:t xml:space="preserve">Supply Chain Focus:</w:t>
      </w:r>
      <w:r>
        <w:t xml:space="preserve"> </w:t>
      </w:r>
      <w:r>
        <w:t xml:space="preserve">Europe-Focused Chemical Value Chain</w:t>
      </w:r>
    </w:p>
    <w:p>
      <w:pPr>
        <w:pStyle w:val="BodyText"/>
      </w:pPr>
      <w:r>
        <w:rPr>
          <w:bCs/>
          <w:b/>
        </w:rPr>
        <w:t xml:space="preserve">Outbound Logistics:</w:t>
      </w:r>
      <w:r>
        <w:t xml:space="preserve"> </w:t>
      </w:r>
      <w:r>
        <w:t xml:space="preserve">Rail Freight (900 km, European Continental Grid)</w:t>
      </w:r>
    </w:p>
    <w:p>
      <w:pPr>
        <w:pStyle w:val="BodyText"/>
      </w:pPr>
      <w:r>
        <w:rPr>
          <w:bCs/>
          <w:b/>
        </w:rPr>
        <w:t xml:space="preserve">Author &amp; Organization:</w:t>
      </w:r>
      <w:r>
        <w:t xml:space="preserve"> </w:t>
      </w:r>
      <w:r>
        <w:t xml:space="preserve">Senior Sustainability Consultant, Business Analytiq Advisory Services</w:t>
      </w:r>
    </w:p>
    <w:p>
      <w:pPr>
        <w:pStyle w:val="BodyText"/>
      </w:pPr>
      <w:r>
        <w:rPr>
          <w:bCs/>
          <w:b/>
        </w:rPr>
        <w:t xml:space="preserve">Assessment Date:</w:t>
      </w:r>
      <w:r>
        <w:t xml:space="preserve"> </w:t>
      </w:r>
      <w:r>
        <w:t xml:space="preserve">November 2026</w:t>
      </w:r>
    </w:p>
    <w:p>
      <w:pPr>
        <w:pStyle w:val="BodyText"/>
      </w:pPr>
      <w:r>
        <w:rPr>
          <w:bCs/>
          <w:b/>
        </w:rPr>
        <w:t xml:space="preserve">Disclaimer:</w:t>
      </w:r>
      <w:r>
        <w:t xml:space="preserve"> </w:t>
      </w:r>
      <w:r>
        <w:t xml:space="preserve">This report has been prepared by businessanalytiq.com in accordance with the Greenhouse Gas Protocol Product Life Cycle Accounting and Reporting Standard and the 2026 Land Sector and Removals (LSR) Guidance. All primary production modeling and secondary emissions inventory datasets are derived from certified European chemical industry benchmarks (Ecoinvent v3.10, Plastics Europe, and DEFRA 2025/2026 factors). This document is intended for professional environmental declarations, carbon accounting disclosure, and internal supply chain decarbonization strategies.</w:t>
      </w:r>
    </w:p>
    <w:p>
      <w:pPr>
        <w:pStyle w:val="BodyText"/>
      </w:pPr>
      <w:r>
        <w:t xml:space="preserve">Product Carbon Footprint: Methyl Methacrylate (MMA)</w:t>
      </w:r>
    </w:p>
    <w:p>
      <w:pPr>
        <w:pStyle w:val="BodyText"/>
      </w:pPr>
      <w:r>
        <w:t xml:space="preserve">Generated Date: November 6, 2026 | businessanalytiq.com</w:t>
      </w:r>
    </w:p>
    <w:bookmarkStart w:id="22" w:name="executive-summary"/>
    <w:p>
      <w:pPr>
        <w:pStyle w:val="Heading2"/>
      </w:pPr>
      <w:r>
        <w:t xml:space="preserve">Executive Summary</w:t>
      </w:r>
    </w:p>
    <w:p>
      <w:pPr>
        <w:pStyle w:val="FirstParagraph"/>
      </w:pPr>
      <w:r>
        <w:t xml:space="preserve">This report delivers an exhaustive, cradle-to-grave Product Carbon Footprint (PCF) analysis for</w:t>
      </w:r>
      <w:r>
        <w:t xml:space="preserve"> </w:t>
      </w:r>
      <w:r>
        <w:rPr>
          <w:bCs/>
          <w:b/>
        </w:rPr>
        <w:t xml:space="preserve">1.0 kg of Methyl Methacrylate (MMA)</w:t>
      </w:r>
      <w:r>
        <w:t xml:space="preserve"> </w:t>
      </w:r>
      <w:r>
        <w:t xml:space="preserve">monomer produced in</w:t>
      </w:r>
      <w:r>
        <w:t xml:space="preserve"> </w:t>
      </w:r>
      <w:r>
        <w:rPr>
          <w:bCs/>
          <w:b/>
        </w:rPr>
        <w:t xml:space="preserve">Germany</w:t>
      </w:r>
      <w:r>
        <w:t xml:space="preserve"> </w:t>
      </w:r>
      <w:r>
        <w:t xml:space="preserve">and distributed across Europe. The study follows the</w:t>
      </w:r>
      <w:r>
        <w:t xml:space="preserve"> </w:t>
      </w:r>
      <w:r>
        <w:rPr>
          <w:bCs/>
          <w:b/>
        </w:rPr>
        <w:t xml:space="preserve">GHG Protocol Product Life Cycle Accounting and Reporting Standard</w:t>
      </w:r>
      <w:r>
        <w:t xml:space="preserve">, integrates the</w:t>
      </w:r>
      <w:r>
        <w:t xml:space="preserve"> </w:t>
      </w:r>
      <w:r>
        <w:rPr>
          <w:bCs/>
          <w:b/>
        </w:rPr>
        <w:t xml:space="preserve">2026 Land Sector and Removals (LSR) Standard</w:t>
      </w:r>
      <w:r>
        <w:t xml:space="preserve"> </w:t>
      </w:r>
      <w:r>
        <w:t xml:space="preserve">updates, and maintains complete Scope 3 compliance with over</w:t>
      </w:r>
      <w:r>
        <w:t xml:space="preserve"> </w:t>
      </w:r>
      <w:r>
        <w:rPr>
          <w:bCs/>
          <w:b/>
        </w:rPr>
        <w:t xml:space="preserve">98.2% life cycle coverage</w:t>
      </w:r>
      <w:r>
        <w:t xml:space="preserve"> </w:t>
      </w:r>
      <w:r>
        <w:t xml:space="preserve">(exceeding the 95% compliance threshold).</w:t>
      </w:r>
    </w:p>
    <w:p>
      <w:pPr>
        <w:pStyle w:val="BodyText"/>
      </w:pPr>
      <w:r>
        <w:t xml:space="preserve">Scope 1 (Direct)</w:t>
      </w:r>
    </w:p>
    <w:p>
      <w:pPr>
        <w:pStyle w:val="BodyText"/>
      </w:pPr>
      <w:r>
        <w:t xml:space="preserve">0.421</w:t>
      </w:r>
    </w:p>
    <w:p>
      <w:pPr>
        <w:pStyle w:val="BodyText"/>
      </w:pPr>
      <w:r>
        <w:t xml:space="preserve">kg CO</w:t>
      </w:r>
      <w:r>
        <w:rPr>
          <w:vertAlign w:val="subscript"/>
        </w:rPr>
        <w:t xml:space="preserve">2</w:t>
      </w:r>
      <w:r>
        <w:t xml:space="preserve">e / kg MMA (7.2%)</w:t>
      </w:r>
    </w:p>
    <w:p>
      <w:pPr>
        <w:pStyle w:val="BodyText"/>
      </w:pPr>
      <w:r>
        <w:t xml:space="preserve">Scope 2 (Market-based)</w:t>
      </w:r>
    </w:p>
    <w:p>
      <w:pPr>
        <w:pStyle w:val="BodyText"/>
      </w:pPr>
      <w:r>
        <w:t xml:space="preserve">0.312</w:t>
      </w:r>
    </w:p>
    <w:p>
      <w:pPr>
        <w:pStyle w:val="BodyText"/>
      </w:pPr>
      <w:r>
        <w:t xml:space="preserve">kg CO</w:t>
      </w:r>
      <w:r>
        <w:rPr>
          <w:vertAlign w:val="subscript"/>
        </w:rPr>
        <w:t xml:space="preserve">2</w:t>
      </w:r>
      <w:r>
        <w:t xml:space="preserve">e / kg MMA (5.3%)</w:t>
      </w:r>
    </w:p>
    <w:p>
      <w:pPr>
        <w:pStyle w:val="BodyText"/>
      </w:pPr>
      <w:r>
        <w:t xml:space="preserve">Scope 3 (Up &amp; Down)</w:t>
      </w:r>
    </w:p>
    <w:p>
      <w:pPr>
        <w:pStyle w:val="BodyText"/>
      </w:pPr>
      <w:r>
        <w:t xml:space="preserve">5.127</w:t>
      </w:r>
    </w:p>
    <w:p>
      <w:pPr>
        <w:pStyle w:val="BodyText"/>
      </w:pPr>
      <w:r>
        <w:t xml:space="preserve">kg CO</w:t>
      </w:r>
      <w:r>
        <w:rPr>
          <w:vertAlign w:val="subscript"/>
        </w:rPr>
        <w:t xml:space="preserve">2</w:t>
      </w:r>
      <w:r>
        <w:t xml:space="preserve">e / kg MMA (87.5%)</w:t>
      </w:r>
    </w:p>
    <w:p>
      <w:pPr>
        <w:pStyle w:val="BodyText"/>
      </w:pPr>
      <w:r>
        <w:t xml:space="preserve">Total Lifetime PCF</w:t>
      </w:r>
    </w:p>
    <w:p>
      <w:pPr>
        <w:pStyle w:val="BodyText"/>
      </w:pPr>
      <w:r>
        <w:t xml:space="preserve">5.860</w:t>
      </w:r>
    </w:p>
    <w:p>
      <w:pPr>
        <w:pStyle w:val="BodyText"/>
      </w:pPr>
      <w:r>
        <w:t xml:space="preserve">kg CO</w:t>
      </w:r>
      <w:r>
        <w:rPr>
          <w:vertAlign w:val="subscript"/>
        </w:rPr>
        <w:t xml:space="preserve">2</w:t>
      </w:r>
      <w:r>
        <w:t xml:space="preserve">e / kg MMA (100%)</w:t>
      </w:r>
    </w:p>
    <w:bookmarkStart w:id="21" w:name="key-findings-strategic-insights"/>
    <w:p>
      <w:pPr>
        <w:pStyle w:val="Heading3"/>
      </w:pPr>
      <w:r>
        <w:t xml:space="preserve">Key Findings &amp; Strategic Insights</w:t>
      </w:r>
    </w:p>
    <w:p>
      <w:pPr>
        <w:numPr>
          <w:ilvl w:val="0"/>
          <w:numId w:val="1001"/>
        </w:numPr>
        <w:pStyle w:val="Compact"/>
      </w:pPr>
      <w:r>
        <w:rPr>
          <w:bCs/>
          <w:b/>
        </w:rPr>
        <w:t xml:space="preserve">Total Lifetime Footprint:</w:t>
      </w:r>
      <w:r>
        <w:t xml:space="preserve"> </w:t>
      </w:r>
      <w:r>
        <w:t xml:space="preserve">The cradle-to-grave carbon intensity of MMA produced in Germany is calculated at</w:t>
      </w:r>
      <w:r>
        <w:t xml:space="preserve"> </w:t>
      </w:r>
      <w:r>
        <w:rPr>
          <w:bCs/>
          <w:b/>
        </w:rPr>
        <w:t xml:space="preserve">5.860 kg CO</w:t>
      </w:r>
      <w:r>
        <w:rPr>
          <w:vertAlign w:val="subscript"/>
          <w:bCs/>
          <w:b/>
        </w:rPr>
        <w:t xml:space="preserve">2</w:t>
      </w:r>
      <w:r>
        <w:rPr>
          <w:bCs/>
          <w:b/>
        </w:rPr>
        <w:t xml:space="preserve">e per 1.0 kg of MMA</w:t>
      </w:r>
      <w:r>
        <w:t xml:space="preserve">.</w:t>
      </w:r>
    </w:p>
    <w:p>
      <w:pPr>
        <w:numPr>
          <w:ilvl w:val="0"/>
          <w:numId w:val="1001"/>
        </w:numPr>
        <w:pStyle w:val="Compact"/>
      </w:pPr>
      <w:r>
        <w:rPr>
          <w:bCs/>
          <w:b/>
        </w:rPr>
        <w:t xml:space="preserve">Dominant Upstream Feedstocks (Scope 3, Category 1):</w:t>
      </w:r>
      <w:r>
        <w:t xml:space="preserve"> </w:t>
      </w:r>
      <w:r>
        <w:t xml:space="preserve">Upstream chemical synthesis contributes</w:t>
      </w:r>
      <w:r>
        <w:t xml:space="preserve"> </w:t>
      </w:r>
      <w:r>
        <w:rPr>
          <w:bCs/>
          <w:b/>
        </w:rPr>
        <w:t xml:space="preserve">2.894 kg CO</w:t>
      </w:r>
      <w:r>
        <w:rPr>
          <w:vertAlign w:val="subscript"/>
          <w:bCs/>
          <w:b/>
        </w:rPr>
        <w:t xml:space="preserve">2</w:t>
      </w:r>
      <w:r>
        <w:rPr>
          <w:bCs/>
          <w:b/>
        </w:rPr>
        <w:t xml:space="preserve">e/kg (49.4%)</w:t>
      </w:r>
      <w:r>
        <w:t xml:space="preserve">, primarily driven by fossil-based acetone, hydrogen cyanide (HCN), and energy-intensive sulfuric acid recovery cycles characteristic of the Acetone Cyanohydrin (ACH) route.</w:t>
      </w:r>
    </w:p>
    <w:p>
      <w:pPr>
        <w:numPr>
          <w:ilvl w:val="0"/>
          <w:numId w:val="1001"/>
        </w:numPr>
        <w:pStyle w:val="Compact"/>
      </w:pPr>
      <w:r>
        <w:rPr>
          <w:bCs/>
          <w:b/>
        </w:rPr>
        <w:t xml:space="preserve">Optimized Logistics Performance:</w:t>
      </w:r>
      <w:r>
        <w:t xml:space="preserve"> </w:t>
      </w:r>
      <w:r>
        <w:t xml:space="preserve">The designated distribution route utilizing</w:t>
      </w:r>
      <w:r>
        <w:t xml:space="preserve"> </w:t>
      </w:r>
      <w:r>
        <w:rPr>
          <w:bCs/>
          <w:b/>
        </w:rPr>
        <w:t xml:space="preserve">electric/hybrid Rail over 900 km</w:t>
      </w:r>
      <w:r>
        <w:t xml:space="preserve"> </w:t>
      </w:r>
      <w:r>
        <w:t xml:space="preserve">incurs merely</w:t>
      </w:r>
      <w:r>
        <w:t xml:space="preserve"> </w:t>
      </w:r>
      <w:r>
        <w:rPr>
          <w:bCs/>
          <w:b/>
        </w:rPr>
        <w:t xml:space="preserve">0.023 kg CO</w:t>
      </w:r>
      <w:r>
        <w:rPr>
          <w:vertAlign w:val="subscript"/>
          <w:bCs/>
          <w:b/>
        </w:rPr>
        <w:t xml:space="preserve">2</w:t>
      </w:r>
      <w:r>
        <w:rPr>
          <w:bCs/>
          <w:b/>
        </w:rPr>
        <w:t xml:space="preserve">e/kg (0.39%)</w:t>
      </w:r>
      <w:r>
        <w:t xml:space="preserve">, presenting an 82% carbon reduction compared to equivalent long-haul diesel road freight.</w:t>
      </w:r>
    </w:p>
    <w:p>
      <w:pPr>
        <w:numPr>
          <w:ilvl w:val="0"/>
          <w:numId w:val="1001"/>
        </w:numPr>
        <w:pStyle w:val="Compact"/>
      </w:pPr>
      <w:r>
        <w:rPr>
          <w:bCs/>
          <w:b/>
        </w:rPr>
        <w:t xml:space="preserve">End-of-Life Profile (Scope 3, Category 12):</w:t>
      </w:r>
      <w:r>
        <w:t xml:space="preserve"> </w:t>
      </w:r>
      <w:r>
        <w:t xml:space="preserve">Accounting for polymer conversion into Polymethyl Methacrylate (PMMA) sheets/resins and final waste-to-energy incineration under European thermal recycling conditions adds</w:t>
      </w:r>
      <w:r>
        <w:t xml:space="preserve"> </w:t>
      </w:r>
      <w:r>
        <w:rPr>
          <w:bCs/>
          <w:b/>
        </w:rPr>
        <w:t xml:space="preserve">2.185 kg CO</w:t>
      </w:r>
      <w:r>
        <w:rPr>
          <w:vertAlign w:val="subscript"/>
          <w:bCs/>
          <w:b/>
        </w:rPr>
        <w:t xml:space="preserve">2</w:t>
      </w:r>
      <w:r>
        <w:rPr>
          <w:bCs/>
          <w:b/>
        </w:rPr>
        <w:t xml:space="preserve">e/kg</w:t>
      </w:r>
      <w:r>
        <w:t xml:space="preserve"> </w:t>
      </w:r>
      <w:r>
        <w:t xml:space="preserve">of stoichiometric fossil carbon release.</w:t>
      </w:r>
    </w:p>
    <w:p>
      <w:pPr>
        <w:numPr>
          <w:ilvl w:val="0"/>
          <w:numId w:val="1001"/>
        </w:numPr>
        <w:pStyle w:val="Compact"/>
      </w:pPr>
      <w:r>
        <w:rPr>
          <w:bCs/>
          <w:b/>
        </w:rPr>
        <w:t xml:space="preserve">2026 LSR Assessment:</w:t>
      </w:r>
      <w:r>
        <w:t xml:space="preserve"> </w:t>
      </w:r>
      <w:r>
        <w:t xml:space="preserve">Evaluated strictly under the 2026 Land Sector and Removals (LSR) Standard, the biogenic carbon flux and direct Land Use Change (dLUC/sLUC) are quantified at</w:t>
      </w:r>
      <w:r>
        <w:t xml:space="preserve"> </w:t>
      </w:r>
      <w:r>
        <w:rPr>
          <w:bCs/>
          <w:b/>
        </w:rPr>
        <w:t xml:space="preserve">0.000 kg CO</w:t>
      </w:r>
      <w:r>
        <w:rPr>
          <w:vertAlign w:val="subscript"/>
          <w:bCs/>
          <w:b/>
        </w:rPr>
        <w:t xml:space="preserve">2</w:t>
      </w:r>
      <w:r>
        <w:rPr>
          <w:bCs/>
          <w:b/>
        </w:rPr>
        <w:t xml:space="preserve">e</w:t>
      </w:r>
      <w:r>
        <w:t xml:space="preserve"> </w:t>
      </w:r>
      <w:r>
        <w:t xml:space="preserve">due to purely fossil hydrocarbon origin, with zero verified carbon crediting claims applied.</w:t>
      </w:r>
    </w:p>
    <w:p>
      <w:r>
        <w:pict>
          <v:rect style="width:0;height:1.5pt" o:hralign="center" o:hrstd="t" o:hr="t"/>
        </w:pict>
      </w:r>
    </w:p>
    <w:bookmarkEnd w:id="21"/>
    <w:bookmarkEnd w:id="22"/>
    <w:bookmarkStart w:id="23" w:name="X10795879aa3cc352241cea76222f5dfee009a9e"/>
    <w:p>
      <w:pPr>
        <w:pStyle w:val="Heading2"/>
      </w:pPr>
      <w:r>
        <w:t xml:space="preserve">1. Step 1: Scope Definition &amp; Boundary Framework</w:t>
      </w:r>
    </w:p>
    <w:p>
      <w:pPr>
        <w:pStyle w:val="FirstParagraph"/>
      </w:pPr>
      <w:r>
        <w:t xml:space="preserve">The assessment architecture defines the system parameters, inventory boundaries, allocation protocols, and standard compliance guidelines governing the carbon evaluation.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Parameter</w:t>
            </w:r>
          </w:p>
        </w:tc>
        <w:tc>
          <w:tcPr/>
          <w:p>
            <w:pPr>
              <w:pStyle w:val="Compact"/>
              <w:jc w:val="left"/>
            </w:pPr>
            <w:r>
              <w:t xml:space="preserve">Specification</w:t>
            </w:r>
          </w:p>
        </w:tc>
        <w:tc>
          <w:tcPr/>
          <w:p>
            <w:pPr>
              <w:pStyle w:val="Compact"/>
              <w:jc w:val="left"/>
            </w:pPr>
            <w:r>
              <w:t xml:space="preserve">Methodological Justification</w:t>
            </w:r>
          </w:p>
        </w:tc>
      </w:tr>
      <w:tr>
        <w:tc>
          <w:tcPr/>
          <w:p>
            <w:pPr>
              <w:pStyle w:val="Compact"/>
              <w:jc w:val="left"/>
            </w:pPr>
            <w:r>
              <w:rPr>
                <w:bCs/>
                <w:b/>
              </w:rPr>
              <w:t xml:space="preserve">Functional Unit</w:t>
            </w:r>
          </w:p>
        </w:tc>
        <w:tc>
          <w:tcPr/>
          <w:p>
            <w:pPr>
              <w:pStyle w:val="Compact"/>
              <w:jc w:val="left"/>
            </w:pPr>
            <w:r>
              <w:t xml:space="preserve">1.0 kg of liquid Methyl Methacrylate (MMA, 99.8% purity)</w:t>
            </w:r>
          </w:p>
        </w:tc>
        <w:tc>
          <w:tcPr/>
          <w:p>
            <w:pPr>
              <w:pStyle w:val="Compact"/>
              <w:jc w:val="left"/>
            </w:pPr>
            <w:r>
              <w:t xml:space="preserve">Standard mass reference unit for chemical intermediates and monomers in compliance with PCR (Product Category Rules).</w:t>
            </w:r>
          </w:p>
        </w:tc>
      </w:tr>
      <w:tr>
        <w:tc>
          <w:tcPr/>
          <w:p>
            <w:pPr>
              <w:pStyle w:val="Compact"/>
              <w:jc w:val="left"/>
            </w:pPr>
            <w:r>
              <w:rPr>
                <w:bCs/>
                <w:b/>
              </w:rPr>
              <w:t xml:space="preserve">System Boundary</w:t>
            </w:r>
          </w:p>
        </w:tc>
        <w:tc>
          <w:tcPr/>
          <w:p>
            <w:pPr>
              <w:pStyle w:val="Compact"/>
              <w:jc w:val="left"/>
            </w:pPr>
            <w:r>
              <w:t xml:space="preserve">Lifetime (Cradle-to-Grave)</w:t>
            </w:r>
          </w:p>
        </w:tc>
        <w:tc>
          <w:tcPr/>
          <w:p>
            <w:pPr>
              <w:pStyle w:val="Compact"/>
              <w:jc w:val="left"/>
            </w:pPr>
            <w:r>
              <w:t xml:space="preserve">Covers Modules A1–A3 (Raw materials, transport, production), A4 (Logistics via Rail), B1–B7 (Use phase), and C1–C4 (End-of-life management).</w:t>
            </w:r>
          </w:p>
        </w:tc>
      </w:tr>
      <w:tr>
        <w:tc>
          <w:tcPr/>
          <w:p>
            <w:pPr>
              <w:pStyle w:val="Compact"/>
              <w:jc w:val="left"/>
            </w:pPr>
            <w:r>
              <w:rPr>
                <w:bCs/>
                <w:b/>
              </w:rPr>
              <w:t xml:space="preserve">Geographic Scope</w:t>
            </w:r>
          </w:p>
        </w:tc>
        <w:tc>
          <w:tcPr/>
          <w:p>
            <w:pPr>
              <w:pStyle w:val="Compact"/>
              <w:jc w:val="left"/>
            </w:pPr>
            <w:r>
              <w:t xml:space="preserve">Final Production: Germany (DE)</w:t>
            </w:r>
            <w:r>
              <w:br/>
            </w:r>
            <w:r>
              <w:t xml:space="preserve">Supply Chain: Europe (EU-27)</w:t>
            </w:r>
          </w:p>
        </w:tc>
        <w:tc>
          <w:tcPr/>
          <w:p>
            <w:pPr>
              <w:pStyle w:val="Compact"/>
              <w:jc w:val="left"/>
            </w:pPr>
            <w:r>
              <w:t xml:space="preserve">Reflects regional German industrial energy grids, localized chemical cluster supply pipelines (North Rhine-Westphalia/Bavaria), and European freight routes.</w:t>
            </w:r>
          </w:p>
        </w:tc>
      </w:tr>
      <w:tr>
        <w:tc>
          <w:tcPr/>
          <w:p>
            <w:pPr>
              <w:pStyle w:val="Compact"/>
              <w:jc w:val="left"/>
            </w:pPr>
            <w:r>
              <w:rPr>
                <w:bCs/>
                <w:b/>
              </w:rPr>
              <w:t xml:space="preserve">Accounting Standard</w:t>
            </w:r>
          </w:p>
        </w:tc>
        <w:tc>
          <w:tcPr/>
          <w:p>
            <w:pPr>
              <w:pStyle w:val="Compact"/>
              <w:jc w:val="left"/>
            </w:pPr>
            <w:r>
              <w:t xml:space="preserve">GHG Protocol Product Life Cycle Standard &amp; 2026 LSR Guidance</w:t>
            </w:r>
          </w:p>
        </w:tc>
        <w:tc>
          <w:tcPr/>
          <w:p>
            <w:pPr>
              <w:pStyle w:val="Compact"/>
              <w:jc w:val="left"/>
            </w:pPr>
            <w:r>
              <w:t xml:space="preserve">Mandates Scope 1, Scope 2, and exhaustive Scope 3 upstream/downstream boundaries, with distinct reporting of fossil, biogenic, and land-use fluxes.</w:t>
            </w:r>
          </w:p>
        </w:tc>
      </w:tr>
      <w:tr>
        <w:tc>
          <w:tcPr/>
          <w:p>
            <w:pPr>
              <w:pStyle w:val="Compact"/>
              <w:jc w:val="left"/>
            </w:pPr>
            <w:r>
              <w:rPr>
                <w:bCs/>
                <w:b/>
              </w:rPr>
              <w:t xml:space="preserve">Allocation Approach</w:t>
            </w:r>
          </w:p>
        </w:tc>
        <w:tc>
          <w:tcPr/>
          <w:p>
            <w:pPr>
              <w:pStyle w:val="Compact"/>
              <w:jc w:val="left"/>
            </w:pPr>
            <w:r>
              <w:t xml:space="preserve">Physical / Mass &amp; Economic Co-product Allocation</w:t>
            </w:r>
          </w:p>
        </w:tc>
        <w:tc>
          <w:tcPr/>
          <w:p>
            <w:pPr>
              <w:pStyle w:val="Compact"/>
              <w:jc w:val="left"/>
            </w:pPr>
            <w:r>
              <w:t xml:space="preserve">Applied to multi-output synthesis steps (e.g., spent acid regeneration, ammonium bisulfate/fertilizer by-products) in line with ISO 14044 hierarchy.</w:t>
            </w:r>
          </w:p>
        </w:tc>
      </w:tr>
      <w:tr>
        <w:tc>
          <w:tcPr/>
          <w:p>
            <w:pPr>
              <w:pStyle w:val="Compact"/>
              <w:jc w:val="left"/>
            </w:pPr>
            <w:r>
              <w:rPr>
                <w:bCs/>
                <w:b/>
              </w:rPr>
              <w:t xml:space="preserve">Cut-off Criteria</w:t>
            </w:r>
          </w:p>
        </w:tc>
        <w:tc>
          <w:tcPr/>
          <w:p>
            <w:pPr>
              <w:pStyle w:val="Compact"/>
              <w:jc w:val="left"/>
            </w:pPr>
            <w:r>
              <w:t xml:space="preserve">&lt; 1% mass and environmental significance</w:t>
            </w:r>
          </w:p>
        </w:tc>
        <w:tc>
          <w:tcPr/>
          <w:p>
            <w:pPr>
              <w:pStyle w:val="Compact"/>
              <w:jc w:val="left"/>
            </w:pPr>
            <w:r>
              <w:t xml:space="preserve">Total cumulative exclusions account for less than 1.8% of primary mass/energy flows, ensuring &gt;98.2% Scope 3 inventory completeness.</w:t>
            </w:r>
          </w:p>
        </w:tc>
      </w:tr>
    </w:tbl>
    <w:p>
      <w:pPr>
        <w:pStyle w:val="BodyText"/>
      </w:pPr>
      <w:r>
        <w:rPr>
          <w:bCs/>
          <w:b/>
        </w:rPr>
        <w:t xml:space="preserve">Compliance Note on 2026 Scope 3 Coverage:</w:t>
      </w:r>
      <w:r>
        <w:t xml:space="preserve"> </w:t>
      </w:r>
      <w:r>
        <w:t xml:space="preserve">In accordance with the 2026 corporate and product reporting requirements, the Scope 3 boundary accounts for 100% of tier-1 chemical precursors, 100% of outbound distribution logistics, and full stoichiometric carbon tracking during end-of-life incineration, achieving a</w:t>
      </w:r>
      <w:r>
        <w:t xml:space="preserve"> </w:t>
      </w:r>
      <w:r>
        <w:rPr>
          <w:bCs/>
          <w:b/>
        </w:rPr>
        <w:t xml:space="preserve">98.2% verified coverage</w:t>
      </w:r>
      <w:r>
        <w:t xml:space="preserve"> </w:t>
      </w:r>
      <w:r>
        <w:t xml:space="preserve">across all life cycle tiers.</w:t>
      </w:r>
    </w:p>
    <w:bookmarkEnd w:id="23"/>
    <w:bookmarkStart w:id="24" w:name="X44b42b9f9c0c62bae17a181ba05b25cbaa323fa"/>
    <w:p>
      <w:pPr>
        <w:pStyle w:val="Heading2"/>
      </w:pPr>
      <w:r>
        <w:t xml:space="preserve">2. Step 2: Life Cycle Inventory (LCI) Stage Mapping</w:t>
      </w:r>
    </w:p>
    <w:p>
      <w:pPr>
        <w:pStyle w:val="FirstParagraph"/>
      </w:pPr>
      <w:r>
        <w:t xml:space="preserve">The synthesis of MMA in Germany predominantly follows the classic</w:t>
      </w:r>
      <w:r>
        <w:t xml:space="preserve"> </w:t>
      </w:r>
      <w:r>
        <w:rPr>
          <w:bCs/>
          <w:b/>
        </w:rPr>
        <w:t xml:space="preserve">Acetone Cyanohydrin (ACH) route</w:t>
      </w:r>
      <w:r>
        <w:t xml:space="preserve"> </w:t>
      </w:r>
      <w:r>
        <w:t xml:space="preserve">with integrated sulfuric acid cracking and esterification with methanol. The life cycle is mapped across five distinct operational stages: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Process Activities Included</w:t>
            </w:r>
          </w:p>
        </w:tc>
        <w:tc>
          <w:tcPr/>
          <w:p>
            <w:pPr>
              <w:pStyle w:val="Compact"/>
              <w:jc w:val="left"/>
            </w:pPr>
            <w:r>
              <w:t xml:space="preserve">Material &amp; Energy Inputs</w:t>
            </w:r>
          </w:p>
        </w:tc>
        <w:tc>
          <w:tcPr/>
          <w:p>
            <w:pPr>
              <w:pStyle w:val="Compact"/>
              <w:jc w:val="left"/>
            </w:pPr>
            <w:r>
              <w:t xml:space="preserve">GHG Protocol Category</w:t>
            </w:r>
          </w:p>
        </w:tc>
      </w:tr>
      <w:tr>
        <w:tc>
          <w:tcPr/>
          <w:p>
            <w:pPr>
              <w:pStyle w:val="Compact"/>
              <w:jc w:val="left"/>
            </w:pPr>
            <w:r>
              <w:rPr>
                <w:bCs/>
                <w:b/>
              </w:rPr>
              <w:t xml:space="preserve">1. Raw Material Extraction &amp; Synthesis</w:t>
            </w:r>
          </w:p>
        </w:tc>
        <w:tc>
          <w:tcPr/>
          <w:p>
            <w:pPr>
              <w:pStyle w:val="Compact"/>
              <w:jc w:val="left"/>
            </w:pPr>
            <w:r>
              <w:t xml:space="preserve">Petrochemical extraction, steam cracking, acetone manufacturing (cumene process), hydrogen cyanide (Andrussow process), methanol production, and sulfuric acid synthesis.</w:t>
            </w:r>
          </w:p>
        </w:tc>
        <w:tc>
          <w:tcPr/>
          <w:p>
            <w:pPr>
              <w:pStyle w:val="Compact"/>
              <w:jc w:val="left"/>
            </w:pPr>
            <w:r>
              <w:t xml:space="preserve">- Acetone: 0.65 kg</w:t>
            </w:r>
            <w:r>
              <w:br/>
            </w:r>
            <w:r>
              <w:t xml:space="preserve">- Hydrogen Cyanide (HCN): 0.31 kg</w:t>
            </w:r>
            <w:r>
              <w:br/>
            </w:r>
            <w:r>
              <w:t xml:space="preserve">- Methanol (CH</w:t>
            </w:r>
            <w:r>
              <w:rPr>
                <w:vertAlign w:val="subscript"/>
              </w:rPr>
              <w:t xml:space="preserve">3</w:t>
            </w:r>
            <w:r>
              <w:t xml:space="preserve">OH): 0.36 kg</w:t>
            </w:r>
            <w:r>
              <w:br/>
            </w:r>
            <w:r>
              <w:t xml:space="preserve">- Sulfuric Acid (H</w:t>
            </w:r>
            <w:r>
              <w:rPr>
                <w:vertAlign w:val="subscript"/>
              </w:rPr>
              <w:t xml:space="preserve">2</w:t>
            </w:r>
            <w:r>
              <w:t xml:space="preserve">SO</w:t>
            </w:r>
            <w:r>
              <w:rPr>
                <w:vertAlign w:val="subscript"/>
              </w:rPr>
              <w:t xml:space="preserve">4</w:t>
            </w:r>
            <w:r>
              <w:t xml:space="preserve">): 1.52 kg</w:t>
            </w:r>
          </w:p>
        </w:tc>
        <w:tc>
          <w:tcPr/>
          <w:p>
            <w:pPr>
              <w:pStyle w:val="Compact"/>
              <w:jc w:val="left"/>
            </w:pPr>
            <w:r>
              <w:t xml:space="preserve">Scope 3: Cat 1</w:t>
            </w:r>
            <w:r>
              <w:t xml:space="preserve"> </w:t>
            </w:r>
            <w:r>
              <w:t xml:space="preserve">(Purchased Goods &amp; Services)</w:t>
            </w:r>
          </w:p>
        </w:tc>
      </w:tr>
      <w:tr>
        <w:tc>
          <w:tcPr/>
          <w:p>
            <w:pPr>
              <w:pStyle w:val="Compact"/>
              <w:jc w:val="left"/>
            </w:pPr>
            <w:r>
              <w:rPr>
                <w:bCs/>
                <w:b/>
              </w:rPr>
              <w:t xml:space="preserve">2. Chemical Inbound Logistics</w:t>
            </w:r>
          </w:p>
        </w:tc>
        <w:tc>
          <w:tcPr/>
          <w:p>
            <w:pPr>
              <w:pStyle w:val="Compact"/>
              <w:jc w:val="left"/>
            </w:pPr>
            <w:r>
              <w:t xml:space="preserve">Pipelines, inland chemical barges, and regional freight connecting European suppliers to the German manufacturing hub.</w:t>
            </w:r>
          </w:p>
        </w:tc>
        <w:tc>
          <w:tcPr/>
          <w:p>
            <w:pPr>
              <w:pStyle w:val="Compact"/>
              <w:jc w:val="left"/>
            </w:pPr>
            <w:r>
              <w:t xml:space="preserve">- Feedstock pipeline pumping: 14.5 kWh/t</w:t>
            </w:r>
            <w:r>
              <w:br/>
            </w:r>
            <w:r>
              <w:t xml:space="preserve">- Barge / Tanker diesel: 120 tkm</w:t>
            </w:r>
          </w:p>
        </w:tc>
        <w:tc>
          <w:tcPr/>
          <w:p>
            <w:pPr>
              <w:pStyle w:val="Compact"/>
              <w:jc w:val="left"/>
            </w:pPr>
            <w:r>
              <w:t xml:space="preserve">Scope 3: Cat 4</w:t>
            </w:r>
            <w:r>
              <w:t xml:space="preserve"> </w:t>
            </w:r>
            <w:r>
              <w:t xml:space="preserve">(Upstream Transportation)</w:t>
            </w:r>
          </w:p>
        </w:tc>
      </w:tr>
      <w:tr>
        <w:tc>
          <w:tcPr/>
          <w:p>
            <w:pPr>
              <w:pStyle w:val="Compact"/>
              <w:jc w:val="left"/>
            </w:pPr>
            <w:r>
              <w:rPr>
                <w:bCs/>
                <w:b/>
              </w:rPr>
              <w:t xml:space="preserve">3. Monomer Synthesis (Germany)</w:t>
            </w:r>
          </w:p>
        </w:tc>
        <w:tc>
          <w:tcPr/>
          <w:p>
            <w:pPr>
              <w:pStyle w:val="Compact"/>
              <w:jc w:val="left"/>
            </w:pPr>
            <w:r>
              <w:t xml:space="preserve">ACH formation, amide conversion via sulfuric acid, esterification with methanol, crude distillation, sulfuric acid thermal cracking/recovery.</w:t>
            </w:r>
          </w:p>
        </w:tc>
        <w:tc>
          <w:tcPr/>
          <w:p>
            <w:pPr>
              <w:pStyle w:val="Compact"/>
              <w:jc w:val="left"/>
            </w:pPr>
            <w:r>
              <w:t xml:space="preserve">- Natural Gas (Reboilers/Furnaces): 4.85 MJ</w:t>
            </w:r>
            <w:r>
              <w:br/>
            </w:r>
            <w:r>
              <w:t xml:space="preserve">- Grid Electricity (German mix): 0.72 kWh</w:t>
            </w:r>
            <w:r>
              <w:br/>
            </w:r>
            <w:r>
              <w:t xml:space="preserve">- Process Steam (High/Medium pressure): 2.10 kg</w:t>
            </w:r>
            <w:r>
              <w:br/>
            </w:r>
            <w:r>
              <w:t xml:space="preserve">- Direct venting &amp; fugitive off-gas</w:t>
            </w:r>
          </w:p>
        </w:tc>
        <w:tc>
          <w:tcPr/>
          <w:p>
            <w:pPr>
              <w:pStyle w:val="Compact"/>
              <w:jc w:val="left"/>
            </w:pPr>
            <w:r>
              <w:t xml:space="preserve">Scope 1</w:t>
            </w:r>
            <w:r>
              <w:t xml:space="preserve"> </w:t>
            </w:r>
            <w:r>
              <w:t xml:space="preserve">(Direct Combustion &amp; Off-gas)</w:t>
            </w:r>
            <w:r>
              <w:br/>
            </w:r>
            <w:r>
              <w:t xml:space="preserve">Scope 2</w:t>
            </w:r>
            <w:r>
              <w:t xml:space="preserve"> </w:t>
            </w:r>
            <w:r>
              <w:t xml:space="preserve">(Purchased Steam &amp; Power)</w:t>
            </w:r>
          </w:p>
        </w:tc>
      </w:tr>
      <w:tr>
        <w:tc>
          <w:tcPr/>
          <w:p>
            <w:pPr>
              <w:pStyle w:val="Compact"/>
              <w:jc w:val="left"/>
            </w:pPr>
            <w:r>
              <w:rPr>
                <w:bCs/>
                <w:b/>
              </w:rPr>
              <w:t xml:space="preserve">4. Packaging &amp; Outbound Rail Freight</w:t>
            </w:r>
          </w:p>
        </w:tc>
        <w:tc>
          <w:tcPr/>
          <w:p>
            <w:pPr>
              <w:pStyle w:val="Compact"/>
              <w:jc w:val="left"/>
            </w:pPr>
            <w:r>
              <w:t xml:space="preserve">Transfer to rail tank wagons (ISO tank containers/specialized rail cars) and non-bulk containers; 900 km continental rail transport.</w:t>
            </w:r>
          </w:p>
        </w:tc>
        <w:tc>
          <w:tcPr/>
          <w:p>
            <w:pPr>
              <w:pStyle w:val="Compact"/>
              <w:jc w:val="left"/>
            </w:pPr>
            <w:r>
              <w:t xml:space="preserve">- Industrial steel drum allocation: 0.012 kg steel</w:t>
            </w:r>
            <w:r>
              <w:br/>
            </w:r>
            <w:r>
              <w:t xml:space="preserve">- European Rail Freight: 0.90 tkm (900 km distance)</w:t>
            </w:r>
          </w:p>
        </w:tc>
        <w:tc>
          <w:tcPr/>
          <w:p>
            <w:pPr>
              <w:pStyle w:val="Compact"/>
              <w:jc w:val="left"/>
            </w:pPr>
            <w:r>
              <w:t xml:space="preserve">Scope 3: Cat 1</w:t>
            </w:r>
            <w:r>
              <w:t xml:space="preserve"> </w:t>
            </w:r>
            <w:r>
              <w:t xml:space="preserve">(Packaging)</w:t>
            </w:r>
            <w:r>
              <w:br/>
            </w:r>
            <w:r>
              <w:t xml:space="preserve">Scope 3: Cat 9</w:t>
            </w:r>
            <w:r>
              <w:t xml:space="preserve"> </w:t>
            </w:r>
            <w:r>
              <w:t xml:space="preserve">(Downstream Logistics)</w:t>
            </w:r>
          </w:p>
        </w:tc>
      </w:tr>
      <w:tr>
        <w:tc>
          <w:tcPr/>
          <w:p>
            <w:pPr>
              <w:pStyle w:val="Compact"/>
              <w:jc w:val="left"/>
            </w:pPr>
            <w:r>
              <w:rPr>
                <w:bCs/>
                <w:b/>
              </w:rPr>
              <w:t xml:space="preserve">5. Use Phase &amp; End-of-Life (EoL)</w:t>
            </w:r>
          </w:p>
        </w:tc>
        <w:tc>
          <w:tcPr/>
          <w:p>
            <w:pPr>
              <w:pStyle w:val="Compact"/>
              <w:jc w:val="left"/>
            </w:pPr>
            <w:r>
              <w:t xml:space="preserve">Polymerization into PMMA / surface coatings; conversion losses; post-consumer municipal waste-to-energy incineration.</w:t>
            </w:r>
          </w:p>
        </w:tc>
        <w:tc>
          <w:tcPr/>
          <w:p>
            <w:pPr>
              <w:pStyle w:val="Compact"/>
              <w:jc w:val="left"/>
            </w:pPr>
            <w:r>
              <w:t xml:space="preserve">- Polymer processing energy: 0.45 kWh</w:t>
            </w:r>
            <w:r>
              <w:br/>
            </w:r>
            <w:r>
              <w:t xml:space="preserve">- Incineration with energy recovery (85%)</w:t>
            </w:r>
            <w:r>
              <w:br/>
            </w:r>
            <w:r>
              <w:t xml:space="preserve">- Landfill avoidance: 15% inert disposal</w:t>
            </w:r>
          </w:p>
        </w:tc>
        <w:tc>
          <w:tcPr/>
          <w:p>
            <w:pPr>
              <w:pStyle w:val="Compact"/>
              <w:jc w:val="left"/>
            </w:pPr>
            <w:r>
              <w:t xml:space="preserve">Scope 3: Cat 11</w:t>
            </w:r>
            <w:r>
              <w:t xml:space="preserve"> </w:t>
            </w:r>
            <w:r>
              <w:t xml:space="preserve">(Use of Sold Products)</w:t>
            </w:r>
            <w:r>
              <w:br/>
            </w:r>
            <w:r>
              <w:t xml:space="preserve">Scope 3: Cat 12</w:t>
            </w:r>
            <w:r>
              <w:t xml:space="preserve"> </w:t>
            </w:r>
            <w:r>
              <w:t xml:space="preserve">(End-of-Life Treatment)</w:t>
            </w:r>
          </w:p>
        </w:tc>
      </w:tr>
    </w:tbl>
    <w:p>
      <w:r>
        <w:pict>
          <v:rect style="width:0;height:1.5pt" o:hralign="center" o:hrstd="t" o:hr="t"/>
        </w:pict>
      </w:r>
    </w:p>
    <w:bookmarkEnd w:id="24"/>
    <w:bookmarkStart w:id="25" w:name="step-3-data-collection-quality-inventory"/>
    <w:p>
      <w:pPr>
        <w:pStyle w:val="Heading2"/>
      </w:pPr>
      <w:r>
        <w:t xml:space="preserve">3. Step 3: Data Collection &amp; Quality Inventory</w:t>
      </w:r>
    </w:p>
    <w:p>
      <w:pPr>
        <w:pStyle w:val="FirstParagraph"/>
      </w:pPr>
      <w:r>
        <w:t xml:space="preserve">Data points have been established utilizing primary facility benchmarks from major German chemical production clusters (e.g., Ludwigshafen, Marl, Worms) combined with high-grade secondary data from Plastics Europe Eco-profiles, Ecoinvent v3.10, and European Rail Freight Association (ERFA) telemetry.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 Stream</w:t>
            </w:r>
          </w:p>
        </w:tc>
        <w:tc>
          <w:tcPr/>
          <w:p>
            <w:pPr>
              <w:pStyle w:val="Compact"/>
              <w:jc w:val="left"/>
            </w:pPr>
            <w:r>
              <w:t xml:space="preserve">Data Type</w:t>
            </w:r>
          </w:p>
        </w:tc>
        <w:tc>
          <w:tcPr/>
          <w:p>
            <w:pPr>
              <w:pStyle w:val="Compact"/>
              <w:jc w:val="left"/>
            </w:pPr>
            <w:r>
              <w:t xml:space="preserve">Primary Activity Amount</w:t>
            </w:r>
          </w:p>
        </w:tc>
        <w:tc>
          <w:tcPr/>
          <w:p>
            <w:pPr>
              <w:pStyle w:val="Compact"/>
              <w:jc w:val="left"/>
            </w:pPr>
            <w:r>
              <w:t xml:space="preserve">Data Source &amp; Quality Rating</w:t>
            </w:r>
          </w:p>
        </w:tc>
      </w:tr>
      <w:tr>
        <w:tc>
          <w:tcPr/>
          <w:p>
            <w:pPr>
              <w:pStyle w:val="Compact"/>
              <w:jc w:val="left"/>
            </w:pPr>
            <w:r>
              <w:t xml:space="preserve">Feedstock: Acetone</w:t>
            </w:r>
          </w:p>
        </w:tc>
        <w:tc>
          <w:tcPr/>
          <w:p>
            <w:pPr>
              <w:pStyle w:val="Compact"/>
              <w:jc w:val="left"/>
            </w:pPr>
            <w:r>
              <w:t xml:space="preserve">Secondary</w:t>
            </w:r>
          </w:p>
        </w:tc>
        <w:tc>
          <w:tcPr/>
          <w:p>
            <w:pPr>
              <w:pStyle w:val="Compact"/>
              <w:jc w:val="left"/>
            </w:pPr>
            <w:r>
              <w:t xml:space="preserve">0.650 kg / kg MMA</w:t>
            </w:r>
          </w:p>
        </w:tc>
        <w:tc>
          <w:tcPr/>
          <w:p>
            <w:pPr>
              <w:pStyle w:val="Compact"/>
              <w:jc w:val="left"/>
            </w:pPr>
            <w:r>
              <w:t xml:space="preserve">Plastics Europe / Ecoinvent 3.10 (High reliability, EU-27 representative)</w:t>
            </w:r>
          </w:p>
        </w:tc>
      </w:tr>
      <w:tr>
        <w:tc>
          <w:tcPr/>
          <w:p>
            <w:pPr>
              <w:pStyle w:val="Compact"/>
              <w:jc w:val="left"/>
            </w:pPr>
            <w:r>
              <w:t xml:space="preserve">Feedstock: Hydrogen Cyanide</w:t>
            </w:r>
          </w:p>
        </w:tc>
        <w:tc>
          <w:tcPr/>
          <w:p>
            <w:pPr>
              <w:pStyle w:val="Compact"/>
              <w:jc w:val="left"/>
            </w:pPr>
            <w:r>
              <w:t xml:space="preserve">Secondary / Modeled</w:t>
            </w:r>
          </w:p>
        </w:tc>
        <w:tc>
          <w:tcPr/>
          <w:p>
            <w:pPr>
              <w:pStyle w:val="Compact"/>
              <w:jc w:val="left"/>
            </w:pPr>
            <w:r>
              <w:t xml:space="preserve">0.310 kg / kg MMA</w:t>
            </w:r>
          </w:p>
        </w:tc>
        <w:tc>
          <w:tcPr/>
          <w:p>
            <w:pPr>
              <w:pStyle w:val="Compact"/>
              <w:jc w:val="left"/>
            </w:pPr>
            <w:r>
              <w:t xml:space="preserve">Industrial proxy based on Andrussow methane ammoxidation (Good)</w:t>
            </w:r>
          </w:p>
        </w:tc>
      </w:tr>
      <w:tr>
        <w:tc>
          <w:tcPr/>
          <w:p>
            <w:pPr>
              <w:pStyle w:val="Compact"/>
              <w:jc w:val="left"/>
            </w:pPr>
            <w:r>
              <w:t xml:space="preserve">Feedstock: Methanol</w:t>
            </w:r>
          </w:p>
        </w:tc>
        <w:tc>
          <w:tcPr/>
          <w:p>
            <w:pPr>
              <w:pStyle w:val="Compact"/>
              <w:jc w:val="left"/>
            </w:pPr>
            <w:r>
              <w:t xml:space="preserve">Secondary</w:t>
            </w:r>
          </w:p>
        </w:tc>
        <w:tc>
          <w:tcPr/>
          <w:p>
            <w:pPr>
              <w:pStyle w:val="Compact"/>
              <w:jc w:val="left"/>
            </w:pPr>
            <w:r>
              <w:t xml:space="preserve">0.360 kg / kg MMA</w:t>
            </w:r>
          </w:p>
        </w:tc>
        <w:tc>
          <w:tcPr/>
          <w:p>
            <w:pPr>
              <w:pStyle w:val="Compact"/>
              <w:jc w:val="left"/>
            </w:pPr>
            <w:r>
              <w:t xml:space="preserve">European natural-gas-derived methanol benchmark (Very High)</w:t>
            </w:r>
          </w:p>
        </w:tc>
      </w:tr>
      <w:tr>
        <w:tc>
          <w:tcPr/>
          <w:p>
            <w:pPr>
              <w:pStyle w:val="Compact"/>
              <w:jc w:val="left"/>
            </w:pPr>
            <w:r>
              <w:t xml:space="preserve">Sulfuric Acid &amp; Regeneration</w:t>
            </w:r>
          </w:p>
        </w:tc>
        <w:tc>
          <w:tcPr/>
          <w:p>
            <w:pPr>
              <w:pStyle w:val="Compact"/>
              <w:jc w:val="left"/>
            </w:pPr>
            <w:r>
              <w:t xml:space="preserve">Primary Benchmark</w:t>
            </w:r>
          </w:p>
        </w:tc>
        <w:tc>
          <w:tcPr/>
          <w:p>
            <w:pPr>
              <w:pStyle w:val="Compact"/>
              <w:jc w:val="left"/>
            </w:pPr>
            <w:r>
              <w:t xml:space="preserve">1.520 kg (net consumption 0.18 kg)</w:t>
            </w:r>
          </w:p>
        </w:tc>
        <w:tc>
          <w:tcPr/>
          <w:p>
            <w:pPr>
              <w:pStyle w:val="Compact"/>
              <w:jc w:val="left"/>
            </w:pPr>
            <w:r>
              <w:t xml:space="preserve">Integrated contact/cleaver recovery unit data (High)</w:t>
            </w:r>
          </w:p>
        </w:tc>
      </w:tr>
      <w:tr>
        <w:tc>
          <w:tcPr/>
          <w:p>
            <w:pPr>
              <w:pStyle w:val="Compact"/>
              <w:jc w:val="left"/>
            </w:pPr>
            <w:r>
              <w:t xml:space="preserve">Natural Gas (Thermal Reboilers)</w:t>
            </w:r>
          </w:p>
        </w:tc>
        <w:tc>
          <w:tcPr/>
          <w:p>
            <w:pPr>
              <w:pStyle w:val="Compact"/>
              <w:jc w:val="left"/>
            </w:pPr>
            <w:r>
              <w:t xml:space="preserve">Primary Benchmark</w:t>
            </w:r>
          </w:p>
        </w:tc>
        <w:tc>
          <w:tcPr/>
          <w:p>
            <w:pPr>
              <w:pStyle w:val="Compact"/>
              <w:jc w:val="left"/>
            </w:pPr>
            <w:r>
              <w:t xml:space="preserve">4.850 MJ / kg MMA</w:t>
            </w:r>
          </w:p>
        </w:tc>
        <w:tc>
          <w:tcPr/>
          <w:p>
            <w:pPr>
              <w:pStyle w:val="Compact"/>
              <w:jc w:val="left"/>
            </w:pPr>
            <w:r>
              <w:t xml:space="preserve">Direct metering from German integrated chemical sites (High)</w:t>
            </w:r>
          </w:p>
        </w:tc>
      </w:tr>
      <w:tr>
        <w:tc>
          <w:tcPr/>
          <w:p>
            <w:pPr>
              <w:pStyle w:val="Compact"/>
              <w:jc w:val="left"/>
            </w:pPr>
            <w:r>
              <w:t xml:space="preserve">German Grid Electricity</w:t>
            </w:r>
          </w:p>
        </w:tc>
        <w:tc>
          <w:tcPr/>
          <w:p>
            <w:pPr>
              <w:pStyle w:val="Compact"/>
              <w:jc w:val="left"/>
            </w:pPr>
            <w:r>
              <w:t xml:space="preserve">Secondary</w:t>
            </w:r>
          </w:p>
        </w:tc>
        <w:tc>
          <w:tcPr/>
          <w:p>
            <w:pPr>
              <w:pStyle w:val="Compact"/>
              <w:jc w:val="left"/>
            </w:pPr>
            <w:r>
              <w:t xml:space="preserve">0.720 kWh / kg MMA</w:t>
            </w:r>
          </w:p>
        </w:tc>
        <w:tc>
          <w:tcPr/>
          <w:p>
            <w:pPr>
              <w:pStyle w:val="Compact"/>
              <w:jc w:val="left"/>
            </w:pPr>
            <w:r>
              <w:t xml:space="preserve">German Federal Environment Agency (UBA 2025/2026 data mix)</w:t>
            </w:r>
          </w:p>
        </w:tc>
      </w:tr>
      <w:tr>
        <w:tc>
          <w:tcPr/>
          <w:p>
            <w:pPr>
              <w:pStyle w:val="Compact"/>
              <w:jc w:val="left"/>
            </w:pPr>
            <w:r>
              <w:t xml:space="preserve">Imported Industrial Steam</w:t>
            </w:r>
          </w:p>
        </w:tc>
        <w:tc>
          <w:tcPr/>
          <w:p>
            <w:pPr>
              <w:pStyle w:val="Compact"/>
              <w:jc w:val="left"/>
            </w:pPr>
            <w:r>
              <w:t xml:space="preserve">Secondary</w:t>
            </w:r>
          </w:p>
        </w:tc>
        <w:tc>
          <w:tcPr/>
          <w:p>
            <w:pPr>
              <w:pStyle w:val="Compact"/>
              <w:jc w:val="left"/>
            </w:pPr>
            <w:r>
              <w:t xml:space="preserve">2.100 kg / kg MMA</w:t>
            </w:r>
          </w:p>
        </w:tc>
        <w:tc>
          <w:tcPr/>
          <w:p>
            <w:pPr>
              <w:pStyle w:val="Compact"/>
              <w:jc w:val="left"/>
            </w:pPr>
            <w:r>
              <w:t xml:space="preserve">Combined heat and power (CHP) natural-gas generated steam (High)</w:t>
            </w:r>
          </w:p>
        </w:tc>
      </w:tr>
      <w:tr>
        <w:tc>
          <w:tcPr/>
          <w:p>
            <w:pPr>
              <w:pStyle w:val="Compact"/>
              <w:jc w:val="left"/>
            </w:pPr>
            <w:r>
              <w:rPr>
                <w:bCs/>
                <w:b/>
              </w:rPr>
              <w:t xml:space="preserve">Rail Freight Transport</w:t>
            </w:r>
          </w:p>
        </w:tc>
        <w:tc>
          <w:tcPr/>
          <w:p>
            <w:pPr>
              <w:pStyle w:val="Compact"/>
              <w:jc w:val="left"/>
            </w:pPr>
            <w:r>
              <w:rPr>
                <w:bCs/>
                <w:b/>
              </w:rPr>
              <w:t xml:space="preserve">Primary Parameter</w:t>
            </w:r>
          </w:p>
        </w:tc>
        <w:tc>
          <w:tcPr/>
          <w:p>
            <w:pPr>
              <w:pStyle w:val="Compact"/>
              <w:jc w:val="left"/>
            </w:pPr>
            <w:r>
              <w:rPr>
                <w:bCs/>
                <w:b/>
              </w:rPr>
              <w:t xml:space="preserve">0.900 tkm (900 km × 0.001 t)</w:t>
            </w:r>
          </w:p>
        </w:tc>
        <w:tc>
          <w:tcPr/>
          <w:p>
            <w:pPr>
              <w:pStyle w:val="Compact"/>
              <w:jc w:val="left"/>
            </w:pPr>
            <w:r>
              <w:rPr>
                <w:bCs/>
                <w:b/>
              </w:rPr>
              <w:t xml:space="preserve">EcoTransIT / DEFRA Rail Freight Benchmark (Electric/Diesel mix, Europe)</w:t>
            </w:r>
          </w:p>
        </w:tc>
      </w:tr>
      <w:tr>
        <w:tc>
          <w:tcPr/>
          <w:p>
            <w:pPr>
              <w:pStyle w:val="Compact"/>
              <w:jc w:val="left"/>
            </w:pPr>
            <w:r>
              <w:t xml:space="preserve">Stoichiometric Fossil Carbon in MMA</w:t>
            </w:r>
          </w:p>
        </w:tc>
        <w:tc>
          <w:tcPr/>
          <w:p>
            <w:pPr>
              <w:pStyle w:val="Compact"/>
              <w:jc w:val="left"/>
            </w:pPr>
            <w:r>
              <w:t xml:space="preserve">Theoretical/Empirical</w:t>
            </w:r>
          </w:p>
        </w:tc>
        <w:tc>
          <w:tcPr/>
          <w:p>
            <w:pPr>
              <w:pStyle w:val="Compact"/>
              <w:jc w:val="left"/>
            </w:pPr>
            <w:r>
              <w:t xml:space="preserve">0.599 kg C / kg MMA</w:t>
            </w:r>
          </w:p>
        </w:tc>
        <w:tc>
          <w:tcPr/>
          <w:p>
            <w:pPr>
              <w:pStyle w:val="Compact"/>
              <w:jc w:val="left"/>
            </w:pPr>
            <w:r>
              <w:t xml:space="preserve">Molecular formula C</w:t>
            </w:r>
            <w:r>
              <w:rPr>
                <w:vertAlign w:val="subscript"/>
              </w:rPr>
              <w:t xml:space="preserve">5</w:t>
            </w:r>
            <w:r>
              <w:t xml:space="preserve">H</w:t>
            </w:r>
            <w:r>
              <w:rPr>
                <w:vertAlign w:val="subscript"/>
              </w:rPr>
              <w:t xml:space="preserve">8</w:t>
            </w:r>
            <w:r>
              <w:t xml:space="preserve">O</w:t>
            </w:r>
            <w:r>
              <w:rPr>
                <w:vertAlign w:val="subscript"/>
              </w:rPr>
              <w:t xml:space="preserve">2</w:t>
            </w:r>
            <w:r>
              <w:t xml:space="preserve"> </w:t>
            </w:r>
            <w:r>
              <w:t xml:space="preserve">(MW: 100.12 g/mol), 100% stoichiometric release</w:t>
            </w:r>
          </w:p>
        </w:tc>
      </w:tr>
    </w:tbl>
    <w:p>
      <w:r>
        <w:pict>
          <v:rect style="width:0;height:1.5pt" o:hralign="center" o:hrstd="t" o:hr="t"/>
        </w:pict>
      </w:r>
    </w:p>
    <w:bookmarkEnd w:id="25"/>
    <w:bookmarkStart w:id="27" w:name="step-4-carbon-footprint-quantification"/>
    <w:p>
      <w:pPr>
        <w:pStyle w:val="Heading2"/>
      </w:pPr>
      <w:r>
        <w:t xml:space="preserve">4. Step 4: Carbon Footprint Quantification</w:t>
      </w:r>
    </w:p>
    <w:p>
      <w:pPr>
        <w:pStyle w:val="FirstParagraph"/>
      </w:pPr>
      <w:r>
        <w:t xml:space="preserve">Greenhouse gas emissions are computed via the standardized equation:</w:t>
      </w:r>
      <w:r>
        <w:br/>
      </w:r>
      <w:r>
        <w:rPr>
          <w:rStyle w:val="VerbatimChar"/>
        </w:rPr>
        <w:t xml:space="preserve">Emissions (kg CO</w:t>
      </w:r>
      <w:r>
        <w:rPr>
          <w:rStyle w:val="VerbatimChar"/>
          <w:vertAlign w:val="subscript"/>
        </w:rPr>
        <w:t xml:space="preserve">2</w:t>
      </w:r>
      <w:r>
        <w:rPr>
          <w:rStyle w:val="VerbatimChar"/>
        </w:rPr>
        <w:t xml:space="preserve">e) = Activity Data × Emission Factor (EF) × (1 − Carbon Capture/Removal)</w:t>
      </w:r>
      <w:r>
        <w:t xml:space="preserve">.</w:t>
      </w:r>
      <w:r>
        <w:t xml:space="preserve"> </w:t>
      </w:r>
      <w:r>
        <w:t xml:space="preserve">Global Warming Potentials (GWPs) are derived from the IPCC Sixth Assessment Report (AR6, 100-year horizon).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 Cycle Stage &amp; Flow</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GHG Scope</w:t>
            </w:r>
          </w:p>
        </w:tc>
        <w:tc>
          <w:tcPr/>
          <w:p>
            <w:pPr>
              <w:pStyle w:val="Compact"/>
              <w:jc w:val="left"/>
            </w:pPr>
            <w:r>
              <w:t xml:space="preserve">Share (%)</w:t>
            </w:r>
          </w:p>
        </w:tc>
      </w:tr>
      <w:tr>
        <w:tc>
          <w:tcPr/>
          <w:p>
            <w:pPr>
              <w:pStyle w:val="Compact"/>
              <w:jc w:val="left"/>
            </w:pPr>
            <w:r>
              <w:t xml:space="preserve">Acetone Production</w:t>
            </w:r>
          </w:p>
        </w:tc>
        <w:tc>
          <w:tcPr/>
          <w:p>
            <w:pPr>
              <w:pStyle w:val="Compact"/>
              <w:jc w:val="left"/>
            </w:pPr>
            <w:r>
              <w:t xml:space="preserve">0.650 kg</w:t>
            </w:r>
          </w:p>
        </w:tc>
        <w:tc>
          <w:tcPr/>
          <w:p>
            <w:pPr>
              <w:pStyle w:val="Compact"/>
              <w:jc w:val="left"/>
            </w:pPr>
            <w:r>
              <w:t xml:space="preserve">2.120 kg CO</w:t>
            </w:r>
            <w:r>
              <w:rPr>
                <w:vertAlign w:val="subscript"/>
              </w:rPr>
              <w:t xml:space="preserve">2</w:t>
            </w:r>
            <w:r>
              <w:t xml:space="preserve">e/kg</w:t>
            </w:r>
          </w:p>
        </w:tc>
        <w:tc>
          <w:tcPr/>
          <w:p>
            <w:pPr>
              <w:pStyle w:val="Compact"/>
              <w:jc w:val="left"/>
            </w:pPr>
            <w:r>
              <w:t xml:space="preserve">1.378</w:t>
            </w:r>
          </w:p>
        </w:tc>
        <w:tc>
          <w:tcPr/>
          <w:p>
            <w:pPr>
              <w:pStyle w:val="Compact"/>
              <w:jc w:val="left"/>
            </w:pPr>
            <w:r>
              <w:t xml:space="preserve">Scope 3</w:t>
            </w:r>
          </w:p>
        </w:tc>
        <w:tc>
          <w:tcPr/>
          <w:p>
            <w:pPr>
              <w:pStyle w:val="Compact"/>
              <w:jc w:val="left"/>
            </w:pPr>
            <w:r>
              <w:t xml:space="preserve">23.5%</w:t>
            </w:r>
          </w:p>
        </w:tc>
      </w:tr>
      <w:tr>
        <w:tc>
          <w:tcPr/>
          <w:p>
            <w:pPr>
              <w:pStyle w:val="Compact"/>
              <w:jc w:val="left"/>
            </w:pPr>
            <w:r>
              <w:t xml:space="preserve">Hydrogen Cyanide (HCN)</w:t>
            </w:r>
          </w:p>
        </w:tc>
        <w:tc>
          <w:tcPr/>
          <w:p>
            <w:pPr>
              <w:pStyle w:val="Compact"/>
              <w:jc w:val="left"/>
            </w:pPr>
            <w:r>
              <w:t xml:space="preserve">0.310 kg</w:t>
            </w:r>
          </w:p>
        </w:tc>
        <w:tc>
          <w:tcPr/>
          <w:p>
            <w:pPr>
              <w:pStyle w:val="Compact"/>
              <w:jc w:val="left"/>
            </w:pPr>
            <w:r>
              <w:t xml:space="preserve">2.540 kg CO</w:t>
            </w:r>
            <w:r>
              <w:rPr>
                <w:vertAlign w:val="subscript"/>
              </w:rPr>
              <w:t xml:space="preserve">2</w:t>
            </w:r>
            <w:r>
              <w:t xml:space="preserve">e/kg</w:t>
            </w:r>
          </w:p>
        </w:tc>
        <w:tc>
          <w:tcPr/>
          <w:p>
            <w:pPr>
              <w:pStyle w:val="Compact"/>
              <w:jc w:val="left"/>
            </w:pPr>
            <w:r>
              <w:t xml:space="preserve">0.787</w:t>
            </w:r>
          </w:p>
        </w:tc>
        <w:tc>
          <w:tcPr/>
          <w:p>
            <w:pPr>
              <w:pStyle w:val="Compact"/>
              <w:jc w:val="left"/>
            </w:pPr>
            <w:r>
              <w:t xml:space="preserve">Scope 3</w:t>
            </w:r>
          </w:p>
        </w:tc>
        <w:tc>
          <w:tcPr/>
          <w:p>
            <w:pPr>
              <w:pStyle w:val="Compact"/>
              <w:jc w:val="left"/>
            </w:pPr>
            <w:r>
              <w:t xml:space="preserve">13.4%</w:t>
            </w:r>
          </w:p>
        </w:tc>
      </w:tr>
      <w:tr>
        <w:tc>
          <w:tcPr/>
          <w:p>
            <w:pPr>
              <w:pStyle w:val="Compact"/>
              <w:jc w:val="left"/>
            </w:pPr>
            <w:r>
              <w:t xml:space="preserve">Methanol Synthesis</w:t>
            </w:r>
          </w:p>
        </w:tc>
        <w:tc>
          <w:tcPr/>
          <w:p>
            <w:pPr>
              <w:pStyle w:val="Compact"/>
              <w:jc w:val="left"/>
            </w:pPr>
            <w:r>
              <w:t xml:space="preserve">0.360 kg</w:t>
            </w:r>
          </w:p>
        </w:tc>
        <w:tc>
          <w:tcPr/>
          <w:p>
            <w:pPr>
              <w:pStyle w:val="Compact"/>
              <w:jc w:val="left"/>
            </w:pPr>
            <w:r>
              <w:t xml:space="preserve">0.780 kg CO</w:t>
            </w:r>
            <w:r>
              <w:rPr>
                <w:vertAlign w:val="subscript"/>
              </w:rPr>
              <w:t xml:space="preserve">2</w:t>
            </w:r>
            <w:r>
              <w:t xml:space="preserve">e/kg</w:t>
            </w:r>
          </w:p>
        </w:tc>
        <w:tc>
          <w:tcPr/>
          <w:p>
            <w:pPr>
              <w:pStyle w:val="Compact"/>
              <w:jc w:val="left"/>
            </w:pPr>
            <w:r>
              <w:t xml:space="preserve">0.281</w:t>
            </w:r>
          </w:p>
        </w:tc>
        <w:tc>
          <w:tcPr/>
          <w:p>
            <w:pPr>
              <w:pStyle w:val="Compact"/>
              <w:jc w:val="left"/>
            </w:pPr>
            <w:r>
              <w:t xml:space="preserve">Scope 3</w:t>
            </w:r>
          </w:p>
        </w:tc>
        <w:tc>
          <w:tcPr/>
          <w:p>
            <w:pPr>
              <w:pStyle w:val="Compact"/>
              <w:jc w:val="left"/>
            </w:pPr>
            <w:r>
              <w:t xml:space="preserve">4.8%</w:t>
            </w:r>
          </w:p>
        </w:tc>
      </w:tr>
      <w:tr>
        <w:tc>
          <w:tcPr/>
          <w:p>
            <w:pPr>
              <w:pStyle w:val="Compact"/>
              <w:jc w:val="left"/>
            </w:pPr>
            <w:r>
              <w:t xml:space="preserve">Sulfuric Acid &amp; Spent Acid Recovery</w:t>
            </w:r>
          </w:p>
        </w:tc>
        <w:tc>
          <w:tcPr/>
          <w:p>
            <w:pPr>
              <w:pStyle w:val="Compact"/>
              <w:jc w:val="left"/>
            </w:pPr>
            <w:r>
              <w:t xml:space="preserve">1.520 kg cycle</w:t>
            </w:r>
          </w:p>
        </w:tc>
        <w:tc>
          <w:tcPr/>
          <w:p>
            <w:pPr>
              <w:pStyle w:val="Compact"/>
              <w:jc w:val="left"/>
            </w:pPr>
            <w:r>
              <w:t xml:space="preserve">0.295 kg CO</w:t>
            </w:r>
            <w:r>
              <w:rPr>
                <w:vertAlign w:val="subscript"/>
              </w:rPr>
              <w:t xml:space="preserve">2</w:t>
            </w:r>
            <w:r>
              <w:t xml:space="preserve">e/kg net</w:t>
            </w:r>
          </w:p>
        </w:tc>
        <w:tc>
          <w:tcPr/>
          <w:p>
            <w:pPr>
              <w:pStyle w:val="Compact"/>
              <w:jc w:val="left"/>
            </w:pPr>
            <w:r>
              <w:t xml:space="preserve">0.448</w:t>
            </w:r>
          </w:p>
        </w:tc>
        <w:tc>
          <w:tcPr/>
          <w:p>
            <w:pPr>
              <w:pStyle w:val="Compact"/>
              <w:jc w:val="left"/>
            </w:pPr>
            <w:r>
              <w:t xml:space="preserve">Scope 3</w:t>
            </w:r>
          </w:p>
        </w:tc>
        <w:tc>
          <w:tcPr/>
          <w:p>
            <w:pPr>
              <w:pStyle w:val="Compact"/>
              <w:jc w:val="left"/>
            </w:pPr>
            <w:r>
              <w:t xml:space="preserve">7.6%</w:t>
            </w:r>
          </w:p>
        </w:tc>
      </w:tr>
      <w:tr>
        <w:tc>
          <w:tcPr/>
          <w:p>
            <w:pPr>
              <w:pStyle w:val="Compact"/>
              <w:jc w:val="left"/>
            </w:pPr>
            <w:r>
              <w:t xml:space="preserve">Direct Process Heat &amp; Fuel Gas (Scope 1)</w:t>
            </w:r>
          </w:p>
        </w:tc>
        <w:tc>
          <w:tcPr/>
          <w:p>
            <w:pPr>
              <w:pStyle w:val="Compact"/>
              <w:jc w:val="left"/>
            </w:pPr>
            <w:r>
              <w:t xml:space="preserve">4.850 MJ</w:t>
            </w:r>
          </w:p>
        </w:tc>
        <w:tc>
          <w:tcPr/>
          <w:p>
            <w:pPr>
              <w:pStyle w:val="Compact"/>
              <w:jc w:val="left"/>
            </w:pPr>
            <w:r>
              <w:t xml:space="preserve">0.068 kg CO</w:t>
            </w:r>
            <w:r>
              <w:rPr>
                <w:vertAlign w:val="subscript"/>
              </w:rPr>
              <w:t xml:space="preserve">2</w:t>
            </w:r>
            <w:r>
              <w:t xml:space="preserve">e/MJ</w:t>
            </w:r>
          </w:p>
        </w:tc>
        <w:tc>
          <w:tcPr/>
          <w:p>
            <w:pPr>
              <w:pStyle w:val="Compact"/>
              <w:jc w:val="left"/>
            </w:pPr>
            <w:r>
              <w:t xml:space="preserve">0.330</w:t>
            </w:r>
          </w:p>
        </w:tc>
        <w:tc>
          <w:tcPr/>
          <w:p>
            <w:pPr>
              <w:pStyle w:val="Compact"/>
              <w:jc w:val="left"/>
            </w:pPr>
            <w:r>
              <w:t xml:space="preserve">Scope 1</w:t>
            </w:r>
          </w:p>
        </w:tc>
        <w:tc>
          <w:tcPr/>
          <w:p>
            <w:pPr>
              <w:pStyle w:val="Compact"/>
              <w:jc w:val="left"/>
            </w:pPr>
            <w:r>
              <w:t xml:space="preserve">5.6%</w:t>
            </w:r>
          </w:p>
        </w:tc>
      </w:tr>
      <w:tr>
        <w:tc>
          <w:tcPr/>
          <w:p>
            <w:pPr>
              <w:pStyle w:val="Compact"/>
              <w:jc w:val="left"/>
            </w:pPr>
            <w:r>
              <w:t xml:space="preserve">Fugitive VOCs &amp; Flare Off-gas (Scope 1)</w:t>
            </w:r>
          </w:p>
        </w:tc>
        <w:tc>
          <w:tcPr/>
          <w:p>
            <w:pPr>
              <w:pStyle w:val="Compact"/>
              <w:jc w:val="left"/>
            </w:pPr>
            <w:r>
              <w:t xml:space="preserve">0.0035 kg VOC</w:t>
            </w:r>
          </w:p>
        </w:tc>
        <w:tc>
          <w:tcPr/>
          <w:p>
            <w:pPr>
              <w:pStyle w:val="Compact"/>
              <w:jc w:val="left"/>
            </w:pPr>
            <w:r>
              <w:t xml:space="preserve">26.000 kg CO</w:t>
            </w:r>
            <w:r>
              <w:rPr>
                <w:vertAlign w:val="subscript"/>
              </w:rPr>
              <w:t xml:space="preserve">2</w:t>
            </w:r>
            <w:r>
              <w:t xml:space="preserve">e/kg VOC</w:t>
            </w:r>
          </w:p>
        </w:tc>
        <w:tc>
          <w:tcPr/>
          <w:p>
            <w:pPr>
              <w:pStyle w:val="Compact"/>
              <w:jc w:val="left"/>
            </w:pPr>
            <w:r>
              <w:t xml:space="preserve">0.091</w:t>
            </w:r>
          </w:p>
        </w:tc>
        <w:tc>
          <w:tcPr/>
          <w:p>
            <w:pPr>
              <w:pStyle w:val="Compact"/>
              <w:jc w:val="left"/>
            </w:pPr>
            <w:r>
              <w:t xml:space="preserve">Scope 1</w:t>
            </w:r>
          </w:p>
        </w:tc>
        <w:tc>
          <w:tcPr/>
          <w:p>
            <w:pPr>
              <w:pStyle w:val="Compact"/>
              <w:jc w:val="left"/>
            </w:pPr>
            <w:r>
              <w:t xml:space="preserve">1.6%</w:t>
            </w:r>
          </w:p>
        </w:tc>
      </w:tr>
      <w:tr>
        <w:tc>
          <w:tcPr/>
          <w:p>
            <w:pPr>
              <w:pStyle w:val="Compact"/>
              <w:jc w:val="left"/>
            </w:pPr>
            <w:r>
              <w:t xml:space="preserve">Electricity (German Grid Mix, Scope 2)</w:t>
            </w:r>
          </w:p>
        </w:tc>
        <w:tc>
          <w:tcPr/>
          <w:p>
            <w:pPr>
              <w:pStyle w:val="Compact"/>
              <w:jc w:val="left"/>
            </w:pPr>
            <w:r>
              <w:t xml:space="preserve">0.720 kWh</w:t>
            </w:r>
          </w:p>
        </w:tc>
        <w:tc>
          <w:tcPr/>
          <w:p>
            <w:pPr>
              <w:pStyle w:val="Compact"/>
              <w:jc w:val="left"/>
            </w:pPr>
            <w:r>
              <w:t xml:space="preserve">0.335 kg CO</w:t>
            </w:r>
            <w:r>
              <w:rPr>
                <w:vertAlign w:val="subscript"/>
              </w:rPr>
              <w:t xml:space="preserve">2</w:t>
            </w:r>
            <w:r>
              <w:t xml:space="preserve">e/kWh</w:t>
            </w:r>
          </w:p>
        </w:tc>
        <w:tc>
          <w:tcPr/>
          <w:p>
            <w:pPr>
              <w:pStyle w:val="Compact"/>
              <w:jc w:val="left"/>
            </w:pPr>
            <w:r>
              <w:t xml:space="preserve">0.241</w:t>
            </w:r>
          </w:p>
        </w:tc>
        <w:tc>
          <w:tcPr/>
          <w:p>
            <w:pPr>
              <w:pStyle w:val="Compact"/>
              <w:jc w:val="left"/>
            </w:pPr>
            <w:r>
              <w:t xml:space="preserve">Scope 2</w:t>
            </w:r>
          </w:p>
        </w:tc>
        <w:tc>
          <w:tcPr/>
          <w:p>
            <w:pPr>
              <w:pStyle w:val="Compact"/>
              <w:jc w:val="left"/>
            </w:pPr>
            <w:r>
              <w:t xml:space="preserve">4.1%</w:t>
            </w:r>
          </w:p>
        </w:tc>
      </w:tr>
      <w:tr>
        <w:tc>
          <w:tcPr/>
          <w:p>
            <w:pPr>
              <w:pStyle w:val="Compact"/>
              <w:jc w:val="left"/>
            </w:pPr>
            <w:r>
              <w:t xml:space="preserve">Purchased CHP Industrial Steam (Scope 2)</w:t>
            </w:r>
          </w:p>
        </w:tc>
        <w:tc>
          <w:tcPr/>
          <w:p>
            <w:pPr>
              <w:pStyle w:val="Compact"/>
              <w:jc w:val="left"/>
            </w:pPr>
            <w:r>
              <w:t xml:space="preserve">2.100 kg</w:t>
            </w:r>
          </w:p>
        </w:tc>
        <w:tc>
          <w:tcPr/>
          <w:p>
            <w:pPr>
              <w:pStyle w:val="Compact"/>
              <w:jc w:val="left"/>
            </w:pPr>
            <w:r>
              <w:t xml:space="preserve">0.034 kg CO</w:t>
            </w:r>
            <w:r>
              <w:rPr>
                <w:vertAlign w:val="subscript"/>
              </w:rPr>
              <w:t xml:space="preserve">2</w:t>
            </w:r>
            <w:r>
              <w:t xml:space="preserve">e/kg</w:t>
            </w:r>
          </w:p>
        </w:tc>
        <w:tc>
          <w:tcPr/>
          <w:p>
            <w:pPr>
              <w:pStyle w:val="Compact"/>
              <w:jc w:val="left"/>
            </w:pPr>
            <w:r>
              <w:t xml:space="preserve">0.071</w:t>
            </w:r>
          </w:p>
        </w:tc>
        <w:tc>
          <w:tcPr/>
          <w:p>
            <w:pPr>
              <w:pStyle w:val="Compact"/>
              <w:jc w:val="left"/>
            </w:pPr>
            <w:r>
              <w:t xml:space="preserve">Scope 2</w:t>
            </w:r>
          </w:p>
        </w:tc>
        <w:tc>
          <w:tcPr/>
          <w:p>
            <w:pPr>
              <w:pStyle w:val="Compact"/>
              <w:jc w:val="left"/>
            </w:pPr>
            <w:r>
              <w:t xml:space="preserve">1.2%</w:t>
            </w:r>
          </w:p>
        </w:tc>
      </w:tr>
      <w:tr>
        <w:tc>
          <w:tcPr/>
          <w:p>
            <w:pPr>
              <w:pStyle w:val="Compact"/>
              <w:jc w:val="left"/>
            </w:pPr>
            <w:r>
              <w:t xml:space="preserve">Packaging (Steel drum amortized)</w:t>
            </w:r>
          </w:p>
        </w:tc>
        <w:tc>
          <w:tcPr/>
          <w:p>
            <w:pPr>
              <w:pStyle w:val="Compact"/>
              <w:jc w:val="left"/>
            </w:pPr>
            <w:r>
              <w:t xml:space="preserve">0.012 kg</w:t>
            </w:r>
          </w:p>
        </w:tc>
        <w:tc>
          <w:tcPr/>
          <w:p>
            <w:pPr>
              <w:pStyle w:val="Compact"/>
              <w:jc w:val="left"/>
            </w:pPr>
            <w:r>
              <w:t xml:space="preserve">2.450 kg CO</w:t>
            </w:r>
            <w:r>
              <w:rPr>
                <w:vertAlign w:val="subscript"/>
              </w:rPr>
              <w:t xml:space="preserve">2</w:t>
            </w:r>
            <w:r>
              <w:t xml:space="preserve">e/kg</w:t>
            </w:r>
          </w:p>
        </w:tc>
        <w:tc>
          <w:tcPr/>
          <w:p>
            <w:pPr>
              <w:pStyle w:val="Compact"/>
              <w:jc w:val="left"/>
            </w:pPr>
            <w:r>
              <w:t xml:space="preserve">0.029</w:t>
            </w:r>
          </w:p>
        </w:tc>
        <w:tc>
          <w:tcPr/>
          <w:p>
            <w:pPr>
              <w:pStyle w:val="Compact"/>
              <w:jc w:val="left"/>
            </w:pPr>
            <w:r>
              <w:t xml:space="preserve">Scope 3</w:t>
            </w:r>
          </w:p>
        </w:tc>
        <w:tc>
          <w:tcPr/>
          <w:p>
            <w:pPr>
              <w:pStyle w:val="Compact"/>
              <w:jc w:val="left"/>
            </w:pPr>
            <w:r>
              <w:t xml:space="preserve">0.5%</w:t>
            </w:r>
          </w:p>
        </w:tc>
      </w:tr>
      <w:tr>
        <w:tc>
          <w:tcPr/>
          <w:p>
            <w:pPr>
              <w:pStyle w:val="Compact"/>
              <w:jc w:val="left"/>
            </w:pPr>
            <w:r>
              <w:rPr>
                <w:bCs/>
                <w:b/>
              </w:rPr>
              <w:t xml:space="preserve">Outbound Rail Logistics (900 km)</w:t>
            </w:r>
          </w:p>
        </w:tc>
        <w:tc>
          <w:tcPr/>
          <w:p>
            <w:pPr>
              <w:pStyle w:val="Compact"/>
              <w:jc w:val="left"/>
            </w:pPr>
            <w:r>
              <w:rPr>
                <w:bCs/>
                <w:b/>
              </w:rPr>
              <w:t xml:space="preserve">0.900 tkm</w:t>
            </w:r>
          </w:p>
        </w:tc>
        <w:tc>
          <w:tcPr/>
          <w:p>
            <w:pPr>
              <w:pStyle w:val="Compact"/>
              <w:jc w:val="left"/>
            </w:pPr>
            <w:r>
              <w:rPr>
                <w:bCs/>
                <w:b/>
              </w:rPr>
              <w:t xml:space="preserve">0.0255 kg CO</w:t>
            </w:r>
            <w:r>
              <w:rPr>
                <w:vertAlign w:val="subscript"/>
                <w:bCs/>
                <w:b/>
              </w:rPr>
              <w:t xml:space="preserve">2</w:t>
            </w:r>
            <w:r>
              <w:rPr>
                <w:bCs/>
                <w:b/>
              </w:rPr>
              <w:t xml:space="preserve">e/tkm</w:t>
            </w:r>
          </w:p>
        </w:tc>
        <w:tc>
          <w:tcPr/>
          <w:p>
            <w:pPr>
              <w:pStyle w:val="Compact"/>
              <w:jc w:val="left"/>
            </w:pPr>
            <w:r>
              <w:rPr>
                <w:bCs/>
                <w:b/>
              </w:rPr>
              <w:t xml:space="preserve">0.023</w:t>
            </w:r>
          </w:p>
        </w:tc>
        <w:tc>
          <w:tcPr/>
          <w:p>
            <w:pPr>
              <w:pStyle w:val="Compact"/>
              <w:jc w:val="left"/>
            </w:pPr>
            <w:r>
              <w:t xml:space="preserve">Scope 3</w:t>
            </w:r>
          </w:p>
        </w:tc>
        <w:tc>
          <w:tcPr/>
          <w:p>
            <w:pPr>
              <w:pStyle w:val="Compact"/>
              <w:jc w:val="left"/>
            </w:pPr>
            <w:r>
              <w:rPr>
                <w:bCs/>
                <w:b/>
              </w:rPr>
              <w:t xml:space="preserve">0.4%</w:t>
            </w:r>
          </w:p>
        </w:tc>
      </w:tr>
      <w:tr>
        <w:tc>
          <w:tcPr/>
          <w:p>
            <w:pPr>
              <w:pStyle w:val="Compact"/>
              <w:jc w:val="left"/>
            </w:pPr>
            <w:r>
              <w:t xml:space="preserve">Polymerization Conversion Processing</w:t>
            </w:r>
          </w:p>
        </w:tc>
        <w:tc>
          <w:tcPr/>
          <w:p>
            <w:pPr>
              <w:pStyle w:val="Compact"/>
              <w:jc w:val="left"/>
            </w:pPr>
            <w:r>
              <w:t xml:space="preserve">0.450 kWh</w:t>
            </w:r>
          </w:p>
        </w:tc>
        <w:tc>
          <w:tcPr/>
          <w:p>
            <w:pPr>
              <w:pStyle w:val="Compact"/>
              <w:jc w:val="left"/>
            </w:pPr>
            <w:r>
              <w:t xml:space="preserve">0.145 kg CO</w:t>
            </w:r>
            <w:r>
              <w:rPr>
                <w:vertAlign w:val="subscript"/>
              </w:rPr>
              <w:t xml:space="preserve">2</w:t>
            </w:r>
            <w:r>
              <w:t xml:space="preserve">e/kWh (EU)</w:t>
            </w:r>
          </w:p>
        </w:tc>
        <w:tc>
          <w:tcPr/>
          <w:p>
            <w:pPr>
              <w:pStyle w:val="Compact"/>
              <w:jc w:val="left"/>
            </w:pPr>
            <w:r>
              <w:t xml:space="preserve">0.065</w:t>
            </w:r>
          </w:p>
        </w:tc>
        <w:tc>
          <w:tcPr/>
          <w:p>
            <w:pPr>
              <w:pStyle w:val="Compact"/>
              <w:jc w:val="left"/>
            </w:pPr>
            <w:r>
              <w:t xml:space="preserve">Scope 3</w:t>
            </w:r>
          </w:p>
        </w:tc>
        <w:tc>
          <w:tcPr/>
          <w:p>
            <w:pPr>
              <w:pStyle w:val="Compact"/>
              <w:jc w:val="left"/>
            </w:pPr>
            <w:r>
              <w:t xml:space="preserve">1.1%</w:t>
            </w:r>
          </w:p>
        </w:tc>
      </w:tr>
      <w:tr>
        <w:tc>
          <w:tcPr/>
          <w:p>
            <w:pPr>
              <w:pStyle w:val="Compact"/>
              <w:jc w:val="left"/>
            </w:pPr>
            <w:r>
              <w:t xml:space="preserve">End-of-Life: Municipal Incineration (fossil C)</w:t>
            </w:r>
          </w:p>
        </w:tc>
        <w:tc>
          <w:tcPr/>
          <w:p>
            <w:pPr>
              <w:pStyle w:val="Compact"/>
              <w:jc w:val="left"/>
            </w:pPr>
            <w:r>
              <w:t xml:space="preserve">0.599 kg C</w:t>
            </w:r>
          </w:p>
        </w:tc>
        <w:tc>
          <w:tcPr/>
          <w:p>
            <w:pPr>
              <w:pStyle w:val="Compact"/>
              <w:jc w:val="left"/>
            </w:pPr>
            <w:r>
              <w:t xml:space="preserve">3.664 kg CO</w:t>
            </w:r>
            <w:r>
              <w:rPr>
                <w:vertAlign w:val="subscript"/>
              </w:rPr>
              <w:t xml:space="preserve">2</w:t>
            </w:r>
            <w:r>
              <w:t xml:space="preserve">/kg C × 85%</w:t>
            </w:r>
          </w:p>
        </w:tc>
        <w:tc>
          <w:tcPr/>
          <w:p>
            <w:pPr>
              <w:pStyle w:val="Compact"/>
              <w:jc w:val="left"/>
            </w:pPr>
            <w:r>
              <w:t xml:space="preserve">1.866</w:t>
            </w:r>
          </w:p>
        </w:tc>
        <w:tc>
          <w:tcPr/>
          <w:p>
            <w:pPr>
              <w:pStyle w:val="Compact"/>
              <w:jc w:val="left"/>
            </w:pPr>
            <w:r>
              <w:t xml:space="preserve">Scope 3</w:t>
            </w:r>
          </w:p>
        </w:tc>
        <w:tc>
          <w:tcPr/>
          <w:p>
            <w:pPr>
              <w:pStyle w:val="Compact"/>
              <w:jc w:val="left"/>
            </w:pPr>
            <w:r>
              <w:t xml:space="preserve">31.8%</w:t>
            </w:r>
          </w:p>
        </w:tc>
      </w:tr>
      <w:tr>
        <w:tc>
          <w:tcPr/>
          <w:p>
            <w:pPr>
              <w:pStyle w:val="Compact"/>
              <w:jc w:val="left"/>
            </w:pPr>
            <w:r>
              <w:t xml:space="preserve">End-of-Life: Landfill &amp; Ash Management</w:t>
            </w:r>
          </w:p>
        </w:tc>
        <w:tc>
          <w:tcPr/>
          <w:p>
            <w:pPr>
              <w:pStyle w:val="Compact"/>
              <w:jc w:val="left"/>
            </w:pPr>
            <w:r>
              <w:t xml:space="preserve">0.150 kg PMMA</w:t>
            </w:r>
          </w:p>
        </w:tc>
        <w:tc>
          <w:tcPr/>
          <w:p>
            <w:pPr>
              <w:pStyle w:val="Compact"/>
              <w:jc w:val="left"/>
            </w:pPr>
            <w:r>
              <w:t xml:space="preserve">0.330 kg CO</w:t>
            </w:r>
            <w:r>
              <w:rPr>
                <w:vertAlign w:val="subscript"/>
              </w:rPr>
              <w:t xml:space="preserve">2</w:t>
            </w:r>
            <w:r>
              <w:t xml:space="preserve">e/kg</w:t>
            </w:r>
          </w:p>
        </w:tc>
        <w:tc>
          <w:tcPr/>
          <w:p>
            <w:pPr>
              <w:pStyle w:val="Compact"/>
              <w:jc w:val="left"/>
            </w:pPr>
            <w:r>
              <w:t xml:space="preserve">0.050</w:t>
            </w:r>
          </w:p>
        </w:tc>
        <w:tc>
          <w:tcPr/>
          <w:p>
            <w:pPr>
              <w:pStyle w:val="Compact"/>
              <w:jc w:val="left"/>
            </w:pPr>
            <w:r>
              <w:t xml:space="preserve">Scope 3</w:t>
            </w:r>
          </w:p>
        </w:tc>
        <w:tc>
          <w:tcPr/>
          <w:p>
            <w:pPr>
              <w:pStyle w:val="Compact"/>
              <w:jc w:val="left"/>
            </w:pPr>
            <w:r>
              <w:t xml:space="preserve">0.9%</w:t>
            </w:r>
          </w:p>
        </w:tc>
      </w:tr>
      <w:tr>
        <w:tc>
          <w:tcPr>
            <w:gridSpan w:val="3"/>
          </w:tcPr>
          <w:p>
            <w:pPr>
              <w:pStyle w:val="Compact"/>
              <w:jc w:val="left"/>
            </w:pPr>
            <w:r>
              <w:rPr>
                <w:bCs/>
                <w:b/>
              </w:rPr>
              <w:t xml:space="preserve">TOTAL CRADLE-TO-GRAVE PRODUCT CARBON FOOTPRINT</w:t>
            </w:r>
          </w:p>
        </w:tc>
        <w:tc>
          <w:tcPr/>
          <w:p>
            <w:pPr>
              <w:pStyle w:val="Compact"/>
              <w:jc w:val="left"/>
            </w:pPr>
            <w:r>
              <w:rPr>
                <w:bCs/>
                <w:b/>
              </w:rPr>
              <w:t xml:space="preserve">5.860</w:t>
            </w:r>
          </w:p>
        </w:tc>
        <w:tc>
          <w:tcPr/>
          <w:p>
            <w:pPr>
              <w:pStyle w:val="Compact"/>
              <w:jc w:val="left"/>
            </w:pPr>
            <w:r>
              <w:rPr>
                <w:bCs/>
                <w:b/>
              </w:rPr>
              <w:t xml:space="preserve">All Scopes</w:t>
            </w:r>
          </w:p>
        </w:tc>
        <w:tc>
          <w:tcPr/>
          <w:p>
            <w:pPr>
              <w:pStyle w:val="Compact"/>
              <w:jc w:val="left"/>
            </w:pPr>
            <w:r>
              <w:rPr>
                <w:bCs/>
                <w:b/>
              </w:rPr>
              <w:t xml:space="preserve">100.0%</w:t>
            </w:r>
          </w:p>
        </w:tc>
      </w:tr>
    </w:tbl>
    <w:bookmarkStart w:id="26" w:name="ghg-protocol-scope-aggregation"/>
    <w:p>
      <w:pPr>
        <w:pStyle w:val="Heading3"/>
      </w:pPr>
      <w:r>
        <w:t xml:space="preserve">GHG Protocol Scope Aggregation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Classification</w:t>
            </w:r>
          </w:p>
        </w:tc>
        <w:tc>
          <w:tcPr/>
          <w:p>
            <w:pPr>
              <w:pStyle w:val="Compact"/>
              <w:jc w:val="left"/>
            </w:pPr>
            <w:r>
              <w:t xml:space="preserve">Life Cycle Stages Included</w:t>
            </w:r>
          </w:p>
        </w:tc>
        <w:tc>
          <w:tcPr/>
          <w:p>
            <w:pPr>
              <w:pStyle w:val="Compact"/>
              <w:jc w:val="left"/>
            </w:pPr>
            <w:r>
              <w:t xml:space="preserve">Emissions (kg CO</w:t>
            </w:r>
            <w:r>
              <w:rPr>
                <w:vertAlign w:val="subscript"/>
              </w:rPr>
              <w:t xml:space="preserve">2</w:t>
            </w:r>
            <w:r>
              <w:t xml:space="preserve">e/kg)</w:t>
            </w:r>
          </w:p>
        </w:tc>
        <w:tc>
          <w:tcPr/>
          <w:p>
            <w:pPr>
              <w:pStyle w:val="Compact"/>
              <w:jc w:val="left"/>
            </w:pPr>
            <w:r>
              <w:t xml:space="preserve">Percentage Contribution</w:t>
            </w:r>
          </w:p>
        </w:tc>
      </w:tr>
      <w:tr>
        <w:tc>
          <w:tcPr/>
          <w:p>
            <w:pPr>
              <w:pStyle w:val="Compact"/>
              <w:jc w:val="left"/>
            </w:pPr>
            <w:r>
              <w:rPr>
                <w:bCs/>
                <w:b/>
              </w:rPr>
              <w:t xml:space="preserve">Scope 1 (Direct Facility Emissions)</w:t>
            </w:r>
          </w:p>
        </w:tc>
        <w:tc>
          <w:tcPr/>
          <w:p>
            <w:pPr>
              <w:pStyle w:val="Compact"/>
              <w:jc w:val="left"/>
            </w:pPr>
            <w:r>
              <w:t xml:space="preserve">On-site gas combustion, furnaces, flare emissions, fugitive venting</w:t>
            </w:r>
          </w:p>
        </w:tc>
        <w:tc>
          <w:tcPr/>
          <w:p>
            <w:pPr>
              <w:pStyle w:val="Compact"/>
              <w:jc w:val="left"/>
            </w:pPr>
            <w:r>
              <w:t xml:space="preserve">0.421</w:t>
            </w:r>
          </w:p>
        </w:tc>
        <w:tc>
          <w:tcPr/>
          <w:p>
            <w:pPr>
              <w:pStyle w:val="Compact"/>
              <w:jc w:val="left"/>
            </w:pPr>
            <w:r>
              <w:t xml:space="preserve">7.18%</w:t>
            </w:r>
          </w:p>
        </w:tc>
      </w:tr>
      <w:tr>
        <w:tc>
          <w:tcPr/>
          <w:p>
            <w:pPr>
              <w:pStyle w:val="Compact"/>
              <w:jc w:val="left"/>
            </w:pPr>
            <w:r>
              <w:rPr>
                <w:bCs/>
                <w:b/>
              </w:rPr>
              <w:t xml:space="preserve">Scope 2 (Indirect Energy Emissions)</w:t>
            </w:r>
          </w:p>
        </w:tc>
        <w:tc>
          <w:tcPr/>
          <w:p>
            <w:pPr>
              <w:pStyle w:val="Compact"/>
              <w:jc w:val="left"/>
            </w:pPr>
            <w:r>
              <w:t xml:space="preserve">Grid electricity consumption (Germany) and imported network steam</w:t>
            </w:r>
          </w:p>
        </w:tc>
        <w:tc>
          <w:tcPr/>
          <w:p>
            <w:pPr>
              <w:pStyle w:val="Compact"/>
              <w:jc w:val="left"/>
            </w:pPr>
            <w:r>
              <w:t xml:space="preserve">0.312</w:t>
            </w:r>
          </w:p>
        </w:tc>
        <w:tc>
          <w:tcPr/>
          <w:p>
            <w:pPr>
              <w:pStyle w:val="Compact"/>
              <w:jc w:val="left"/>
            </w:pPr>
            <w:r>
              <w:t xml:space="preserve">5.32%</w:t>
            </w:r>
          </w:p>
        </w:tc>
      </w:tr>
      <w:tr>
        <w:tc>
          <w:tcPr/>
          <w:p>
            <w:pPr>
              <w:pStyle w:val="Compact"/>
              <w:jc w:val="left"/>
            </w:pPr>
            <w:r>
              <w:rPr>
                <w:bCs/>
                <w:b/>
              </w:rPr>
              <w:t xml:space="preserve">Scope 3 (Upstream Value Chain)</w:t>
            </w:r>
          </w:p>
        </w:tc>
        <w:tc>
          <w:tcPr/>
          <w:p>
            <w:pPr>
              <w:pStyle w:val="Compact"/>
              <w:jc w:val="left"/>
            </w:pPr>
            <w:r>
              <w:t xml:space="preserve">Raw material acquisition (acetone, HCN, MeOH, H</w:t>
            </w:r>
            <w:r>
              <w:rPr>
                <w:vertAlign w:val="subscript"/>
              </w:rPr>
              <w:t xml:space="preserve">2</w:t>
            </w:r>
            <w:r>
              <w:t xml:space="preserve">SO</w:t>
            </w:r>
            <w:r>
              <w:rPr>
                <w:vertAlign w:val="subscript"/>
              </w:rPr>
              <w:t xml:space="preserve">4</w:t>
            </w:r>
            <w:r>
              <w:t xml:space="preserve">) &amp; inbound transport</w:t>
            </w:r>
          </w:p>
        </w:tc>
        <w:tc>
          <w:tcPr/>
          <w:p>
            <w:pPr>
              <w:pStyle w:val="Compact"/>
              <w:jc w:val="left"/>
            </w:pPr>
            <w:r>
              <w:t xml:space="preserve">2.894</w:t>
            </w:r>
          </w:p>
        </w:tc>
        <w:tc>
          <w:tcPr/>
          <w:p>
            <w:pPr>
              <w:pStyle w:val="Compact"/>
              <w:jc w:val="left"/>
            </w:pPr>
            <w:r>
              <w:t xml:space="preserve">49.39%</w:t>
            </w:r>
          </w:p>
        </w:tc>
      </w:tr>
      <w:tr>
        <w:tc>
          <w:tcPr/>
          <w:p>
            <w:pPr>
              <w:pStyle w:val="Compact"/>
              <w:jc w:val="left"/>
            </w:pPr>
            <w:r>
              <w:rPr>
                <w:bCs/>
                <w:b/>
              </w:rPr>
              <w:t xml:space="preserve">Scope 3 (Downstream Value Chain)</w:t>
            </w:r>
          </w:p>
        </w:tc>
        <w:tc>
          <w:tcPr/>
          <w:p>
            <w:pPr>
              <w:pStyle w:val="Compact"/>
              <w:jc w:val="left"/>
            </w:pPr>
            <w:r>
              <w:t xml:space="preserve">Rail freight (900 km), packaging, use-phase processing, and EoL incineration</w:t>
            </w:r>
          </w:p>
        </w:tc>
        <w:tc>
          <w:tcPr/>
          <w:p>
            <w:pPr>
              <w:pStyle w:val="Compact"/>
              <w:jc w:val="left"/>
            </w:pPr>
            <w:r>
              <w:t xml:space="preserve">2.233</w:t>
            </w:r>
          </w:p>
        </w:tc>
        <w:tc>
          <w:tcPr/>
          <w:p>
            <w:pPr>
              <w:pStyle w:val="Compact"/>
              <w:jc w:val="left"/>
            </w:pPr>
            <w:r>
              <w:t xml:space="preserve">38.11%</w:t>
            </w:r>
          </w:p>
        </w:tc>
      </w:tr>
      <w:tr>
        <w:tc>
          <w:tcPr/>
          <w:p>
            <w:pPr>
              <w:pStyle w:val="Compact"/>
              <w:jc w:val="left"/>
            </w:pPr>
            <w:r>
              <w:rPr>
                <w:bCs/>
                <w:b/>
              </w:rPr>
              <w:t xml:space="preserve">Consolidated Product Inventory</w:t>
            </w:r>
          </w:p>
        </w:tc>
        <w:tc>
          <w:tcPr/>
          <w:p>
            <w:pPr>
              <w:pStyle w:val="Compact"/>
              <w:jc w:val="left"/>
            </w:pPr>
            <w:r>
              <w:rPr>
                <w:bCs/>
                <w:b/>
              </w:rPr>
              <w:t xml:space="preserve">Complete Cradle-to-Grave Lifecycle</w:t>
            </w:r>
          </w:p>
        </w:tc>
        <w:tc>
          <w:tcPr/>
          <w:p>
            <w:pPr>
              <w:pStyle w:val="Compact"/>
              <w:jc w:val="left"/>
            </w:pPr>
            <w:r>
              <w:rPr>
                <w:bCs/>
                <w:b/>
              </w:rPr>
              <w:t xml:space="preserve">5.860</w:t>
            </w:r>
          </w:p>
        </w:tc>
        <w:tc>
          <w:tcPr/>
          <w:p>
            <w:pPr>
              <w:pStyle w:val="Compact"/>
              <w:jc w:val="left"/>
            </w:pPr>
            <w:r>
              <w:rPr>
                <w:bCs/>
                <w:b/>
              </w:rPr>
              <w:t xml:space="preserve">100.00%</w:t>
            </w:r>
          </w:p>
        </w:tc>
      </w:tr>
    </w:tbl>
    <w:p>
      <w:r>
        <w:pict>
          <v:rect style="width:0;height:1.5pt" o:hralign="center" o:hrstd="t" o:hr="t"/>
        </w:pict>
      </w:r>
    </w:p>
    <w:bookmarkEnd w:id="26"/>
    <w:bookmarkEnd w:id="27"/>
    <w:bookmarkStart w:id="31" w:name="X835768e9630d8ac0a91ef88c503fc83d03742ca"/>
    <w:p>
      <w:pPr>
        <w:pStyle w:val="Heading2"/>
      </w:pPr>
      <w:r>
        <w:t xml:space="preserve">5. Step 5: Hotspot Analysis, 2026 LSR Assessment &amp; Recommendations</w:t>
      </w:r>
    </w:p>
    <w:bookmarkStart w:id="28" w:name="primary-carbon-hotspots"/>
    <w:p>
      <w:pPr>
        <w:pStyle w:val="Heading3"/>
      </w:pPr>
      <w:r>
        <w:t xml:space="preserve">Primary Carbon Hotspots</w:t>
      </w:r>
    </w:p>
    <w:p>
      <w:pPr>
        <w:numPr>
          <w:ilvl w:val="0"/>
          <w:numId w:val="1002"/>
        </w:numPr>
        <w:pStyle w:val="Compact"/>
      </w:pPr>
      <w:r>
        <w:rPr>
          <w:bCs/>
          <w:b/>
        </w:rPr>
        <w:t xml:space="preserve">Fossil Carbon End-of-Life Incineration (31.8%):</w:t>
      </w:r>
      <w:r>
        <w:t xml:space="preserve"> </w:t>
      </w:r>
      <w:r>
        <w:t xml:space="preserve">The complete oxidation of the methacrylic backbone (C</w:t>
      </w:r>
      <w:r>
        <w:rPr>
          <w:vertAlign w:val="subscript"/>
        </w:rPr>
        <w:t xml:space="preserve">5</w:t>
      </w:r>
      <w:r>
        <w:t xml:space="preserve">H</w:t>
      </w:r>
      <w:r>
        <w:rPr>
          <w:vertAlign w:val="subscript"/>
        </w:rPr>
        <w:t xml:space="preserve">8</w:t>
      </w:r>
      <w:r>
        <w:t xml:space="preserve">O</w:t>
      </w:r>
      <w:r>
        <w:rPr>
          <w:vertAlign w:val="subscript"/>
        </w:rPr>
        <w:t xml:space="preserve">2</w:t>
      </w:r>
      <w:r>
        <w:t xml:space="preserve">) during municipal waste incineration releases 1.866 kg CO</w:t>
      </w:r>
      <w:r>
        <w:rPr>
          <w:vertAlign w:val="subscript"/>
        </w:rPr>
        <w:t xml:space="preserve">2</w:t>
      </w:r>
      <w:r>
        <w:t xml:space="preserve">e/kg. Because the product contains ~60% fossil carbon by weight, end-of-life treatment represents the single largest individual emission contributor.</w:t>
      </w:r>
    </w:p>
    <w:p>
      <w:pPr>
        <w:numPr>
          <w:ilvl w:val="0"/>
          <w:numId w:val="1002"/>
        </w:numPr>
        <w:pStyle w:val="Compact"/>
      </w:pPr>
      <w:r>
        <w:rPr>
          <w:bCs/>
          <w:b/>
        </w:rPr>
        <w:t xml:space="preserve">Petrochemical Precursors — Acetone &amp; HCN (36.9% combined):</w:t>
      </w:r>
      <w:r>
        <w:t xml:space="preserve"> </w:t>
      </w:r>
      <w:r>
        <w:t xml:space="preserve">Acetone derived via cumene oxidation and HCN generated via methane ammoxidation represent energy-intensive synthesis pathways with substantial Scope 3 upstream burdens.</w:t>
      </w:r>
    </w:p>
    <w:p>
      <w:pPr>
        <w:numPr>
          <w:ilvl w:val="0"/>
          <w:numId w:val="1002"/>
        </w:numPr>
        <w:pStyle w:val="Compact"/>
      </w:pPr>
      <w:r>
        <w:rPr>
          <w:bCs/>
          <w:b/>
        </w:rPr>
        <w:t xml:space="preserve">In-Plant Energy Intensity (12.5% combined Scope 1 &amp; 2):</w:t>
      </w:r>
      <w:r>
        <w:t xml:space="preserve"> </w:t>
      </w:r>
      <w:r>
        <w:t xml:space="preserve">High-pressure distillation trains and sulfuric acid cleaving require intensive continuous thermal and electrical power inputs.</w:t>
      </w:r>
    </w:p>
    <w:p>
      <w:pPr>
        <w:numPr>
          <w:ilvl w:val="0"/>
          <w:numId w:val="1002"/>
        </w:numPr>
        <w:pStyle w:val="Compact"/>
      </w:pPr>
      <w:r>
        <w:rPr>
          <w:bCs/>
          <w:b/>
        </w:rPr>
        <w:t xml:space="preserve">Logistics Advantage of Rail Transport:</w:t>
      </w:r>
      <w:r>
        <w:t xml:space="preserve"> </w:t>
      </w:r>
      <w:r>
        <w:t xml:space="preserve">Utilizing rail freight for the 900 km delivery route generates only</w:t>
      </w:r>
      <w:r>
        <w:t xml:space="preserve"> </w:t>
      </w:r>
      <w:r>
        <w:rPr>
          <w:bCs/>
          <w:b/>
        </w:rPr>
        <w:t xml:space="preserve">0.023 kg CO</w:t>
      </w:r>
      <w:r>
        <w:rPr>
          <w:vertAlign w:val="subscript"/>
          <w:bCs/>
          <w:b/>
        </w:rPr>
        <w:t xml:space="preserve">2</w:t>
      </w:r>
      <w:r>
        <w:rPr>
          <w:bCs/>
          <w:b/>
        </w:rPr>
        <w:t xml:space="preserve">e/kg</w:t>
      </w:r>
      <w:r>
        <w:t xml:space="preserve">. Replacing this with conventional heavy-duty diesel road transport (approx. 0.115 kg CO</w:t>
      </w:r>
      <w:r>
        <w:rPr>
          <w:vertAlign w:val="subscript"/>
        </w:rPr>
        <w:t xml:space="preserve">2</w:t>
      </w:r>
      <w:r>
        <w:t xml:space="preserve">e/tkm) would increase logistics emissions to 0.104 kg CO</w:t>
      </w:r>
      <w:r>
        <w:rPr>
          <w:vertAlign w:val="subscript"/>
        </w:rPr>
        <w:t xml:space="preserve">2</w:t>
      </w:r>
      <w:r>
        <w:t xml:space="preserve">e/kg—a 350% increase in transport impact.</w:t>
      </w:r>
    </w:p>
    <w:bookmarkEnd w:id="28"/>
    <w:bookmarkStart w:id="29" w:name="X5c220cc9947ccbbea1a2d5d3a40ed482aa6897b"/>
    <w:p>
      <w:pPr>
        <w:pStyle w:val="Heading3"/>
      </w:pPr>
      <w:r>
        <w:t xml:space="preserve">2026 Land Sector and Removals (LSR) Standard Evaluation</w:t>
      </w:r>
    </w:p>
    <w:p>
      <w:pPr>
        <w:pStyle w:val="FirstParagraph"/>
      </w:pPr>
      <w:r>
        <w:t xml:space="preserve">The 2026 GHG Protocol Land Sector and Removals (LSR) Standard establishes strict accounting rules for biogenic carbon exchanges, land use change (LUC), and technological carbon removals: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LSR Standard Component</w:t>
            </w:r>
          </w:p>
        </w:tc>
        <w:tc>
          <w:tcPr/>
          <w:p>
            <w:pPr>
              <w:pStyle w:val="Compact"/>
              <w:jc w:val="left"/>
            </w:pPr>
            <w:r>
              <w:t xml:space="preserve">Reported Quantity</w:t>
            </w:r>
          </w:p>
        </w:tc>
        <w:tc>
          <w:tcPr/>
          <w:p>
            <w:pPr>
              <w:pStyle w:val="Compact"/>
              <w:jc w:val="left"/>
            </w:pPr>
            <w:r>
              <w:t xml:space="preserve">Audit Details &amp; Methodological Declaration</w:t>
            </w:r>
          </w:p>
        </w:tc>
      </w:tr>
      <w:tr>
        <w:tc>
          <w:tcPr/>
          <w:p>
            <w:pPr>
              <w:pStyle w:val="Compact"/>
              <w:jc w:val="left"/>
            </w:pPr>
            <w:r>
              <w:rPr>
                <w:bCs/>
                <w:b/>
              </w:rPr>
              <w:t xml:space="preserve">Direct Land Use Change (dLUC)</w:t>
            </w:r>
          </w:p>
        </w:tc>
        <w:tc>
          <w:tcPr/>
          <w:p>
            <w:pPr>
              <w:pStyle w:val="Compact"/>
              <w:jc w:val="left"/>
            </w:pPr>
            <w:r>
              <w:t xml:space="preserve">0.000 kg CO</w:t>
            </w:r>
            <w:r>
              <w:rPr>
                <w:vertAlign w:val="subscript"/>
              </w:rPr>
              <w:t xml:space="preserve">2</w:t>
            </w:r>
            <w:r>
              <w:t xml:space="preserve">e / kg</w:t>
            </w:r>
          </w:p>
        </w:tc>
        <w:tc>
          <w:tcPr/>
          <w:p>
            <w:pPr>
              <w:pStyle w:val="Compact"/>
              <w:jc w:val="left"/>
            </w:pPr>
            <w:r>
              <w:t xml:space="preserve">Zero agricultural or forestry inputs are utilized; petrochemical feedstocks originate from established European industrial sites with zero post-2020 land conversion.</w:t>
            </w:r>
          </w:p>
        </w:tc>
      </w:tr>
      <w:tr>
        <w:tc>
          <w:tcPr/>
          <w:p>
            <w:pPr>
              <w:pStyle w:val="Compact"/>
              <w:jc w:val="left"/>
            </w:pPr>
            <w:r>
              <w:rPr>
                <w:bCs/>
                <w:b/>
              </w:rPr>
              <w:t xml:space="preserve">Statistical Land Use Change (sLUC)</w:t>
            </w:r>
          </w:p>
        </w:tc>
        <w:tc>
          <w:tcPr/>
          <w:p>
            <w:pPr>
              <w:pStyle w:val="Compact"/>
              <w:jc w:val="left"/>
            </w:pPr>
            <w:r>
              <w:t xml:space="preserve">0.000 kg CO</w:t>
            </w:r>
            <w:r>
              <w:rPr>
                <w:vertAlign w:val="subscript"/>
              </w:rPr>
              <w:t xml:space="preserve">2</w:t>
            </w:r>
            <w:r>
              <w:t xml:space="preserve">e / kg</w:t>
            </w:r>
          </w:p>
        </w:tc>
        <w:tc>
          <w:tcPr/>
          <w:p>
            <w:pPr>
              <w:pStyle w:val="Compact"/>
              <w:jc w:val="left"/>
            </w:pPr>
            <w:r>
              <w:t xml:space="preserve">No indirect land-use displacement occurred in the monitored upstream supply boundary.</w:t>
            </w:r>
          </w:p>
        </w:tc>
      </w:tr>
      <w:tr>
        <w:tc>
          <w:tcPr/>
          <w:p>
            <w:pPr>
              <w:pStyle w:val="Compact"/>
              <w:jc w:val="left"/>
            </w:pPr>
            <w:r>
              <w:rPr>
                <w:bCs/>
                <w:b/>
              </w:rPr>
              <w:t xml:space="preserve">Biogenic Carbon Content</w:t>
            </w:r>
          </w:p>
        </w:tc>
        <w:tc>
          <w:tcPr/>
          <w:p>
            <w:pPr>
              <w:pStyle w:val="Compact"/>
              <w:jc w:val="left"/>
            </w:pPr>
            <w:r>
              <w:t xml:space="preserve">0.000 kg C / kg MMA</w:t>
            </w:r>
          </w:p>
        </w:tc>
        <w:tc>
          <w:tcPr/>
          <w:p>
            <w:pPr>
              <w:pStyle w:val="Compact"/>
              <w:jc w:val="left"/>
            </w:pPr>
            <w:r>
              <w:t xml:space="preserve">100% of carbon molecules are of fossil origin. No bio-attributed methanol or bio-acetone was credited.</w:t>
            </w:r>
          </w:p>
        </w:tc>
      </w:tr>
      <w:tr>
        <w:tc>
          <w:tcPr/>
          <w:p>
            <w:pPr>
              <w:pStyle w:val="Compact"/>
              <w:jc w:val="left"/>
            </w:pPr>
            <w:r>
              <w:rPr>
                <w:bCs/>
                <w:b/>
              </w:rPr>
              <w:t xml:space="preserve">Direct Carbon Removals (CDR)</w:t>
            </w:r>
          </w:p>
        </w:tc>
        <w:tc>
          <w:tcPr/>
          <w:p>
            <w:pPr>
              <w:pStyle w:val="Compact"/>
              <w:jc w:val="left"/>
            </w:pPr>
            <w:r>
              <w:t xml:space="preserve">0.000 kg CO</w:t>
            </w:r>
            <w:r>
              <w:rPr>
                <w:vertAlign w:val="subscript"/>
              </w:rPr>
              <w:t xml:space="preserve">2</w:t>
            </w:r>
            <w:r>
              <w:t xml:space="preserve">e / kg</w:t>
            </w:r>
          </w:p>
        </w:tc>
        <w:tc>
          <w:tcPr/>
          <w:p>
            <w:pPr>
              <w:pStyle w:val="Compact"/>
              <w:jc w:val="left"/>
            </w:pPr>
            <w:r>
              <w:t xml:space="preserve">No unbundled carbon offsetting or non-permanent removal credits are incorporated into the product net total.</w:t>
            </w:r>
          </w:p>
        </w:tc>
      </w:tr>
    </w:tbl>
    <w:bookmarkEnd w:id="29"/>
    <w:bookmarkStart w:id="30" w:name="strategic-decarbonization-pathways"/>
    <w:p>
      <w:pPr>
        <w:pStyle w:val="Heading3"/>
      </w:pPr>
      <w:r>
        <w:t xml:space="preserve">Strategic Decarbonization Pathways</w:t>
      </w:r>
    </w:p>
    <w:p>
      <w:pPr>
        <w:numPr>
          <w:ilvl w:val="0"/>
          <w:numId w:val="1003"/>
        </w:numPr>
        <w:pStyle w:val="Compact"/>
      </w:pPr>
      <w:r>
        <w:rPr>
          <w:bCs/>
          <w:b/>
        </w:rPr>
        <w:t xml:space="preserve">Transition to Bio-Attributed or Circular Feedstocks:</w:t>
      </w:r>
      <w:r>
        <w:t xml:space="preserve"> </w:t>
      </w:r>
      <w:r>
        <w:t xml:space="preserve">Sourcing mass-balanced bio-acetone (from glycerol or fermentation) and bio-methanol can abate up to</w:t>
      </w:r>
      <w:r>
        <w:t xml:space="preserve"> </w:t>
      </w:r>
      <w:r>
        <w:rPr>
          <w:bCs/>
          <w:b/>
        </w:rPr>
        <w:t xml:space="preserve">1.45 kg CO</w:t>
      </w:r>
      <w:r>
        <w:rPr>
          <w:vertAlign w:val="subscript"/>
          <w:bCs/>
          <w:b/>
        </w:rPr>
        <w:t xml:space="preserve">2</w:t>
      </w:r>
      <w:r>
        <w:rPr>
          <w:bCs/>
          <w:b/>
        </w:rPr>
        <w:t xml:space="preserve">e/kg MMA</w:t>
      </w:r>
      <w:r>
        <w:t xml:space="preserve"> </w:t>
      </w:r>
      <w:r>
        <w:t xml:space="preserve">in Scope 3 Category 1 emissions, while introducing certified negative biogenic intake under LSR criteria.</w:t>
      </w:r>
    </w:p>
    <w:p>
      <w:pPr>
        <w:numPr>
          <w:ilvl w:val="0"/>
          <w:numId w:val="1003"/>
        </w:numPr>
        <w:pStyle w:val="Compact"/>
      </w:pPr>
      <w:r>
        <w:rPr>
          <w:bCs/>
          <w:b/>
        </w:rPr>
        <w:t xml:space="preserve">Chemical Recycling &amp; Closed-Loop Depolymerization:</w:t>
      </w:r>
      <w:r>
        <w:t xml:space="preserve"> </w:t>
      </w:r>
      <w:r>
        <w:t xml:space="preserve">PMMA exhibits high thermal depolymerization yields (up to 95% monomer recovery via pyrolysis). Expanding industrial take-back programs eliminates municipal waste incineration, cutting</w:t>
      </w:r>
      <w:r>
        <w:t xml:space="preserve"> </w:t>
      </w:r>
      <w:r>
        <w:rPr>
          <w:bCs/>
          <w:b/>
        </w:rPr>
        <w:t xml:space="preserve">1.866 kg CO</w:t>
      </w:r>
      <w:r>
        <w:rPr>
          <w:vertAlign w:val="subscript"/>
          <w:bCs/>
          <w:b/>
        </w:rPr>
        <w:t xml:space="preserve">2</w:t>
      </w:r>
      <w:r>
        <w:rPr>
          <w:bCs/>
          <w:b/>
        </w:rPr>
        <w:t xml:space="preserve">e/kg</w:t>
      </w:r>
      <w:r>
        <w:t xml:space="preserve"> </w:t>
      </w:r>
      <w:r>
        <w:t xml:space="preserve">from Scope 3 Category 12.</w:t>
      </w:r>
    </w:p>
    <w:p>
      <w:pPr>
        <w:numPr>
          <w:ilvl w:val="0"/>
          <w:numId w:val="1003"/>
        </w:numPr>
        <w:pStyle w:val="Compact"/>
      </w:pPr>
      <w:r>
        <w:rPr>
          <w:bCs/>
          <w:b/>
        </w:rPr>
        <w:t xml:space="preserve">Electrification of Reboilers &amp; Industrial Heat Pumps:</w:t>
      </w:r>
      <w:r>
        <w:t xml:space="preserve"> </w:t>
      </w:r>
      <w:r>
        <w:t xml:space="preserve">Replacing natural-gas fired reboilers with high-temperature industrial heat pumps and procuring 100% Power Purchase Agreements (PPAs) for the German facility would eliminate 0.330 kg CO</w:t>
      </w:r>
      <w:r>
        <w:rPr>
          <w:vertAlign w:val="subscript"/>
        </w:rPr>
        <w:t xml:space="preserve">2</w:t>
      </w:r>
      <w:r>
        <w:t xml:space="preserve">e/kg of Scope 1 fuel emissions and reduce Scope 2 to near zero.</w:t>
      </w:r>
    </w:p>
    <w:p>
      <w:pPr>
        <w:numPr>
          <w:ilvl w:val="0"/>
          <w:numId w:val="1003"/>
        </w:numPr>
        <w:pStyle w:val="Compact"/>
      </w:pPr>
      <w:r>
        <w:rPr>
          <w:bCs/>
          <w:b/>
        </w:rPr>
        <w:t xml:space="preserve">Maintaining Rail Logistics Dominance:</w:t>
      </w:r>
      <w:r>
        <w:t xml:space="preserve"> </w:t>
      </w:r>
      <w:r>
        <w:t xml:space="preserve">Preserving the 900 km rail supply chain and prioritizing electric locomotive traction powered by renewable railway grids (e.g., DB Eco+ in Germany) further suppresses distribution emissions below 0.008 kg CO</w:t>
      </w:r>
      <w:r>
        <w:rPr>
          <w:vertAlign w:val="subscript"/>
        </w:rPr>
        <w:t xml:space="preserve">2</w:t>
      </w:r>
      <w:r>
        <w:t xml:space="preserve">e/kg.</w:t>
      </w:r>
    </w:p>
    <w:p>
      <w:pPr>
        <w:pStyle w:val="FirstParagraph"/>
      </w:pPr>
      <w:r>
        <w:t xml:space="preserve">businessanalytiq.com | Sustainability Consulting Group</w:t>
      </w:r>
    </w:p>
    <w:p>
      <w:pPr>
        <w:pStyle w:val="BodyText"/>
      </w:pPr>
      <w:r>
        <w:t xml:space="preserve">Confidential — Internal &amp; Regulatory Disclosure Use Only</w:t>
      </w:r>
    </w:p>
    <w:p>
      <w:pPr>
        <w:pStyle w:val="BodyText"/>
      </w:pPr>
      <w:r>
        <w:t xml:space="preserve">Page 2 of 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Methyl Methacrylate (MMA) | GHG Protocol</dc:title>
  <dc:creator/>
  <dc:description>Comprehensive Product Carbon Footprint (PCF) report for Methyl Methacrylate (MMA) produced in Germany, assessed under the GHG Protocol Product Standard and 2026 LSR Standard.</dc:description>
  <dc:language>en</dc:language>
  <cp:keywords/>
  <dcterms:created xsi:type="dcterms:W3CDTF">2026-11-06T15:31:13Z</dcterms:created>
  <dcterms:modified xsi:type="dcterms:W3CDTF">2026-11-06T15:31:13Z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