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w:t>
      </w:r>
      <w:r>
        <w:t xml:space="preserve"> </w:t>
      </w:r>
      <w:r>
        <w:t xml:space="preserve">Industrial</w:t>
      </w:r>
      <w:r>
        <w:t xml:space="preserve"> </w:t>
      </w:r>
      <w:r>
        <w:t xml:space="preserve">IoT</w:t>
      </w:r>
      <w:r>
        <w:t xml:space="preserve"> </w:t>
      </w:r>
      <w:r>
        <w:t xml:space="preserve">Edge</w:t>
      </w:r>
      <w:r>
        <w:t xml:space="preserve"> </w:t>
      </w:r>
      <w:r>
        <w:t xml:space="preserve">Gateway</w:t>
      </w:r>
      <w:r>
        <w:t xml:space="preserve"> </w:t>
      </w:r>
      <w:r>
        <w:t xml:space="preserve">(1.0</w:t>
      </w:r>
      <w:r>
        <w:t xml:space="preserve"> </w:t>
      </w:r>
      <w:r>
        <w:t xml:space="preserve">Unit)</w:t>
      </w:r>
    </w:p>
    <w:p>
      <w:pPr>
        <w:pStyle w:val="FirstParagraph"/>
      </w:pPr>
      <w:r>
        <w:t xml:space="preserve">carboncalcpcf.com</w:t>
      </w:r>
    </w:p>
    <w:p>
      <w:pPr>
        <w:pStyle w:val="BodyText"/>
      </w:pPr>
      <w:r>
        <w:t xml:space="preserve">GHG Protocol Compliant • 2026 LSR Updated</w:t>
      </w:r>
    </w:p>
    <w:bookmarkStart w:id="20" w:name="product-carbon-footprint-pcf-report"/>
    <w:p>
      <w:pPr>
        <w:pStyle w:val="Heading1"/>
      </w:pPr>
      <w:r>
        <w:t xml:space="preserve">Product Carbon Footprint (PCF) Report</w:t>
      </w:r>
    </w:p>
    <w:p>
      <w:pPr>
        <w:pStyle w:val="FirstParagraph"/>
      </w:pPr>
      <w:r>
        <w:t xml:space="preserve">Precision Industrial IoT Edge Gateway (Model: NX-1000)</w:t>
      </w:r>
    </w:p>
    <w:p>
      <w:pPr>
        <w:pStyle w:val="BodyText"/>
      </w:pPr>
      <w:r>
        <w:t xml:space="preserve">Functional Unit: 1.0 Unit (Factory-Gate Scope)</w:t>
      </w:r>
    </w:p>
    <w:bookmarkEnd w:id="20"/>
    <w:p>
      <w:pPr>
        <w:pStyle w:val="BodyText"/>
      </w:pPr>
      <w:r>
        <w:rPr>
          <w:bCs/>
          <w:b/>
        </w:rPr>
        <w:t xml:space="preserve">Accounting Standard:</w:t>
      </w:r>
      <w:r>
        <w:t xml:space="preserve"> </w:t>
      </w:r>
      <w:r>
        <w:t xml:space="preserve">GHG Protocol (Product Life Cycle Accounting and Reporting Standard)</w:t>
      </w:r>
    </w:p>
    <w:p>
      <w:pPr>
        <w:pStyle w:val="BodyText"/>
      </w:pPr>
      <w:r>
        <w:rPr>
          <w:bCs/>
          <w:b/>
        </w:rPr>
        <w:t xml:space="preserve">Methodological Standards:</w:t>
      </w:r>
      <w:r>
        <w:t xml:space="preserve"> </w:t>
      </w:r>
      <w:r>
        <w:t xml:space="preserve">GHG Protocol Scope 3 Standard • 2026 Land Sector and Removals (LSR) Guidance</w:t>
      </w:r>
    </w:p>
    <w:p>
      <w:pPr>
        <w:pStyle w:val="BodyText"/>
      </w:pPr>
      <w:r>
        <w:rPr>
          <w:bCs/>
          <w:b/>
        </w:rPr>
        <w:t xml:space="preserve">Manufacturing Location:</w:t>
      </w:r>
      <w:r>
        <w:t xml:space="preserve"> </w:t>
      </w:r>
      <w:r>
        <w:t xml:space="preserve">Eindhoven, North Brabant, Netherlands (Europe Supply Chain Focus)</w:t>
      </w:r>
    </w:p>
    <w:p>
      <w:pPr>
        <w:pStyle w:val="BodyText"/>
      </w:pPr>
      <w:r>
        <w:rPr>
          <w:bCs/>
          <w:b/>
        </w:rPr>
        <w:t xml:space="preserve">Assessment Period:</w:t>
      </w:r>
      <w:r>
        <w:t xml:space="preserve"> </w:t>
      </w:r>
      <w:r>
        <w:t xml:space="preserve">Calendar Year 2025 / 2026 Baseline</w:t>
      </w:r>
    </w:p>
    <w:p>
      <w:pPr>
        <w:pStyle w:val="BodyText"/>
      </w:pPr>
      <w:r>
        <w:rPr>
          <w:bCs/>
          <w:b/>
        </w:rPr>
        <w:t xml:space="preserve">Lead Assessor:</w:t>
      </w:r>
      <w:r>
        <w:t xml:space="preserve"> </w:t>
      </w:r>
      <w:r>
        <w:t xml:space="preserve">Senior Sustainability Consultant • GHG Protocol Lead Auditor</w:t>
      </w:r>
    </w:p>
    <w:p>
      <w:pPr>
        <w:pStyle w:val="BodyText"/>
      </w:pPr>
      <w:r>
        <w:rPr>
          <w:bCs/>
          <w:b/>
        </w:rPr>
        <w:t xml:space="preserve">Report Reference:</w:t>
      </w:r>
      <w:r>
        <w:t xml:space="preserve"> </w:t>
      </w:r>
      <w:r>
        <w:t xml:space="preserve">PCF-NL-2026-NX1000-V1</w:t>
      </w:r>
    </w:p>
    <w:p>
      <w:pPr>
        <w:pStyle w:val="BodyText"/>
      </w:pPr>
      <w:r>
        <w:rPr>
          <w:bCs/>
          <w:b/>
        </w:rPr>
        <w:t xml:space="preserve">Disclaimer:</w:t>
      </w:r>
      <w:r>
        <w:t xml:space="preserve"> </w:t>
      </w:r>
      <w:r>
        <w:t xml:space="preserve">This Product Carbon Footprint (PCF) report is generated based on verified primary operational data provided by the manufacturing facility, coupled with recognized international life cycle inventory (LCI) databases (Ecoinvent v3.10 and national European energy grid emission statistics). All calculations, allocations, and cutoff thresholds strictly adhere to the GHG Protocol Product Life Cycle Accounting and Reporting Standard and the 2026 Land Sector and Removals (LSR) guidance. Results are verified to a 95% minimum Scope 3 data completeness standard.</w:t>
      </w:r>
    </w:p>
    <w:p>
      <w:pPr>
        <w:pStyle w:val="BodyText"/>
      </w:pPr>
      <w:r>
        <w:rPr>
          <w:bCs/>
          <w:b/>
        </w:rPr>
        <w:t xml:space="preserve">carboncalcpcf.com</w:t>
      </w:r>
      <w:r>
        <w:t xml:space="preserve"> </w:t>
      </w:r>
      <w:r>
        <w:t xml:space="preserve">| PCF Report: Industrial IoT Edge Gateway</w:t>
      </w:r>
      <w:r>
        <w:t xml:space="preserve"> </w:t>
      </w:r>
      <w:r>
        <w:t xml:space="preserve">Generated Date: March 2026</w:t>
      </w:r>
    </w:p>
    <w:bookmarkStart w:id="21" w:name="executive-summary"/>
    <w:p>
      <w:pPr>
        <w:pStyle w:val="Heading2"/>
      </w:pPr>
      <w:r>
        <w:t xml:space="preserve">Executive Summary</w:t>
      </w:r>
    </w:p>
    <w:p>
      <w:pPr>
        <w:pStyle w:val="FirstParagraph"/>
      </w:pPr>
      <w:r>
        <w:t xml:space="preserve">This report delivers a rigorous, cradle-to-factory-gate Product Carbon Footprint (PCF) quantification for</w:t>
      </w:r>
      <w:r>
        <w:t xml:space="preserve"> </w:t>
      </w:r>
      <w:r>
        <w:rPr>
          <w:bCs/>
          <w:b/>
        </w:rPr>
        <w:t xml:space="preserve">1.0 unit</w:t>
      </w:r>
      <w:r>
        <w:t xml:space="preserve"> </w:t>
      </w:r>
      <w:r>
        <w:t xml:space="preserve">of the</w:t>
      </w:r>
      <w:r>
        <w:t xml:space="preserve"> </w:t>
      </w:r>
      <w:r>
        <w:rPr>
          <w:bCs/>
          <w:b/>
        </w:rPr>
        <w:t xml:space="preserve">Industrial IoT Edge Gateway (Model NX-1000)</w:t>
      </w:r>
      <w:r>
        <w:t xml:space="preserve">, assembled in Eindhoven, the Netherlands. The assessment adheres strictly to the</w:t>
      </w:r>
      <w:r>
        <w:t xml:space="preserve"> </w:t>
      </w:r>
      <w:r>
        <w:rPr>
          <w:bCs/>
          <w:b/>
        </w:rPr>
        <w:t xml:space="preserve">GHG Protocol Product Life Cycle Accounting and Reporting Standard</w:t>
      </w:r>
      <w:r>
        <w:t xml:space="preserve">, complemented by the</w:t>
      </w:r>
      <w:r>
        <w:t xml:space="preserve"> </w:t>
      </w:r>
      <w:r>
        <w:rPr>
          <w:bCs/>
          <w:b/>
        </w:rPr>
        <w:t xml:space="preserve">Corporate Value Chain (Scope 3) Standard</w:t>
      </w:r>
      <w:r>
        <w:t xml:space="preserve"> </w:t>
      </w:r>
      <w:r>
        <w:t xml:space="preserve">and the mandatory</w:t>
      </w:r>
      <w:r>
        <w:t xml:space="preserve"> </w:t>
      </w:r>
      <w:r>
        <w:rPr>
          <w:bCs/>
          <w:b/>
        </w:rPr>
        <w:t xml:space="preserve">2026 Land Sector and Removals (LSR) Standard</w:t>
      </w:r>
      <w:r>
        <w:t xml:space="preserve"> </w:t>
      </w:r>
      <w:r>
        <w:t xml:space="preserve">for biogenic carbon flux and packaging accounting.</w:t>
      </w:r>
    </w:p>
    <w:p>
      <w:pPr>
        <w:pStyle w:val="BodyText"/>
      </w:pPr>
      <w:r>
        <w:t xml:space="preserve">Total Cradle-to-Gate</w:t>
      </w:r>
    </w:p>
    <w:p>
      <w:pPr>
        <w:pStyle w:val="BodyText"/>
      </w:pPr>
      <w:r>
        <w:t xml:space="preserve">24.87 kg</w:t>
      </w:r>
    </w:p>
    <w:p>
      <w:pPr>
        <w:pStyle w:val="BodyText"/>
      </w:pPr>
      <w:r>
        <w:t xml:space="preserve">CO</w:t>
      </w:r>
      <w:r>
        <w:rPr>
          <w:vertAlign w:val="subscript"/>
        </w:rPr>
        <w:t xml:space="preserve">2</w:t>
      </w:r>
      <w:r>
        <w:t xml:space="preserve">e per functional unit</w:t>
      </w:r>
    </w:p>
    <w:p>
      <w:pPr>
        <w:pStyle w:val="BodyText"/>
      </w:pPr>
      <w:r>
        <w:t xml:space="preserve">Scope 1 (Direct)</w:t>
      </w:r>
    </w:p>
    <w:p>
      <w:pPr>
        <w:pStyle w:val="BodyText"/>
      </w:pPr>
      <w:r>
        <w:t xml:space="preserve">0.31 kg</w:t>
      </w:r>
    </w:p>
    <w:p>
      <w:pPr>
        <w:pStyle w:val="BodyText"/>
      </w:pPr>
      <w:r>
        <w:t xml:space="preserve">1.25% of gross total</w:t>
      </w:r>
    </w:p>
    <w:p>
      <w:pPr>
        <w:pStyle w:val="BodyText"/>
      </w:pPr>
      <w:r>
        <w:t xml:space="preserve">Scope 2 (Market-Based)</w:t>
      </w:r>
    </w:p>
    <w:p>
      <w:pPr>
        <w:pStyle w:val="BodyText"/>
      </w:pPr>
      <w:r>
        <w:t xml:space="preserve">0.42 kg</w:t>
      </w:r>
    </w:p>
    <w:p>
      <w:pPr>
        <w:pStyle w:val="BodyText"/>
      </w:pPr>
      <w:r>
        <w:t xml:space="preserve">1.69% (Loc: 1.18 kg)</w:t>
      </w:r>
    </w:p>
    <w:p>
      <w:pPr>
        <w:pStyle w:val="BodyText"/>
      </w:pPr>
      <w:r>
        <w:t xml:space="preserve">Scope 3 (Upstream)</w:t>
      </w:r>
    </w:p>
    <w:p>
      <w:pPr>
        <w:pStyle w:val="BodyText"/>
      </w:pPr>
      <w:r>
        <w:t xml:space="preserve">24.14 kg</w:t>
      </w:r>
    </w:p>
    <w:p>
      <w:pPr>
        <w:pStyle w:val="BodyText"/>
      </w:pPr>
      <w:r>
        <w:t xml:space="preserve">97.06% (&gt;95% verified)</w:t>
      </w:r>
    </w:p>
    <w:p>
      <w:pPr>
        <w:pStyle w:val="BodyText"/>
      </w:pPr>
      <w:r>
        <w:rPr>
          <w:bCs/>
          <w:b/>
        </w:rPr>
        <w:t xml:space="preserve">Core Assessment Highlights:</w:t>
      </w:r>
    </w:p>
    <w:p>
      <w:pPr>
        <w:numPr>
          <w:ilvl w:val="0"/>
          <w:numId w:val="1001"/>
        </w:numPr>
        <w:pStyle w:val="Compact"/>
      </w:pPr>
      <w:r>
        <w:rPr>
          <w:bCs/>
          <w:b/>
        </w:rPr>
        <w:t xml:space="preserve">Emissions Hotspot:</w:t>
      </w:r>
      <w:r>
        <w:t xml:space="preserve"> </w:t>
      </w:r>
      <w:r>
        <w:t xml:space="preserve">Integrated circuit fabrication and active semiconductor packaging within the main Printed Circuit Board Assembly (PCBA) account for</w:t>
      </w:r>
      <w:r>
        <w:t xml:space="preserve"> </w:t>
      </w:r>
      <w:r>
        <w:rPr>
          <w:bCs/>
          <w:b/>
        </w:rPr>
        <w:t xml:space="preserve">59.4% (14.78 kg CO</w:t>
      </w:r>
      <w:r>
        <w:rPr>
          <w:vertAlign w:val="subscript"/>
          <w:bCs/>
          <w:b/>
        </w:rPr>
        <w:t xml:space="preserve">2</w:t>
      </w:r>
      <w:r>
        <w:rPr>
          <w:bCs/>
          <w:b/>
        </w:rPr>
        <w:t xml:space="preserve">e)</w:t>
      </w:r>
      <w:r>
        <w:t xml:space="preserve"> </w:t>
      </w:r>
      <w:r>
        <w:t xml:space="preserve">of total cradle-to-gate impact.</w:t>
      </w:r>
    </w:p>
    <w:p>
      <w:pPr>
        <w:numPr>
          <w:ilvl w:val="0"/>
          <w:numId w:val="1001"/>
        </w:numPr>
        <w:pStyle w:val="Compact"/>
      </w:pPr>
      <w:r>
        <w:rPr>
          <w:bCs/>
          <w:b/>
        </w:rPr>
        <w:t xml:space="preserve">Enclosure &amp; Structural Metals:</w:t>
      </w:r>
      <w:r>
        <w:t xml:space="preserve"> </w:t>
      </w:r>
      <w:r>
        <w:t xml:space="preserve">Precision die-cast aluminum enclosure represents the second largest hotspot at</w:t>
      </w:r>
      <w:r>
        <w:t xml:space="preserve"> </w:t>
      </w:r>
      <w:r>
        <w:rPr>
          <w:bCs/>
          <w:b/>
        </w:rPr>
        <w:t xml:space="preserve">20.5% (5.10 kg CO</w:t>
      </w:r>
      <w:r>
        <w:rPr>
          <w:vertAlign w:val="subscript"/>
          <w:bCs/>
          <w:b/>
        </w:rPr>
        <w:t xml:space="preserve">2</w:t>
      </w:r>
      <w:r>
        <w:rPr>
          <w:bCs/>
          <w:b/>
        </w:rPr>
        <w:t xml:space="preserve">e)</w:t>
      </w:r>
      <w:r>
        <w:t xml:space="preserve">, mitigated in part by European secondary aluminum alloy usage.</w:t>
      </w:r>
    </w:p>
    <w:p>
      <w:pPr>
        <w:numPr>
          <w:ilvl w:val="0"/>
          <w:numId w:val="1001"/>
        </w:numPr>
        <w:pStyle w:val="Compact"/>
      </w:pPr>
      <w:r>
        <w:rPr>
          <w:bCs/>
          <w:b/>
        </w:rPr>
        <w:t xml:space="preserve">2026 LSR Accounting:</w:t>
      </w:r>
      <w:r>
        <w:t xml:space="preserve"> </w:t>
      </w:r>
      <w:r>
        <w:t xml:space="preserve">Net biogenic carbon removals associated with sustainable corrugated kraft board packaging contribute</w:t>
      </w:r>
      <w:r>
        <w:t xml:space="preserve"> </w:t>
      </w:r>
      <w:r>
        <w:rPr>
          <w:bCs/>
          <w:b/>
        </w:rPr>
        <w:t xml:space="preserve">-0.22 kg CO</w:t>
      </w:r>
      <w:r>
        <w:rPr>
          <w:vertAlign w:val="subscript"/>
          <w:bCs/>
          <w:b/>
        </w:rPr>
        <w:t xml:space="preserve">2</w:t>
      </w:r>
      <w:r>
        <w:rPr>
          <w:bCs/>
          <w:b/>
        </w:rPr>
        <w:t xml:space="preserve">e</w:t>
      </w:r>
      <w:r>
        <w:t xml:space="preserve"> </w:t>
      </w:r>
      <w:r>
        <w:t xml:space="preserve">stored biogenic carbon, tracked separately from fossil GHG metrics in full compliance with the 2026 LSR Standard.</w:t>
      </w:r>
    </w:p>
    <w:p>
      <w:pPr>
        <w:numPr>
          <w:ilvl w:val="0"/>
          <w:numId w:val="1001"/>
        </w:numPr>
        <w:pStyle w:val="Compact"/>
      </w:pPr>
      <w:r>
        <w:rPr>
          <w:bCs/>
          <w:b/>
        </w:rPr>
        <w:t xml:space="preserve">Scope 3 Inventory Coverage:</w:t>
      </w:r>
      <w:r>
        <w:t xml:space="preserve"> </w:t>
      </w:r>
      <w:r>
        <w:t xml:space="preserve">Assessed upstream supply chain boundaries achieve</w:t>
      </w:r>
      <w:r>
        <w:t xml:space="preserve"> </w:t>
      </w:r>
      <w:r>
        <w:rPr>
          <w:bCs/>
          <w:b/>
        </w:rPr>
        <w:t xml:space="preserve">97.8% mass and economic coverage</w:t>
      </w:r>
      <w:r>
        <w:t xml:space="preserve">, comfortably surpassing the mandatory 95% GHG Protocol cutoff threshold.</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objective of this study is to quantify the greenhouse gas emissions associated with the cradle-to-factory-gate lifecycle stages of the Industrial IoT Edge Gateway NX-1000, establishing a baseline for EU Ecodesign compliance, corporate Scope 3 supply chain reduction, and client carbon disclosure.</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Parameter</w:t>
            </w:r>
          </w:p>
        </w:tc>
        <w:tc>
          <w:tcPr/>
          <w:p>
            <w:pPr>
              <w:pStyle w:val="Compact"/>
              <w:jc w:val="left"/>
            </w:pPr>
            <w:r>
              <w:t xml:space="preserve">Parameter Specification</w:t>
            </w:r>
          </w:p>
        </w:tc>
        <w:tc>
          <w:tcPr/>
          <w:p>
            <w:pPr>
              <w:pStyle w:val="Compact"/>
              <w:jc w:val="left"/>
            </w:pPr>
            <w:r>
              <w:t xml:space="preserve">Methodological Rationale / Standard Rule</w:t>
            </w:r>
          </w:p>
        </w:tc>
      </w:tr>
      <w:tr>
        <w:tc>
          <w:tcPr/>
          <w:p>
            <w:pPr>
              <w:pStyle w:val="Compact"/>
              <w:jc w:val="left"/>
            </w:pPr>
            <w:r>
              <w:rPr>
                <w:bCs/>
                <w:b/>
              </w:rPr>
              <w:t xml:space="preserve">Functional Unit</w:t>
            </w:r>
          </w:p>
        </w:tc>
        <w:tc>
          <w:tcPr/>
          <w:p>
            <w:pPr>
              <w:pStyle w:val="Compact"/>
              <w:jc w:val="left"/>
            </w:pPr>
            <w:r>
              <w:t xml:space="preserve">1.0 unit of complete, packaged Industrial IoT Edge Gateway (net mass: 1.42 kg; gross packaged mass: 1.84 kg)</w:t>
            </w:r>
          </w:p>
        </w:tc>
        <w:tc>
          <w:tcPr/>
          <w:p>
            <w:pPr>
              <w:pStyle w:val="Compact"/>
              <w:jc w:val="left"/>
            </w:pPr>
            <w:r>
              <w:t xml:space="preserve">Meets standard commercial transaction unit and technical operational unit of analysis.</w:t>
            </w:r>
          </w:p>
        </w:tc>
      </w:tr>
      <w:tr>
        <w:tc>
          <w:tcPr/>
          <w:p>
            <w:pPr>
              <w:pStyle w:val="Compact"/>
              <w:jc w:val="left"/>
            </w:pPr>
            <w:r>
              <w:rPr>
                <w:bCs/>
                <w:b/>
              </w:rPr>
              <w:t xml:space="preserve">System Boundary</w:t>
            </w:r>
          </w:p>
        </w:tc>
        <w:tc>
          <w:tcPr/>
          <w:p>
            <w:pPr>
              <w:pStyle w:val="Compact"/>
              <w:jc w:val="left"/>
            </w:pPr>
            <w:r>
              <w:t xml:space="preserve">Factory-Gate (Cradle-to-Factory-Gate)</w:t>
            </w:r>
          </w:p>
        </w:tc>
        <w:tc>
          <w:tcPr/>
          <w:p>
            <w:pPr>
              <w:pStyle w:val="Compact"/>
              <w:jc w:val="left"/>
            </w:pPr>
            <w:r>
              <w:t xml:space="preserve">Includes raw material extraction, primary refining, sub-assembly production, inbound European transport, and final facility assembly in the Netherlands. Downstream use and end-of-life are excluded.</w:t>
            </w:r>
          </w:p>
        </w:tc>
      </w:tr>
      <w:tr>
        <w:tc>
          <w:tcPr/>
          <w:p>
            <w:pPr>
              <w:pStyle w:val="Compact"/>
              <w:jc w:val="left"/>
            </w:pPr>
            <w:r>
              <w:rPr>
                <w:bCs/>
                <w:b/>
              </w:rPr>
              <w:t xml:space="preserve">Geographic Scope</w:t>
            </w:r>
          </w:p>
        </w:tc>
        <w:tc>
          <w:tcPr/>
          <w:p>
            <w:pPr>
              <w:pStyle w:val="Compact"/>
              <w:jc w:val="left"/>
            </w:pPr>
            <w:r>
              <w:t xml:space="preserve">Assembly: Netherlands (Eindhoven)</w:t>
            </w:r>
            <w:r>
              <w:br/>
            </w:r>
            <w:r>
              <w:t xml:space="preserve">Supply Chain: Western &amp; Central Europe</w:t>
            </w:r>
          </w:p>
        </w:tc>
        <w:tc>
          <w:tcPr/>
          <w:p>
            <w:pPr>
              <w:pStyle w:val="Compact"/>
              <w:jc w:val="left"/>
            </w:pPr>
            <w:r>
              <w:t xml:space="preserve">Specific national grid emission factors (Netherlands RVO/CBS) applied for Tier 1 facility; EU-27 spatial datasets applied for Tier 2/3 materials.</w:t>
            </w:r>
          </w:p>
        </w:tc>
      </w:tr>
      <w:tr>
        <w:tc>
          <w:tcPr/>
          <w:p>
            <w:pPr>
              <w:pStyle w:val="Compact"/>
              <w:jc w:val="left"/>
            </w:pPr>
            <w:r>
              <w:rPr>
                <w:bCs/>
                <w:b/>
              </w:rPr>
              <w:t xml:space="preserve">Accounting Standard</w:t>
            </w:r>
          </w:p>
        </w:tc>
        <w:tc>
          <w:tcPr/>
          <w:p>
            <w:pPr>
              <w:pStyle w:val="Compact"/>
              <w:jc w:val="left"/>
            </w:pPr>
            <w:r>
              <w:t xml:space="preserve">GHG Protocol Product Standard • 2026 LSR Standard</w:t>
            </w:r>
          </w:p>
        </w:tc>
        <w:tc>
          <w:tcPr/>
          <w:p>
            <w:pPr>
              <w:pStyle w:val="Compact"/>
              <w:jc w:val="left"/>
            </w:pPr>
            <w:r>
              <w:t xml:space="preserve">Categorization across Scopes 1, 2, and 3; biogenic removals tracked in separate ledger from fossil fuel GHG flux.</w:t>
            </w:r>
          </w:p>
        </w:tc>
      </w:tr>
      <w:tr>
        <w:tc>
          <w:tcPr/>
          <w:p>
            <w:pPr>
              <w:pStyle w:val="Compact"/>
              <w:jc w:val="left"/>
            </w:pPr>
            <w:r>
              <w:rPr>
                <w:bCs/>
                <w:b/>
              </w:rPr>
              <w:t xml:space="preserve">Allocation Procedure</w:t>
            </w:r>
          </w:p>
        </w:tc>
        <w:tc>
          <w:tcPr/>
          <w:p>
            <w:pPr>
              <w:pStyle w:val="Compact"/>
              <w:jc w:val="left"/>
            </w:pPr>
            <w:r>
              <w:t xml:space="preserve">Physical allocation (mass &amp; production time)</w:t>
            </w:r>
          </w:p>
        </w:tc>
        <w:tc>
          <w:tcPr/>
          <w:p>
            <w:pPr>
              <w:pStyle w:val="Compact"/>
              <w:jc w:val="left"/>
            </w:pPr>
            <w:r>
              <w:t xml:space="preserve">Facility utility consumption allocated based on unit cycle time (28 min/unit) and calibrated sub-metering. No co-product economic allocation required.</w:t>
            </w:r>
          </w:p>
        </w:tc>
      </w:tr>
      <w:tr>
        <w:tc>
          <w:tcPr/>
          <w:p>
            <w:pPr>
              <w:pStyle w:val="Compact"/>
              <w:jc w:val="left"/>
            </w:pPr>
            <w:r>
              <w:rPr>
                <w:bCs/>
                <w:b/>
              </w:rPr>
              <w:t xml:space="preserve">Scope 3 Cut-off Criteria</w:t>
            </w:r>
          </w:p>
        </w:tc>
        <w:tc>
          <w:tcPr/>
          <w:p>
            <w:pPr>
              <w:pStyle w:val="Compact"/>
              <w:jc w:val="left"/>
            </w:pPr>
            <w:r>
              <w:t xml:space="preserve">&gt;95% Coverage threshold (achieved 97.8%)</w:t>
            </w:r>
          </w:p>
        </w:tc>
        <w:tc>
          <w:tcPr/>
          <w:p>
            <w:pPr>
              <w:pStyle w:val="Compact"/>
              <w:jc w:val="left"/>
            </w:pPr>
            <w:r>
              <w:t xml:space="preserve">Strict compliance with 2026 GHG Protocol guidance ensuring all inputs contributing &gt;1% mass or impact are modeled with primary or secondary LCI data.</w:t>
            </w:r>
          </w:p>
        </w:tc>
      </w:tr>
    </w:tbl>
    <w:p>
      <w:r>
        <w:pict>
          <v:rect style="width:0;height:1.5pt" o:hralign="center" o:hrstd="t" o:hr="t"/>
        </w:pict>
      </w:r>
    </w:p>
    <w:bookmarkEnd w:id="22"/>
    <w:bookmarkStart w:id="26" w:name="map-lifecycle-lci-inventory-stages"/>
    <w:p>
      <w:pPr>
        <w:pStyle w:val="Heading2"/>
      </w:pPr>
      <w:r>
        <w:t xml:space="preserve">2. Map Lifecycle (LCI Inventory Stages)</w:t>
      </w:r>
    </w:p>
    <w:p>
      <w:pPr>
        <w:pStyle w:val="FirstParagraph"/>
      </w:pPr>
      <w:r>
        <w:t xml:space="preserve">The cradle-to-gate inventory is divided into three distinct operational and upstream tiers:</w:t>
      </w:r>
    </w:p>
    <w:bookmarkStart w:id="23" w:name="Xd882f3a59b1596a7dbf24ea266566230864fb4b"/>
    <w:p>
      <w:pPr>
        <w:pStyle w:val="Heading3"/>
      </w:pPr>
      <w:r>
        <w:t xml:space="preserve">Stage A1: Raw Material Extraction &amp; Processing (Upstream Scope 3, Category 1)</w:t>
      </w:r>
    </w:p>
    <w:p>
      <w:pPr>
        <w:numPr>
          <w:ilvl w:val="0"/>
          <w:numId w:val="1002"/>
        </w:numPr>
        <w:pStyle w:val="Compact"/>
      </w:pPr>
      <w:r>
        <w:rPr>
          <w:bCs/>
          <w:b/>
        </w:rPr>
        <w:t xml:space="preserve">Structural Chassis:</w:t>
      </w:r>
      <w:r>
        <w:t xml:space="preserve"> </w:t>
      </w:r>
      <w:r>
        <w:t xml:space="preserve">Die-cast aluminum alloy (EN AC-44300, 42% recycled content) with chromate-free passivated surface finish.</w:t>
      </w:r>
    </w:p>
    <w:p>
      <w:pPr>
        <w:numPr>
          <w:ilvl w:val="0"/>
          <w:numId w:val="1002"/>
        </w:numPr>
        <w:pStyle w:val="Compact"/>
      </w:pPr>
      <w:r>
        <w:rPr>
          <w:bCs/>
          <w:b/>
        </w:rPr>
        <w:t xml:space="preserve">Electronics &amp; Substrates:</w:t>
      </w:r>
      <w:r>
        <w:t xml:space="preserve"> </w:t>
      </w:r>
      <w:r>
        <w:t xml:space="preserve">8-layer multi-layer PCB (FR4 glass-reinforced epoxy substrate, copper foil cladding), populated with industrial multi-core microprocessor (12nm FinFET architecture), 8GB LPDDR4 DRAM, 64GB eMMC storage, passive SMDs, and wireless transceiver module.</w:t>
      </w:r>
    </w:p>
    <w:p>
      <w:pPr>
        <w:numPr>
          <w:ilvl w:val="0"/>
          <w:numId w:val="1002"/>
        </w:numPr>
        <w:pStyle w:val="Compact"/>
      </w:pPr>
      <w:r>
        <w:rPr>
          <w:bCs/>
          <w:b/>
        </w:rPr>
        <w:t xml:space="preserve">Polymers &amp; Connectors:</w:t>
      </w:r>
      <w:r>
        <w:t xml:space="preserve"> </w:t>
      </w:r>
      <w:r>
        <w:t xml:space="preserve">Enclosure front/rear fascia injection-molded from Polycarbonate/Acrylonitrile Butadiene Styrene (PC/ABS, 30% post-consumer recycled resin, halogen-free UL94 V-0 flame-retardant); copper alloy terminal blocks and gold-plated SMA connectors.</w:t>
      </w:r>
    </w:p>
    <w:p>
      <w:pPr>
        <w:numPr>
          <w:ilvl w:val="0"/>
          <w:numId w:val="1002"/>
        </w:numPr>
        <w:pStyle w:val="Compact"/>
      </w:pPr>
      <w:r>
        <w:rPr>
          <w:bCs/>
          <w:b/>
        </w:rPr>
        <w:t xml:space="preserve">Protective Packaging:</w:t>
      </w:r>
      <w:r>
        <w:t xml:space="preserve"> </w:t>
      </w:r>
      <w:r>
        <w:t xml:space="preserve">FSC-certified unbleached corrugated kraft board box (double-wall B-flute) with 100% recycled thermoformed pulp interior buffers.</w:t>
      </w:r>
    </w:p>
    <w:bookmarkEnd w:id="23"/>
    <w:bookmarkStart w:id="24" w:name="Xda83539901cbd4e215bf33779e4e51902000efe"/>
    <w:p>
      <w:pPr>
        <w:pStyle w:val="Heading3"/>
      </w:pPr>
      <w:r>
        <w:t xml:space="preserve">Stage A2: Inbound Supply Chain Logistics (Upstream Scope 3, Category 4)</w:t>
      </w:r>
    </w:p>
    <w:p>
      <w:pPr>
        <w:numPr>
          <w:ilvl w:val="0"/>
          <w:numId w:val="1003"/>
        </w:numPr>
        <w:pStyle w:val="Compact"/>
      </w:pPr>
      <w:r>
        <w:t xml:space="preserve">Road transport of structural chassis from machining supplier in North Rhine-Westphalia, Germany to Eindhoven facility (220 km, Euro 6 diesel articulated truck, 16–32 metric ton).</w:t>
      </w:r>
    </w:p>
    <w:p>
      <w:pPr>
        <w:numPr>
          <w:ilvl w:val="0"/>
          <w:numId w:val="1003"/>
        </w:numPr>
        <w:pStyle w:val="Compact"/>
      </w:pPr>
      <w:r>
        <w:t xml:space="preserve">Dedicated logistics for surface-mount devices (SMD) and PCBA from cleanroom manufacturing partners in Saxony, Germany and France to Eindhoven via express consolidated road freight.</w:t>
      </w:r>
    </w:p>
    <w:p>
      <w:pPr>
        <w:numPr>
          <w:ilvl w:val="0"/>
          <w:numId w:val="1003"/>
        </w:numPr>
        <w:pStyle w:val="Compact"/>
      </w:pPr>
      <w:r>
        <w:t xml:space="preserve">Corrugated packaging procured locally from Tilburg, Netherlands (38 km, rigid box truck).</w:t>
      </w:r>
    </w:p>
    <w:bookmarkEnd w:id="24"/>
    <w:bookmarkStart w:id="25" w:name="Xa9055353b132a6ace6dafa2b914e17bc2bebbe4"/>
    <w:p>
      <w:pPr>
        <w:pStyle w:val="Heading3"/>
      </w:pPr>
      <w:r>
        <w:t xml:space="preserve">Stage A3: Manufacturing &amp; Assembly at Netherlands Facility (Scope 1 &amp; Scope 2)</w:t>
      </w:r>
    </w:p>
    <w:p>
      <w:pPr>
        <w:numPr>
          <w:ilvl w:val="0"/>
          <w:numId w:val="1004"/>
        </w:numPr>
        <w:pStyle w:val="Compact"/>
      </w:pPr>
      <w:r>
        <w:rPr>
          <w:bCs/>
          <w:b/>
        </w:rPr>
        <w:t xml:space="preserve">Surface Mount Technology (SMT) &amp; Reflow Soldering:</w:t>
      </w:r>
      <w:r>
        <w:t xml:space="preserve"> </w:t>
      </w:r>
      <w:r>
        <w:t xml:space="preserve">Nitrogen-purged convection reflow ovens, automated optical inspection (AOI), and robotic selective soldering.</w:t>
      </w:r>
    </w:p>
    <w:p>
      <w:pPr>
        <w:numPr>
          <w:ilvl w:val="0"/>
          <w:numId w:val="1004"/>
        </w:numPr>
        <w:pStyle w:val="Compact"/>
      </w:pPr>
      <w:r>
        <w:rPr>
          <w:bCs/>
          <w:b/>
        </w:rPr>
        <w:t xml:space="preserve">Final Assembly &amp; Enclosure Integration:</w:t>
      </w:r>
      <w:r>
        <w:t xml:space="preserve"> </w:t>
      </w:r>
      <w:r>
        <w:t xml:space="preserve">Semi-automated robotic fastening, thermal paste dispensing, and environmental gasket insertion.</w:t>
      </w:r>
    </w:p>
    <w:p>
      <w:pPr>
        <w:numPr>
          <w:ilvl w:val="0"/>
          <w:numId w:val="1004"/>
        </w:numPr>
        <w:pStyle w:val="Compact"/>
      </w:pPr>
      <w:r>
        <w:rPr>
          <w:bCs/>
          <w:b/>
        </w:rPr>
        <w:t xml:space="preserve">In-Circuit Testing (ICT) &amp; Burn-in Quality Testing:</w:t>
      </w:r>
      <w:r>
        <w:t xml:space="preserve"> </w:t>
      </w:r>
      <w:r>
        <w:t xml:space="preserve">4-hour dynamic load functional testing at 50°C ambient chamber condition.</w:t>
      </w:r>
    </w:p>
    <w:p>
      <w:pPr>
        <w:numPr>
          <w:ilvl w:val="0"/>
          <w:numId w:val="1004"/>
        </w:numPr>
        <w:pStyle w:val="Compact"/>
      </w:pPr>
      <w:r>
        <w:rPr>
          <w:bCs/>
          <w:b/>
        </w:rPr>
        <w:t xml:space="preserve">Facility Operations:</w:t>
      </w:r>
      <w:r>
        <w:t xml:space="preserve"> </w:t>
      </w:r>
      <w:r>
        <w:t xml:space="preserve">Eindhoven manufacturing center running high-efficiency heat pump space heating supplemented by natural gas peak heating, illuminated by daylight-harvesting smart LED arrays.</w:t>
      </w:r>
    </w:p>
    <w:p>
      <w:r>
        <w:pict>
          <v:rect style="width:0;height:1.5pt" o:hralign="center" o:hrstd="t" o:hr="t"/>
        </w:pict>
      </w:r>
    </w:p>
    <w:bookmarkEnd w:id="25"/>
    <w:bookmarkEnd w:id="26"/>
    <w:bookmarkStart w:id="27" w:name="data-collection-quality-assessment"/>
    <w:p>
      <w:pPr>
        <w:pStyle w:val="Heading2"/>
      </w:pPr>
      <w:r>
        <w:t xml:space="preserve">3. Data Collection &amp; Quality Assessment</w:t>
      </w:r>
    </w:p>
    <w:p>
      <w:pPr>
        <w:pStyle w:val="FirstParagraph"/>
      </w:pPr>
      <w:r>
        <w:t xml:space="preserve">Data collection prioritized primary activity data for all direct manufacturing operations (Tier 1) and Tier 2 tier-contract partners. Secondary data points were sourced from established environmental databases adhering to the</w:t>
      </w:r>
      <w:r>
        <w:t xml:space="preserve"> </w:t>
      </w:r>
      <w:r>
        <w:rPr>
          <w:bCs/>
          <w:b/>
        </w:rPr>
        <w:t xml:space="preserve">Data Quality Rating (DQR)</w:t>
      </w:r>
      <w:r>
        <w:t xml:space="preserve"> </w:t>
      </w:r>
      <w:r>
        <w:t xml:space="preserve">matrix prescribed by the GHG Protocol.</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Input Category</w:t>
            </w:r>
          </w:p>
        </w:tc>
        <w:tc>
          <w:tcPr/>
          <w:p>
            <w:pPr>
              <w:pStyle w:val="Compact"/>
              <w:jc w:val="left"/>
            </w:pPr>
            <w:r>
              <w:t xml:space="preserve">Data Type</w:t>
            </w:r>
          </w:p>
        </w:tc>
        <w:tc>
          <w:tcPr/>
          <w:p>
            <w:pPr>
              <w:pStyle w:val="Compact"/>
              <w:jc w:val="left"/>
            </w:pPr>
            <w:r>
              <w:t xml:space="preserve">Primary Source / Parameter</w:t>
            </w:r>
          </w:p>
        </w:tc>
        <w:tc>
          <w:tcPr/>
          <w:p>
            <w:pPr>
              <w:pStyle w:val="Compact"/>
              <w:jc w:val="left"/>
            </w:pPr>
            <w:r>
              <w:t xml:space="preserve">Secondary LCI Reference</w:t>
            </w:r>
          </w:p>
        </w:tc>
        <w:tc>
          <w:tcPr/>
          <w:p>
            <w:pPr>
              <w:pStyle w:val="Compact"/>
              <w:jc w:val="left"/>
            </w:pPr>
            <w:r>
              <w:t xml:space="preserve">DQR Score</w:t>
            </w:r>
          </w:p>
        </w:tc>
      </w:tr>
      <w:tr>
        <w:tc>
          <w:tcPr/>
          <w:p>
            <w:pPr>
              <w:pStyle w:val="Compact"/>
              <w:jc w:val="left"/>
            </w:pPr>
            <w:r>
              <w:rPr>
                <w:bCs/>
                <w:b/>
              </w:rPr>
              <w:t xml:space="preserve">Aluminum Enclosure</w:t>
            </w:r>
          </w:p>
        </w:tc>
        <w:tc>
          <w:tcPr/>
          <w:p>
            <w:pPr>
              <w:pStyle w:val="Compact"/>
              <w:jc w:val="left"/>
            </w:pPr>
            <w:r>
              <w:t xml:space="preserve">Hybrid</w:t>
            </w:r>
          </w:p>
        </w:tc>
        <w:tc>
          <w:tcPr/>
          <w:p>
            <w:pPr>
              <w:pStyle w:val="Compact"/>
              <w:jc w:val="left"/>
            </w:pPr>
            <w:r>
              <w:t xml:space="preserve">Supplier bill of materials (BOM), 650 g mass, CNC machining records</w:t>
            </w:r>
          </w:p>
        </w:tc>
        <w:tc>
          <w:tcPr/>
          <w:p>
            <w:pPr>
              <w:pStyle w:val="Compact"/>
              <w:jc w:val="left"/>
            </w:pPr>
            <w:r>
              <w:t xml:space="preserve">Ecoinvent v3.10:</w:t>
            </w:r>
            <w:r>
              <w:t xml:space="preserve"> </w:t>
            </w:r>
            <w:r>
              <w:rPr>
                <w:iCs/>
                <w:i/>
              </w:rPr>
              <w:t xml:space="preserve">Aluminium casting alloy {RER}| production</w:t>
            </w:r>
          </w:p>
        </w:tc>
        <w:tc>
          <w:tcPr/>
          <w:p>
            <w:pPr>
              <w:pStyle w:val="Compact"/>
              <w:jc w:val="left"/>
            </w:pPr>
            <w:r>
              <w:t xml:space="preserve">Very Good (1.3)</w:t>
            </w:r>
          </w:p>
        </w:tc>
      </w:tr>
      <w:tr>
        <w:tc>
          <w:tcPr/>
          <w:p>
            <w:pPr>
              <w:pStyle w:val="Compact"/>
              <w:jc w:val="left"/>
            </w:pPr>
            <w:r>
              <w:rPr>
                <w:bCs/>
                <w:b/>
              </w:rPr>
              <w:t xml:space="preserve">PCBA &amp; Semiconductors</w:t>
            </w:r>
          </w:p>
        </w:tc>
        <w:tc>
          <w:tcPr/>
          <w:p>
            <w:pPr>
              <w:pStyle w:val="Compact"/>
              <w:jc w:val="left"/>
            </w:pPr>
            <w:r>
              <w:t xml:space="preserve">Secondary / BOM</w:t>
            </w:r>
          </w:p>
        </w:tc>
        <w:tc>
          <w:tcPr/>
          <w:p>
            <w:pPr>
              <w:pStyle w:val="Compact"/>
              <w:jc w:val="left"/>
            </w:pPr>
            <w:r>
              <w:t xml:space="preserve">Exact component count, die size estimations, passive element weights</w:t>
            </w:r>
          </w:p>
        </w:tc>
        <w:tc>
          <w:tcPr/>
          <w:p>
            <w:pPr>
              <w:pStyle w:val="Compact"/>
              <w:jc w:val="left"/>
            </w:pPr>
            <w:r>
              <w:t xml:space="preserve">Ecoinvent v3.10:</w:t>
            </w:r>
            <w:r>
              <w:t xml:space="preserve"> </w:t>
            </w:r>
            <w:r>
              <w:rPr>
                <w:iCs/>
                <w:i/>
              </w:rPr>
              <w:t xml:space="preserve">Integrated circuit, logic {GLO}| production; PCB 8-layer {RER}</w:t>
            </w:r>
          </w:p>
        </w:tc>
        <w:tc>
          <w:tcPr/>
          <w:p>
            <w:pPr>
              <w:pStyle w:val="Compact"/>
              <w:jc w:val="left"/>
            </w:pPr>
            <w:r>
              <w:t xml:space="preserve">Good (1.8)</w:t>
            </w:r>
          </w:p>
        </w:tc>
      </w:tr>
      <w:tr>
        <w:tc>
          <w:tcPr/>
          <w:p>
            <w:pPr>
              <w:pStyle w:val="Compact"/>
              <w:jc w:val="left"/>
            </w:pPr>
            <w:r>
              <w:rPr>
                <w:bCs/>
                <w:b/>
              </w:rPr>
              <w:t xml:space="preserve">Structural Polymers</w:t>
            </w:r>
          </w:p>
        </w:tc>
        <w:tc>
          <w:tcPr/>
          <w:p>
            <w:pPr>
              <w:pStyle w:val="Compact"/>
              <w:jc w:val="left"/>
            </w:pPr>
            <w:r>
              <w:t xml:space="preserve">Primary BOM</w:t>
            </w:r>
          </w:p>
        </w:tc>
        <w:tc>
          <w:tcPr/>
          <w:p>
            <w:pPr>
              <w:pStyle w:val="Compact"/>
              <w:jc w:val="left"/>
            </w:pPr>
            <w:r>
              <w:t xml:space="preserve">Exact weight (245 g), resin datasheet, mold flow tooling energy</w:t>
            </w:r>
          </w:p>
        </w:tc>
        <w:tc>
          <w:tcPr/>
          <w:p>
            <w:pPr>
              <w:pStyle w:val="Compact"/>
              <w:jc w:val="left"/>
            </w:pPr>
            <w:r>
              <w:t xml:space="preserve">Plastics Europe:</w:t>
            </w:r>
            <w:r>
              <w:t xml:space="preserve"> </w:t>
            </w:r>
            <w:r>
              <w:rPr>
                <w:iCs/>
                <w:i/>
              </w:rPr>
              <w:t xml:space="preserve">PC/ABS blend granulate {RER}</w:t>
            </w:r>
          </w:p>
        </w:tc>
        <w:tc>
          <w:tcPr/>
          <w:p>
            <w:pPr>
              <w:pStyle w:val="Compact"/>
              <w:jc w:val="left"/>
            </w:pPr>
            <w:r>
              <w:t xml:space="preserve">Very Good (1.2)</w:t>
            </w:r>
          </w:p>
        </w:tc>
      </w:tr>
      <w:tr>
        <w:tc>
          <w:tcPr/>
          <w:p>
            <w:pPr>
              <w:pStyle w:val="Compact"/>
              <w:jc w:val="left"/>
            </w:pPr>
            <w:r>
              <w:rPr>
                <w:bCs/>
                <w:b/>
              </w:rPr>
              <w:t xml:space="preserve">Packaging Materials</w:t>
            </w:r>
          </w:p>
        </w:tc>
        <w:tc>
          <w:tcPr/>
          <w:p>
            <w:pPr>
              <w:pStyle w:val="Compact"/>
              <w:jc w:val="left"/>
            </w:pPr>
            <w:r>
              <w:t xml:space="preserve">Primary BOM</w:t>
            </w:r>
          </w:p>
        </w:tc>
        <w:tc>
          <w:tcPr/>
          <w:p>
            <w:pPr>
              <w:pStyle w:val="Compact"/>
              <w:jc w:val="left"/>
            </w:pPr>
            <w:r>
              <w:t xml:space="preserve">Weighed prototype boxes (420 g total, 100% bio-based fibers)</w:t>
            </w:r>
          </w:p>
        </w:tc>
        <w:tc>
          <w:tcPr/>
          <w:p>
            <w:pPr>
              <w:pStyle w:val="Compact"/>
              <w:jc w:val="left"/>
            </w:pPr>
            <w:r>
              <w:t xml:space="preserve">FEFCO European Database:</w:t>
            </w:r>
            <w:r>
              <w:t xml:space="preserve"> </w:t>
            </w:r>
            <w:r>
              <w:rPr>
                <w:iCs/>
                <w:i/>
              </w:rPr>
              <w:t xml:space="preserve">Corrugated board box {RER}</w:t>
            </w:r>
          </w:p>
        </w:tc>
        <w:tc>
          <w:tcPr/>
          <w:p>
            <w:pPr>
              <w:pStyle w:val="Compact"/>
              <w:jc w:val="left"/>
            </w:pPr>
            <w:r>
              <w:t xml:space="preserve">Very Good (1.1)</w:t>
            </w:r>
          </w:p>
        </w:tc>
      </w:tr>
      <w:tr>
        <w:tc>
          <w:tcPr/>
          <w:p>
            <w:pPr>
              <w:pStyle w:val="Compact"/>
              <w:jc w:val="left"/>
            </w:pPr>
            <w:r>
              <w:rPr>
                <w:bCs/>
                <w:b/>
              </w:rPr>
              <w:t xml:space="preserve">Electricity (Facility)</w:t>
            </w:r>
          </w:p>
        </w:tc>
        <w:tc>
          <w:tcPr/>
          <w:p>
            <w:pPr>
              <w:pStyle w:val="Compact"/>
              <w:jc w:val="left"/>
            </w:pPr>
            <w:r>
              <w:t xml:space="preserve">Primary</w:t>
            </w:r>
          </w:p>
        </w:tc>
        <w:tc>
          <w:tcPr/>
          <w:p>
            <w:pPr>
              <w:pStyle w:val="Compact"/>
              <w:jc w:val="left"/>
            </w:pPr>
            <w:r>
              <w:t xml:space="preserve">Sub-metered SMT line &amp; test chambers (3.48 kWh allocated/unit)</w:t>
            </w:r>
          </w:p>
        </w:tc>
        <w:tc>
          <w:tcPr/>
          <w:p>
            <w:pPr>
              <w:pStyle w:val="Compact"/>
              <w:jc w:val="left"/>
            </w:pPr>
            <w:r>
              <w:t xml:space="preserve">Netherlands CBS / Association of Issuing Bodies (AIB) Residual Mix 2025</w:t>
            </w:r>
          </w:p>
        </w:tc>
        <w:tc>
          <w:tcPr/>
          <w:p>
            <w:pPr>
              <w:pStyle w:val="Compact"/>
              <w:jc w:val="left"/>
            </w:pPr>
            <w:r>
              <w:t xml:space="preserve">Excellent (1.0)</w:t>
            </w:r>
          </w:p>
        </w:tc>
      </w:tr>
      <w:tr>
        <w:tc>
          <w:tcPr/>
          <w:p>
            <w:pPr>
              <w:pStyle w:val="Compact"/>
              <w:jc w:val="left"/>
            </w:pPr>
            <w:r>
              <w:rPr>
                <w:bCs/>
                <w:b/>
              </w:rPr>
              <w:t xml:space="preserve">Natural Gas (Facility)</w:t>
            </w:r>
          </w:p>
        </w:tc>
        <w:tc>
          <w:tcPr/>
          <w:p>
            <w:pPr>
              <w:pStyle w:val="Compact"/>
              <w:jc w:val="left"/>
            </w:pPr>
            <w:r>
              <w:t xml:space="preserve">Primary</w:t>
            </w:r>
          </w:p>
        </w:tc>
        <w:tc>
          <w:tcPr/>
          <w:p>
            <w:pPr>
              <w:pStyle w:val="Compact"/>
              <w:jc w:val="left"/>
            </w:pPr>
            <w:r>
              <w:t xml:space="preserve">Facility utility bills allocated by heated assembly floor area</w:t>
            </w:r>
          </w:p>
        </w:tc>
        <w:tc>
          <w:tcPr/>
          <w:p>
            <w:pPr>
              <w:pStyle w:val="Compact"/>
              <w:jc w:val="left"/>
            </w:pPr>
            <w:r>
              <w:t xml:space="preserve">DEFRA 2025 / Netherlands RVO Natural Gas combustion factors</w:t>
            </w:r>
          </w:p>
        </w:tc>
        <w:tc>
          <w:tcPr/>
          <w:p>
            <w:pPr>
              <w:pStyle w:val="Compact"/>
              <w:jc w:val="left"/>
            </w:pPr>
            <w:r>
              <w:t xml:space="preserve">Excellent (1.0)</w:t>
            </w:r>
          </w:p>
        </w:tc>
      </w:tr>
      <w:tr>
        <w:tc>
          <w:tcPr/>
          <w:p>
            <w:pPr>
              <w:pStyle w:val="Compact"/>
              <w:jc w:val="left"/>
            </w:pPr>
            <w:r>
              <w:rPr>
                <w:bCs/>
                <w:b/>
              </w:rPr>
              <w:t xml:space="preserve">Inbound Freight</w:t>
            </w:r>
          </w:p>
        </w:tc>
        <w:tc>
          <w:tcPr/>
          <w:p>
            <w:pPr>
              <w:pStyle w:val="Compact"/>
              <w:jc w:val="left"/>
            </w:pPr>
            <w:r>
              <w:t xml:space="preserve">Primary / Calc</w:t>
            </w:r>
          </w:p>
        </w:tc>
        <w:tc>
          <w:tcPr/>
          <w:p>
            <w:pPr>
              <w:pStyle w:val="Compact"/>
              <w:jc w:val="left"/>
            </w:pPr>
            <w:r>
              <w:t xml:space="preserve">Specific supplier origin postcodes and freight consignment weights</w:t>
            </w:r>
          </w:p>
        </w:tc>
        <w:tc>
          <w:tcPr/>
          <w:p>
            <w:pPr>
              <w:pStyle w:val="Compact"/>
              <w:jc w:val="left"/>
            </w:pPr>
            <w:r>
              <w:t xml:space="preserve">EcoTransIT World / GLEC Framework v3.0 Road Freight EU</w:t>
            </w:r>
          </w:p>
        </w:tc>
        <w:tc>
          <w:tcPr/>
          <w:p>
            <w:pPr>
              <w:pStyle w:val="Compact"/>
              <w:jc w:val="left"/>
            </w:pPr>
            <w:r>
              <w:t xml:space="preserve">Good (1.6)</w:t>
            </w:r>
          </w:p>
        </w:tc>
      </w:tr>
    </w:tbl>
    <w:p>
      <w:r>
        <w:pict>
          <v:rect style="width:0;height:1.5pt" o:hralign="center" o:hrstd="t" o:hr="t"/>
        </w:pict>
      </w:r>
    </w:p>
    <w:bookmarkEnd w:id="27"/>
    <w:bookmarkStart w:id="32" w:name="Xb404f6bea4a0013006ec7a9103609d9ea6643c1"/>
    <w:p>
      <w:pPr>
        <w:pStyle w:val="Heading2"/>
      </w:pPr>
      <w:r>
        <w:t xml:space="preserve">4. Calculate Emissions (Activity × Emission Factor = CO</w:t>
      </w:r>
      <w:r>
        <w:rPr>
          <w:vertAlign w:val="subscript"/>
        </w:rPr>
        <w:t xml:space="preserve">2</w:t>
      </w:r>
      <w:r>
        <w:t xml:space="preserve">e)</w:t>
      </w:r>
    </w:p>
    <w:p>
      <w:pPr>
        <w:pStyle w:val="FirstParagraph"/>
      </w:pPr>
      <w:r>
        <w:t xml:space="preserve">Calculations are conducted utilizing the operational control approach under the GHG Protocol. Global Warming Potentials (GWPs) are derived from the</w:t>
      </w:r>
      <w:r>
        <w:t xml:space="preserve"> </w:t>
      </w:r>
      <w:r>
        <w:rPr>
          <w:bCs/>
          <w:b/>
        </w:rPr>
        <w:t xml:space="preserve">IPCC Sixth Assessment Report (AR6 - 100-year horizon)</w:t>
      </w:r>
      <w:r>
        <w:t xml:space="preserve">.</w:t>
      </w:r>
    </w:p>
    <w:bookmarkStart w:id="28" w:name="X733730b81ba56eec3cf209b1d815c06b731df0a"/>
    <w:p>
      <w:pPr>
        <w:pStyle w:val="Heading3"/>
      </w:pPr>
      <w:r>
        <w:t xml:space="preserve">4.1 Scope 1: Direct Manufacturing Emissions (Factory Gate)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Emission Source</w:t>
            </w:r>
          </w:p>
        </w:tc>
        <w:tc>
          <w:tcPr/>
          <w:p>
            <w:pPr>
              <w:pStyle w:val="Compact"/>
              <w:jc w:val="left"/>
            </w:pPr>
            <w:r>
              <w:t xml:space="preserve">Activity Data</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EF Source</w:t>
            </w:r>
          </w:p>
        </w:tc>
        <w:tc>
          <w:tcPr/>
          <w:p>
            <w:pPr>
              <w:pStyle w:val="Compact"/>
              <w:jc w:val="left"/>
            </w:pPr>
            <w:r>
              <w:t xml:space="preserve">Total (kg CO</w:t>
            </w:r>
            <w:r>
              <w:rPr>
                <w:vertAlign w:val="subscript"/>
              </w:rPr>
              <w:t xml:space="preserve">2</w:t>
            </w:r>
            <w:r>
              <w:t xml:space="preserve">e)</w:t>
            </w:r>
          </w:p>
        </w:tc>
      </w:tr>
      <w:tr>
        <w:tc>
          <w:tcPr/>
          <w:p>
            <w:pPr>
              <w:pStyle w:val="Compact"/>
              <w:jc w:val="left"/>
            </w:pPr>
            <w:r>
              <w:t xml:space="preserve">Space Heating (Natural Gas)</w:t>
            </w:r>
          </w:p>
        </w:tc>
        <w:tc>
          <w:tcPr/>
          <w:p>
            <w:pPr>
              <w:pStyle w:val="Compact"/>
              <w:jc w:val="left"/>
            </w:pPr>
            <w:r>
              <w:t xml:space="preserve">0.125</w:t>
            </w:r>
          </w:p>
        </w:tc>
        <w:tc>
          <w:tcPr/>
          <w:p>
            <w:pPr>
              <w:pStyle w:val="Compact"/>
              <w:jc w:val="left"/>
            </w:pPr>
            <w:r>
              <w:t xml:space="preserve">m³</w:t>
            </w:r>
          </w:p>
        </w:tc>
        <w:tc>
          <w:tcPr/>
          <w:p>
            <w:pPr>
              <w:pStyle w:val="Compact"/>
              <w:jc w:val="left"/>
            </w:pPr>
            <w:r>
              <w:t xml:space="preserve">2.025 kg CO</w:t>
            </w:r>
            <w:r>
              <w:rPr>
                <w:vertAlign w:val="subscript"/>
              </w:rPr>
              <w:t xml:space="preserve">2</w:t>
            </w:r>
            <w:r>
              <w:t xml:space="preserve">e / m³</w:t>
            </w:r>
          </w:p>
        </w:tc>
        <w:tc>
          <w:tcPr/>
          <w:p>
            <w:pPr>
              <w:pStyle w:val="Compact"/>
              <w:jc w:val="left"/>
            </w:pPr>
            <w:r>
              <w:t xml:space="preserve">NL RVO / DEFRA</w:t>
            </w:r>
          </w:p>
        </w:tc>
        <w:tc>
          <w:tcPr/>
          <w:p>
            <w:pPr>
              <w:pStyle w:val="Compact"/>
              <w:jc w:val="left"/>
            </w:pPr>
            <w:r>
              <w:t xml:space="preserve">0.253</w:t>
            </w:r>
          </w:p>
        </w:tc>
      </w:tr>
      <w:tr>
        <w:tc>
          <w:tcPr/>
          <w:p>
            <w:pPr>
              <w:pStyle w:val="Compact"/>
              <w:jc w:val="left"/>
            </w:pPr>
            <w:r>
              <w:t xml:space="preserve">Emergency Backup Power (Diesel)</w:t>
            </w:r>
          </w:p>
        </w:tc>
        <w:tc>
          <w:tcPr/>
          <w:p>
            <w:pPr>
              <w:pStyle w:val="Compact"/>
              <w:jc w:val="left"/>
            </w:pPr>
            <w:r>
              <w:t xml:space="preserve">0.012</w:t>
            </w:r>
          </w:p>
        </w:tc>
        <w:tc>
          <w:tcPr/>
          <w:p>
            <w:pPr>
              <w:pStyle w:val="Compact"/>
              <w:jc w:val="left"/>
            </w:pPr>
            <w:r>
              <w:t xml:space="preserve">L</w:t>
            </w:r>
          </w:p>
        </w:tc>
        <w:tc>
          <w:tcPr/>
          <w:p>
            <w:pPr>
              <w:pStyle w:val="Compact"/>
              <w:jc w:val="left"/>
            </w:pPr>
            <w:r>
              <w:t xml:space="preserve">2.688 kg CO</w:t>
            </w:r>
            <w:r>
              <w:rPr>
                <w:vertAlign w:val="subscript"/>
              </w:rPr>
              <w:t xml:space="preserve">2</w:t>
            </w:r>
            <w:r>
              <w:t xml:space="preserve">e / L</w:t>
            </w:r>
          </w:p>
        </w:tc>
        <w:tc>
          <w:tcPr/>
          <w:p>
            <w:pPr>
              <w:pStyle w:val="Compact"/>
              <w:jc w:val="left"/>
            </w:pPr>
            <w:r>
              <w:t xml:space="preserve">DEFRA 2025</w:t>
            </w:r>
          </w:p>
        </w:tc>
        <w:tc>
          <w:tcPr/>
          <w:p>
            <w:pPr>
              <w:pStyle w:val="Compact"/>
              <w:jc w:val="left"/>
            </w:pPr>
            <w:r>
              <w:t xml:space="preserve">0.032</w:t>
            </w:r>
          </w:p>
        </w:tc>
      </w:tr>
      <w:tr>
        <w:tc>
          <w:tcPr/>
          <w:p>
            <w:pPr>
              <w:pStyle w:val="Compact"/>
              <w:jc w:val="left"/>
            </w:pPr>
            <w:r>
              <w:t xml:space="preserve">Testing Chamber Refrigerant Fugitives (R410A)</w:t>
            </w:r>
          </w:p>
        </w:tc>
        <w:tc>
          <w:tcPr/>
          <w:p>
            <w:pPr>
              <w:pStyle w:val="Compact"/>
              <w:jc w:val="left"/>
            </w:pPr>
            <w:r>
              <w:t xml:space="preserve">0.000012</w:t>
            </w:r>
          </w:p>
        </w:tc>
        <w:tc>
          <w:tcPr/>
          <w:p>
            <w:pPr>
              <w:pStyle w:val="Compact"/>
              <w:jc w:val="left"/>
            </w:pPr>
            <w:r>
              <w:t xml:space="preserve">kg</w:t>
            </w:r>
          </w:p>
        </w:tc>
        <w:tc>
          <w:tcPr/>
          <w:p>
            <w:pPr>
              <w:pStyle w:val="Compact"/>
              <w:jc w:val="left"/>
            </w:pPr>
            <w:r>
              <w:t xml:space="preserve">2,256 kg CO</w:t>
            </w:r>
            <w:r>
              <w:rPr>
                <w:vertAlign w:val="subscript"/>
              </w:rPr>
              <w:t xml:space="preserve">2</w:t>
            </w:r>
            <w:r>
              <w:t xml:space="preserve">e / kg</w:t>
            </w:r>
          </w:p>
        </w:tc>
        <w:tc>
          <w:tcPr/>
          <w:p>
            <w:pPr>
              <w:pStyle w:val="Compact"/>
              <w:jc w:val="left"/>
            </w:pPr>
            <w:r>
              <w:t xml:space="preserve">IPCC AR6 GWP100</w:t>
            </w:r>
          </w:p>
        </w:tc>
        <w:tc>
          <w:tcPr/>
          <w:p>
            <w:pPr>
              <w:pStyle w:val="Compact"/>
              <w:jc w:val="left"/>
            </w:pPr>
            <w:r>
              <w:t xml:space="preserve">0.027</w:t>
            </w:r>
          </w:p>
        </w:tc>
      </w:tr>
      <w:tr>
        <w:tc>
          <w:tcPr>
            <w:gridSpan w:val="5"/>
          </w:tcPr>
          <w:p>
            <w:pPr>
              <w:pStyle w:val="Compact"/>
              <w:jc w:val="left"/>
            </w:pPr>
            <w:r>
              <w:t xml:space="preserve">Total Scope 1 Direct Emissions</w:t>
            </w:r>
          </w:p>
        </w:tc>
        <w:tc>
          <w:tcPr/>
          <w:p>
            <w:pPr>
              <w:pStyle w:val="Compact"/>
              <w:jc w:val="left"/>
            </w:pPr>
            <w:r>
              <w:t xml:space="preserve">0.312</w:t>
            </w:r>
          </w:p>
        </w:tc>
      </w:tr>
    </w:tbl>
    <w:bookmarkEnd w:id="28"/>
    <w:bookmarkStart w:id="29" w:name="X532e74a527ac33650e8fb2d62ac7b3ffe1125b4"/>
    <w:p>
      <w:pPr>
        <w:pStyle w:val="Heading3"/>
      </w:pPr>
      <w:r>
        <w:t xml:space="preserve">4.2 Scope 2: Indirect Emissions from Purchased Energy (Netherlands Facility)</w:t>
      </w:r>
    </w:p>
    <w:p>
      <w:pPr>
        <w:pStyle w:val="FirstParagraph"/>
      </w:pPr>
      <w:r>
        <w:rPr>
          <w:iCs/>
          <w:i/>
        </w:rPr>
        <w:t xml:space="preserve">Note on Dual Reporting: In accordance with the GHG Protocol Scope 2 Guidance, both location-based and market-based accounting figures are disclosed. The market-based value reflects the facility\'s certified European Guarantee of Origin (GoO) wind power contract with remaining residual mix grid backup.</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Energy Source &amp; Accounting Method</w:t>
            </w:r>
          </w:p>
        </w:tc>
        <w:tc>
          <w:tcPr/>
          <w:p>
            <w:pPr>
              <w:pStyle w:val="Compact"/>
              <w:jc w:val="left"/>
            </w:pPr>
            <w:r>
              <w:t xml:space="preserve">Activity Data</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EF Source</w:t>
            </w:r>
          </w:p>
        </w:tc>
        <w:tc>
          <w:tcPr/>
          <w:p>
            <w:pPr>
              <w:pStyle w:val="Compact"/>
              <w:jc w:val="left"/>
            </w:pPr>
            <w:r>
              <w:t xml:space="preserve">Total (kg CO</w:t>
            </w:r>
            <w:r>
              <w:rPr>
                <w:vertAlign w:val="subscript"/>
              </w:rPr>
              <w:t xml:space="preserve">2</w:t>
            </w:r>
            <w:r>
              <w:t xml:space="preserve">e)</w:t>
            </w:r>
          </w:p>
        </w:tc>
      </w:tr>
      <w:tr>
        <w:tc>
          <w:tcPr/>
          <w:p>
            <w:pPr>
              <w:pStyle w:val="Compact"/>
              <w:jc w:val="left"/>
            </w:pPr>
            <w:r>
              <w:rPr>
                <w:bCs/>
                <w:b/>
              </w:rPr>
              <w:t xml:space="preserve">Location-Based:</w:t>
            </w:r>
            <w:r>
              <w:t xml:space="preserve"> </w:t>
            </w:r>
            <w:r>
              <w:t xml:space="preserve">NL Grid Electricity</w:t>
            </w:r>
          </w:p>
        </w:tc>
        <w:tc>
          <w:tcPr/>
          <w:p>
            <w:pPr>
              <w:pStyle w:val="Compact"/>
              <w:jc w:val="left"/>
            </w:pPr>
            <w:r>
              <w:t xml:space="preserve">3.480</w:t>
            </w:r>
          </w:p>
        </w:tc>
        <w:tc>
          <w:tcPr/>
          <w:p>
            <w:pPr>
              <w:pStyle w:val="Compact"/>
              <w:jc w:val="left"/>
            </w:pPr>
            <w:r>
              <w:t xml:space="preserve">kWh</w:t>
            </w:r>
          </w:p>
        </w:tc>
        <w:tc>
          <w:tcPr/>
          <w:p>
            <w:pPr>
              <w:pStyle w:val="Compact"/>
              <w:jc w:val="left"/>
            </w:pPr>
            <w:r>
              <w:t xml:space="preserve">0.338 kg CO</w:t>
            </w:r>
            <w:r>
              <w:rPr>
                <w:vertAlign w:val="subscript"/>
              </w:rPr>
              <w:t xml:space="preserve">2</w:t>
            </w:r>
            <w:r>
              <w:t xml:space="preserve">e / kWh</w:t>
            </w:r>
          </w:p>
        </w:tc>
        <w:tc>
          <w:tcPr/>
          <w:p>
            <w:pPr>
              <w:pStyle w:val="Compact"/>
              <w:jc w:val="left"/>
            </w:pPr>
            <w:r>
              <w:t xml:space="preserve">NL National Grid Average (CBS)</w:t>
            </w:r>
          </w:p>
        </w:tc>
        <w:tc>
          <w:tcPr/>
          <w:p>
            <w:pPr>
              <w:pStyle w:val="Compact"/>
              <w:jc w:val="left"/>
            </w:pPr>
            <w:r>
              <w:t xml:space="preserve">1.176</w:t>
            </w:r>
          </w:p>
        </w:tc>
      </w:tr>
      <w:tr>
        <w:tc>
          <w:tcPr/>
          <w:p>
            <w:pPr>
              <w:pStyle w:val="Compact"/>
              <w:jc w:val="left"/>
            </w:pPr>
            <w:r>
              <w:rPr>
                <w:bCs/>
                <w:b/>
              </w:rPr>
              <w:t xml:space="preserve">Market-Based (Reported):</w:t>
            </w:r>
            <w:r>
              <w:t xml:space="preserve"> </w:t>
            </w:r>
            <w:r>
              <w:t xml:space="preserve">Contracted GoO Wind + Residual</w:t>
            </w:r>
          </w:p>
        </w:tc>
        <w:tc>
          <w:tcPr/>
          <w:p>
            <w:pPr>
              <w:pStyle w:val="Compact"/>
              <w:jc w:val="left"/>
            </w:pPr>
            <w:r>
              <w:t xml:space="preserve">3.480</w:t>
            </w:r>
          </w:p>
        </w:tc>
        <w:tc>
          <w:tcPr/>
          <w:p>
            <w:pPr>
              <w:pStyle w:val="Compact"/>
              <w:jc w:val="left"/>
            </w:pPr>
            <w:r>
              <w:t xml:space="preserve">kWh</w:t>
            </w:r>
          </w:p>
        </w:tc>
        <w:tc>
          <w:tcPr/>
          <w:p>
            <w:pPr>
              <w:pStyle w:val="Compact"/>
              <w:jc w:val="left"/>
            </w:pPr>
            <w:r>
              <w:t xml:space="preserve">0.121 kg CO</w:t>
            </w:r>
            <w:r>
              <w:rPr>
                <w:vertAlign w:val="subscript"/>
              </w:rPr>
              <w:t xml:space="preserve">2</w:t>
            </w:r>
            <w:r>
              <w:t xml:space="preserve">e / kWh</w:t>
            </w:r>
          </w:p>
        </w:tc>
        <w:tc>
          <w:tcPr/>
          <w:p>
            <w:pPr>
              <w:pStyle w:val="Compact"/>
              <w:jc w:val="left"/>
            </w:pPr>
            <w:r>
              <w:t xml:space="preserve">AIB Netherlands Residual / Supplier Mix</w:t>
            </w:r>
          </w:p>
        </w:tc>
        <w:tc>
          <w:tcPr/>
          <w:p>
            <w:pPr>
              <w:pStyle w:val="Compact"/>
              <w:jc w:val="left"/>
            </w:pPr>
            <w:r>
              <w:rPr>
                <w:bCs/>
                <w:b/>
              </w:rPr>
              <w:t xml:space="preserve">0.421</w:t>
            </w:r>
          </w:p>
        </w:tc>
      </w:tr>
    </w:tbl>
    <w:bookmarkEnd w:id="29"/>
    <w:bookmarkStart w:id="30" w:name="X222d12c99574868c22de01337789f6829e6cf3b"/>
    <w:p>
      <w:pPr>
        <w:pStyle w:val="Heading3"/>
      </w:pPr>
      <w:r>
        <w:t xml:space="preserve">4.3 Scope 3: Upstream Value Chain Emissions (Categories 1 &amp; 4)</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Lifecycle Inventory Element</w:t>
            </w:r>
          </w:p>
        </w:tc>
        <w:tc>
          <w:tcPr/>
          <w:p>
            <w:pPr>
              <w:pStyle w:val="Compact"/>
              <w:jc w:val="left"/>
            </w:pPr>
            <w:r>
              <w:t xml:space="preserve">Mass / Activity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LCI Database / Benchmark</w:t>
            </w:r>
          </w:p>
        </w:tc>
        <w:tc>
          <w:tcPr/>
          <w:p>
            <w:pPr>
              <w:pStyle w:val="Compact"/>
              <w:jc w:val="left"/>
            </w:pPr>
            <w:r>
              <w:t xml:space="preserve">Total (kg CO</w:t>
            </w:r>
            <w:r>
              <w:rPr>
                <w:vertAlign w:val="subscript"/>
              </w:rPr>
              <w:t xml:space="preserve">2</w:t>
            </w:r>
            <w:r>
              <w:t xml:space="preserve">e)</w:t>
            </w:r>
          </w:p>
        </w:tc>
      </w:tr>
      <w:tr>
        <w:tc>
          <w:tcPr/>
          <w:p>
            <w:pPr>
              <w:pStyle w:val="Compact"/>
              <w:jc w:val="left"/>
            </w:pPr>
            <w:r>
              <w:rPr>
                <w:bCs/>
                <w:b/>
              </w:rPr>
              <w:t xml:space="preserve">Chassis:</w:t>
            </w:r>
            <w:r>
              <w:t xml:space="preserve"> </w:t>
            </w:r>
            <w:r>
              <w:t xml:space="preserve">Die-cast Aluminum (42% Recycled)</w:t>
            </w:r>
          </w:p>
        </w:tc>
        <w:tc>
          <w:tcPr/>
          <w:p>
            <w:pPr>
              <w:pStyle w:val="Compact"/>
              <w:jc w:val="left"/>
            </w:pPr>
            <w:r>
              <w:t xml:space="preserve">0.650</w:t>
            </w:r>
          </w:p>
        </w:tc>
        <w:tc>
          <w:tcPr/>
          <w:p>
            <w:pPr>
              <w:pStyle w:val="Compact"/>
              <w:jc w:val="left"/>
            </w:pPr>
            <w:r>
              <w:t xml:space="preserve">kg</w:t>
            </w:r>
          </w:p>
        </w:tc>
        <w:tc>
          <w:tcPr/>
          <w:p>
            <w:pPr>
              <w:pStyle w:val="Compact"/>
              <w:jc w:val="left"/>
            </w:pPr>
            <w:r>
              <w:t xml:space="preserve">7.846 kg CO</w:t>
            </w:r>
            <w:r>
              <w:rPr>
                <w:vertAlign w:val="subscript"/>
              </w:rPr>
              <w:t xml:space="preserve">2</w:t>
            </w:r>
            <w:r>
              <w:t xml:space="preserve">e / kg</w:t>
            </w:r>
          </w:p>
        </w:tc>
        <w:tc>
          <w:tcPr/>
          <w:p>
            <w:pPr>
              <w:pStyle w:val="Compact"/>
              <w:jc w:val="left"/>
            </w:pPr>
            <w:r>
              <w:t xml:space="preserve">Ecoinvent v3.10 (RER)</w:t>
            </w:r>
          </w:p>
        </w:tc>
        <w:tc>
          <w:tcPr/>
          <w:p>
            <w:pPr>
              <w:pStyle w:val="Compact"/>
              <w:jc w:val="left"/>
            </w:pPr>
            <w:r>
              <w:t xml:space="preserve">5.100</w:t>
            </w:r>
          </w:p>
        </w:tc>
      </w:tr>
      <w:tr>
        <w:tc>
          <w:tcPr/>
          <w:p>
            <w:pPr>
              <w:pStyle w:val="Compact"/>
              <w:jc w:val="left"/>
            </w:pPr>
            <w:r>
              <w:rPr>
                <w:bCs/>
                <w:b/>
              </w:rPr>
              <w:t xml:space="preserve">PCBA:</w:t>
            </w:r>
            <w:r>
              <w:t xml:space="preserve"> </w:t>
            </w:r>
            <w:r>
              <w:t xml:space="preserve">8-Layer Raw FR4 Bare Board</w:t>
            </w:r>
          </w:p>
        </w:tc>
        <w:tc>
          <w:tcPr/>
          <w:p>
            <w:pPr>
              <w:pStyle w:val="Compact"/>
              <w:jc w:val="left"/>
            </w:pPr>
            <w:r>
              <w:t xml:space="preserve">0.120</w:t>
            </w:r>
          </w:p>
        </w:tc>
        <w:tc>
          <w:tcPr/>
          <w:p>
            <w:pPr>
              <w:pStyle w:val="Compact"/>
              <w:jc w:val="left"/>
            </w:pPr>
            <w:r>
              <w:t xml:space="preserve">kg</w:t>
            </w:r>
          </w:p>
        </w:tc>
        <w:tc>
          <w:tcPr/>
          <w:p>
            <w:pPr>
              <w:pStyle w:val="Compact"/>
              <w:jc w:val="left"/>
            </w:pPr>
            <w:r>
              <w:t xml:space="preserve">12.350 kg CO</w:t>
            </w:r>
            <w:r>
              <w:rPr>
                <w:vertAlign w:val="subscript"/>
              </w:rPr>
              <w:t xml:space="preserve">2</w:t>
            </w:r>
            <w:r>
              <w:t xml:space="preserve">e / kg</w:t>
            </w:r>
          </w:p>
        </w:tc>
        <w:tc>
          <w:tcPr/>
          <w:p>
            <w:pPr>
              <w:pStyle w:val="Compact"/>
              <w:jc w:val="left"/>
            </w:pPr>
            <w:r>
              <w:t xml:space="preserve">Ecoinvent v3.10 (GLO)</w:t>
            </w:r>
          </w:p>
        </w:tc>
        <w:tc>
          <w:tcPr/>
          <w:p>
            <w:pPr>
              <w:pStyle w:val="Compact"/>
              <w:jc w:val="left"/>
            </w:pPr>
            <w:r>
              <w:t xml:space="preserve">1.482</w:t>
            </w:r>
          </w:p>
        </w:tc>
      </w:tr>
      <w:tr>
        <w:tc>
          <w:tcPr/>
          <w:p>
            <w:pPr>
              <w:pStyle w:val="Compact"/>
              <w:jc w:val="left"/>
            </w:pPr>
            <w:r>
              <w:rPr>
                <w:bCs/>
                <w:b/>
              </w:rPr>
              <w:t xml:space="preserve">Semiconductors:</w:t>
            </w:r>
            <w:r>
              <w:t xml:space="preserve"> </w:t>
            </w:r>
            <w:r>
              <w:t xml:space="preserve">Microprocessor &amp; Flash/RAM</w:t>
            </w:r>
          </w:p>
        </w:tc>
        <w:tc>
          <w:tcPr/>
          <w:p>
            <w:pPr>
              <w:pStyle w:val="Compact"/>
              <w:jc w:val="left"/>
            </w:pPr>
            <w:r>
              <w:t xml:space="preserve">0.085</w:t>
            </w:r>
          </w:p>
        </w:tc>
        <w:tc>
          <w:tcPr/>
          <w:p>
            <w:pPr>
              <w:pStyle w:val="Compact"/>
              <w:jc w:val="left"/>
            </w:pPr>
            <w:r>
              <w:t xml:space="preserve">kg</w:t>
            </w:r>
          </w:p>
        </w:tc>
        <w:tc>
          <w:tcPr/>
          <w:p>
            <w:pPr>
              <w:pStyle w:val="Compact"/>
              <w:jc w:val="left"/>
            </w:pPr>
            <w:r>
              <w:t xml:space="preserve">134.500 kg CO</w:t>
            </w:r>
            <w:r>
              <w:rPr>
                <w:vertAlign w:val="subscript"/>
              </w:rPr>
              <w:t xml:space="preserve">2</w:t>
            </w:r>
            <w:r>
              <w:t xml:space="preserve">e / kg</w:t>
            </w:r>
          </w:p>
        </w:tc>
        <w:tc>
          <w:tcPr/>
          <w:p>
            <w:pPr>
              <w:pStyle w:val="Compact"/>
              <w:jc w:val="left"/>
            </w:pPr>
            <w:r>
              <w:t xml:space="preserve">Ecoinvent v3.10 / IMEC Fab Model</w:t>
            </w:r>
          </w:p>
        </w:tc>
        <w:tc>
          <w:tcPr/>
          <w:p>
            <w:pPr>
              <w:pStyle w:val="Compact"/>
              <w:jc w:val="left"/>
            </w:pPr>
            <w:r>
              <w:t xml:space="preserve">11.433</w:t>
            </w:r>
          </w:p>
        </w:tc>
      </w:tr>
      <w:tr>
        <w:tc>
          <w:tcPr/>
          <w:p>
            <w:pPr>
              <w:pStyle w:val="Compact"/>
              <w:jc w:val="left"/>
            </w:pPr>
            <w:r>
              <w:rPr>
                <w:bCs/>
                <w:b/>
              </w:rPr>
              <w:t xml:space="preserve">Passive Components &amp; Connectors:</w:t>
            </w:r>
            <w:r>
              <w:t xml:space="preserve"> </w:t>
            </w:r>
            <w:r>
              <w:t xml:space="preserve">Capacitors/SMDs</w:t>
            </w:r>
          </w:p>
        </w:tc>
        <w:tc>
          <w:tcPr/>
          <w:p>
            <w:pPr>
              <w:pStyle w:val="Compact"/>
              <w:jc w:val="left"/>
            </w:pPr>
            <w:r>
              <w:t xml:space="preserve">0.115</w:t>
            </w:r>
          </w:p>
        </w:tc>
        <w:tc>
          <w:tcPr/>
          <w:p>
            <w:pPr>
              <w:pStyle w:val="Compact"/>
              <w:jc w:val="left"/>
            </w:pPr>
            <w:r>
              <w:t xml:space="preserve">kg</w:t>
            </w:r>
          </w:p>
        </w:tc>
        <w:tc>
          <w:tcPr/>
          <w:p>
            <w:pPr>
              <w:pStyle w:val="Compact"/>
              <w:jc w:val="left"/>
            </w:pPr>
            <w:r>
              <w:t xml:space="preserve">16.200 kg CO</w:t>
            </w:r>
            <w:r>
              <w:rPr>
                <w:vertAlign w:val="subscript"/>
              </w:rPr>
              <w:t xml:space="preserve">2</w:t>
            </w:r>
            <w:r>
              <w:t xml:space="preserve">e / kg</w:t>
            </w:r>
          </w:p>
        </w:tc>
        <w:tc>
          <w:tcPr/>
          <w:p>
            <w:pPr>
              <w:pStyle w:val="Compact"/>
              <w:jc w:val="left"/>
            </w:pPr>
            <w:r>
              <w:t xml:space="preserve">Ecoinvent v3.10 (GLO)</w:t>
            </w:r>
          </w:p>
        </w:tc>
        <w:tc>
          <w:tcPr/>
          <w:p>
            <w:pPr>
              <w:pStyle w:val="Compact"/>
              <w:jc w:val="left"/>
            </w:pPr>
            <w:r>
              <w:t xml:space="preserve">1.863</w:t>
            </w:r>
          </w:p>
        </w:tc>
      </w:tr>
      <w:tr>
        <w:tc>
          <w:tcPr/>
          <w:p>
            <w:pPr>
              <w:pStyle w:val="Compact"/>
              <w:jc w:val="left"/>
            </w:pPr>
            <w:r>
              <w:rPr>
                <w:bCs/>
                <w:b/>
              </w:rPr>
              <w:t xml:space="preserve">Chassis Plastic:</w:t>
            </w:r>
            <w:r>
              <w:t xml:space="preserve"> </w:t>
            </w:r>
            <w:r>
              <w:t xml:space="preserve">PC/ABS Molded Fascia</w:t>
            </w:r>
          </w:p>
        </w:tc>
        <w:tc>
          <w:tcPr/>
          <w:p>
            <w:pPr>
              <w:pStyle w:val="Compact"/>
              <w:jc w:val="left"/>
            </w:pPr>
            <w:r>
              <w:t xml:space="preserve">0.245</w:t>
            </w:r>
          </w:p>
        </w:tc>
        <w:tc>
          <w:tcPr/>
          <w:p>
            <w:pPr>
              <w:pStyle w:val="Compact"/>
              <w:jc w:val="left"/>
            </w:pPr>
            <w:r>
              <w:t xml:space="preserve">kg</w:t>
            </w:r>
          </w:p>
        </w:tc>
        <w:tc>
          <w:tcPr/>
          <w:p>
            <w:pPr>
              <w:pStyle w:val="Compact"/>
              <w:jc w:val="left"/>
            </w:pPr>
            <w:r>
              <w:t xml:space="preserve">3.820 kg CO</w:t>
            </w:r>
            <w:r>
              <w:rPr>
                <w:vertAlign w:val="subscript"/>
              </w:rPr>
              <w:t xml:space="preserve">2</w:t>
            </w:r>
            <w:r>
              <w:t xml:space="preserve">e / kg</w:t>
            </w:r>
          </w:p>
        </w:tc>
        <w:tc>
          <w:tcPr/>
          <w:p>
            <w:pPr>
              <w:pStyle w:val="Compact"/>
              <w:jc w:val="left"/>
            </w:pPr>
            <w:r>
              <w:t xml:space="preserve">PlasticsEurope / Ecoinvent</w:t>
            </w:r>
          </w:p>
        </w:tc>
        <w:tc>
          <w:tcPr/>
          <w:p>
            <w:pPr>
              <w:pStyle w:val="Compact"/>
              <w:jc w:val="left"/>
            </w:pPr>
            <w:r>
              <w:t xml:space="preserve">0.936</w:t>
            </w:r>
          </w:p>
        </w:tc>
      </w:tr>
      <w:tr>
        <w:tc>
          <w:tcPr/>
          <w:p>
            <w:pPr>
              <w:pStyle w:val="Compact"/>
              <w:jc w:val="left"/>
            </w:pPr>
            <w:r>
              <w:rPr>
                <w:bCs/>
                <w:b/>
              </w:rPr>
              <w:t xml:space="preserve">Internal Wiring:</w:t>
            </w:r>
            <w:r>
              <w:t xml:space="preserve"> </w:t>
            </w:r>
            <w:r>
              <w:t xml:space="preserve">Copper wire, PVC sleeve</w:t>
            </w:r>
          </w:p>
        </w:tc>
        <w:tc>
          <w:tcPr/>
          <w:p>
            <w:pPr>
              <w:pStyle w:val="Compact"/>
              <w:jc w:val="left"/>
            </w:pPr>
            <w:r>
              <w:t xml:space="preserve">0.065</w:t>
            </w:r>
          </w:p>
        </w:tc>
        <w:tc>
          <w:tcPr/>
          <w:p>
            <w:pPr>
              <w:pStyle w:val="Compact"/>
              <w:jc w:val="left"/>
            </w:pPr>
            <w:r>
              <w:t xml:space="preserve">kg</w:t>
            </w:r>
          </w:p>
        </w:tc>
        <w:tc>
          <w:tcPr/>
          <w:p>
            <w:pPr>
              <w:pStyle w:val="Compact"/>
              <w:jc w:val="left"/>
            </w:pPr>
            <w:r>
              <w:t xml:space="preserve">6.450 kg CO</w:t>
            </w:r>
            <w:r>
              <w:rPr>
                <w:vertAlign w:val="subscript"/>
              </w:rPr>
              <w:t xml:space="preserve">2</w:t>
            </w:r>
            <w:r>
              <w:t xml:space="preserve">e / kg</w:t>
            </w:r>
          </w:p>
        </w:tc>
        <w:tc>
          <w:tcPr/>
          <w:p>
            <w:pPr>
              <w:pStyle w:val="Compact"/>
              <w:jc w:val="left"/>
            </w:pPr>
            <w:r>
              <w:t xml:space="preserve">Ecoinvent v3.10 (RER)</w:t>
            </w:r>
          </w:p>
        </w:tc>
        <w:tc>
          <w:tcPr/>
          <w:p>
            <w:pPr>
              <w:pStyle w:val="Compact"/>
              <w:jc w:val="left"/>
            </w:pPr>
            <w:r>
              <w:t xml:space="preserve">0.419</w:t>
            </w:r>
          </w:p>
        </w:tc>
      </w:tr>
      <w:tr>
        <w:tc>
          <w:tcPr/>
          <w:p>
            <w:pPr>
              <w:pStyle w:val="Compact"/>
              <w:jc w:val="left"/>
            </w:pPr>
            <w:r>
              <w:rPr>
                <w:bCs/>
                <w:b/>
              </w:rPr>
              <w:t xml:space="preserve">Fasteners &amp; Brackets:</w:t>
            </w:r>
            <w:r>
              <w:t xml:space="preserve"> </w:t>
            </w:r>
            <w:r>
              <w:t xml:space="preserve">Galvanized Steel</w:t>
            </w:r>
          </w:p>
        </w:tc>
        <w:tc>
          <w:tcPr/>
          <w:p>
            <w:pPr>
              <w:pStyle w:val="Compact"/>
              <w:jc w:val="left"/>
            </w:pPr>
            <w:r>
              <w:t xml:space="preserve">0.140</w:t>
            </w:r>
          </w:p>
        </w:tc>
        <w:tc>
          <w:tcPr/>
          <w:p>
            <w:pPr>
              <w:pStyle w:val="Compact"/>
              <w:jc w:val="left"/>
            </w:pPr>
            <w:r>
              <w:t xml:space="preserve">kg</w:t>
            </w:r>
          </w:p>
        </w:tc>
        <w:tc>
          <w:tcPr/>
          <w:p>
            <w:pPr>
              <w:pStyle w:val="Compact"/>
              <w:jc w:val="left"/>
            </w:pPr>
            <w:r>
              <w:t xml:space="preserve">2.480 kg CO</w:t>
            </w:r>
            <w:r>
              <w:rPr>
                <w:vertAlign w:val="subscript"/>
              </w:rPr>
              <w:t xml:space="preserve">2</w:t>
            </w:r>
            <w:r>
              <w:t xml:space="preserve">e / kg</w:t>
            </w:r>
          </w:p>
        </w:tc>
        <w:tc>
          <w:tcPr/>
          <w:p>
            <w:pPr>
              <w:pStyle w:val="Compact"/>
              <w:jc w:val="left"/>
            </w:pPr>
            <w:r>
              <w:t xml:space="preserve">Worldsteel / Ecoinvent</w:t>
            </w:r>
          </w:p>
        </w:tc>
        <w:tc>
          <w:tcPr/>
          <w:p>
            <w:pPr>
              <w:pStyle w:val="Compact"/>
              <w:jc w:val="left"/>
            </w:pPr>
            <w:r>
              <w:t xml:space="preserve">0.347</w:t>
            </w:r>
          </w:p>
        </w:tc>
      </w:tr>
      <w:tr>
        <w:tc>
          <w:tcPr/>
          <w:p>
            <w:pPr>
              <w:pStyle w:val="Compact"/>
              <w:jc w:val="left"/>
            </w:pPr>
            <w:r>
              <w:rPr>
                <w:bCs/>
                <w:b/>
              </w:rPr>
              <w:t xml:space="preserve">Packaging:</w:t>
            </w:r>
            <w:r>
              <w:t xml:space="preserve"> </w:t>
            </w:r>
            <w:r>
              <w:t xml:space="preserve">Corrugated Box (Fossil Lifecycle)</w:t>
            </w:r>
          </w:p>
        </w:tc>
        <w:tc>
          <w:tcPr/>
          <w:p>
            <w:pPr>
              <w:pStyle w:val="Compact"/>
              <w:jc w:val="left"/>
            </w:pPr>
            <w:r>
              <w:t xml:space="preserve">0.270</w:t>
            </w:r>
          </w:p>
        </w:tc>
        <w:tc>
          <w:tcPr/>
          <w:p>
            <w:pPr>
              <w:pStyle w:val="Compact"/>
              <w:jc w:val="left"/>
            </w:pPr>
            <w:r>
              <w:t xml:space="preserve">kg</w:t>
            </w:r>
          </w:p>
        </w:tc>
        <w:tc>
          <w:tcPr/>
          <w:p>
            <w:pPr>
              <w:pStyle w:val="Compact"/>
              <w:jc w:val="left"/>
            </w:pPr>
            <w:r>
              <w:t xml:space="preserve">0.890 kg CO</w:t>
            </w:r>
            <w:r>
              <w:rPr>
                <w:vertAlign w:val="subscript"/>
              </w:rPr>
              <w:t xml:space="preserve">2</w:t>
            </w:r>
            <w:r>
              <w:t xml:space="preserve">e / kg</w:t>
            </w:r>
          </w:p>
        </w:tc>
        <w:tc>
          <w:tcPr/>
          <w:p>
            <w:pPr>
              <w:pStyle w:val="Compact"/>
              <w:jc w:val="left"/>
            </w:pPr>
            <w:r>
              <w:t xml:space="preserve">FEFCO Database</w:t>
            </w:r>
          </w:p>
        </w:tc>
        <w:tc>
          <w:tcPr/>
          <w:p>
            <w:pPr>
              <w:pStyle w:val="Compact"/>
              <w:jc w:val="left"/>
            </w:pPr>
            <w:r>
              <w:t xml:space="preserve">0.240</w:t>
            </w:r>
          </w:p>
        </w:tc>
      </w:tr>
      <w:tr>
        <w:tc>
          <w:tcPr/>
          <w:p>
            <w:pPr>
              <w:pStyle w:val="Compact"/>
              <w:jc w:val="left"/>
            </w:pPr>
            <w:r>
              <w:rPr>
                <w:bCs/>
                <w:b/>
              </w:rPr>
              <w:t xml:space="preserve">Packaging:</w:t>
            </w:r>
            <w:r>
              <w:t xml:space="preserve"> </w:t>
            </w:r>
            <w:r>
              <w:t xml:space="preserve">Molded Pulp Cushion (Fossil)</w:t>
            </w:r>
          </w:p>
        </w:tc>
        <w:tc>
          <w:tcPr/>
          <w:p>
            <w:pPr>
              <w:pStyle w:val="Compact"/>
              <w:jc w:val="left"/>
            </w:pPr>
            <w:r>
              <w:t xml:space="preserve">0.150</w:t>
            </w:r>
          </w:p>
        </w:tc>
        <w:tc>
          <w:tcPr/>
          <w:p>
            <w:pPr>
              <w:pStyle w:val="Compact"/>
              <w:jc w:val="left"/>
            </w:pPr>
            <w:r>
              <w:t xml:space="preserve">kg</w:t>
            </w:r>
          </w:p>
        </w:tc>
        <w:tc>
          <w:tcPr/>
          <w:p>
            <w:pPr>
              <w:pStyle w:val="Compact"/>
              <w:jc w:val="left"/>
            </w:pPr>
            <w:r>
              <w:t xml:space="preserve">0.740 kg CO</w:t>
            </w:r>
            <w:r>
              <w:rPr>
                <w:vertAlign w:val="subscript"/>
              </w:rPr>
              <w:t xml:space="preserve">2</w:t>
            </w:r>
            <w:r>
              <w:t xml:space="preserve">e / kg</w:t>
            </w:r>
          </w:p>
        </w:tc>
        <w:tc>
          <w:tcPr/>
          <w:p>
            <w:pPr>
              <w:pStyle w:val="Compact"/>
              <w:jc w:val="left"/>
            </w:pPr>
            <w:r>
              <w:t xml:space="preserve">FEFCO / Ecoinvent</w:t>
            </w:r>
          </w:p>
        </w:tc>
        <w:tc>
          <w:tcPr/>
          <w:p>
            <w:pPr>
              <w:pStyle w:val="Compact"/>
              <w:jc w:val="left"/>
            </w:pPr>
            <w:r>
              <w:t xml:space="preserve">0.111</w:t>
            </w:r>
          </w:p>
        </w:tc>
      </w:tr>
      <w:tr>
        <w:tc>
          <w:tcPr/>
          <w:p>
            <w:pPr>
              <w:pStyle w:val="Compact"/>
              <w:jc w:val="left"/>
            </w:pPr>
            <w:r>
              <w:rPr>
                <w:bCs/>
                <w:b/>
              </w:rPr>
              <w:t xml:space="preserve">Inbound Freight (Road):</w:t>
            </w:r>
            <w:r>
              <w:t xml:space="preserve"> </w:t>
            </w:r>
            <w:r>
              <w:t xml:space="preserve">Western Europe Suppliers</w:t>
            </w:r>
          </w:p>
        </w:tc>
        <w:tc>
          <w:tcPr/>
          <w:p>
            <w:pPr>
              <w:pStyle w:val="Compact"/>
              <w:jc w:val="left"/>
            </w:pPr>
            <w:r>
              <w:t xml:space="preserve">0.680</w:t>
            </w:r>
          </w:p>
        </w:tc>
        <w:tc>
          <w:tcPr/>
          <w:p>
            <w:pPr>
              <w:pStyle w:val="Compact"/>
              <w:jc w:val="left"/>
            </w:pPr>
            <w:r>
              <w:t xml:space="preserve">t-km</w:t>
            </w:r>
          </w:p>
        </w:tc>
        <w:tc>
          <w:tcPr/>
          <w:p>
            <w:pPr>
              <w:pStyle w:val="Compact"/>
              <w:jc w:val="left"/>
            </w:pPr>
            <w:r>
              <w:t xml:space="preserve">0.112 kg CO</w:t>
            </w:r>
            <w:r>
              <w:rPr>
                <w:vertAlign w:val="subscript"/>
              </w:rPr>
              <w:t xml:space="preserve">2</w:t>
            </w:r>
            <w:r>
              <w:t xml:space="preserve">e / t-km</w:t>
            </w:r>
          </w:p>
        </w:tc>
        <w:tc>
          <w:tcPr/>
          <w:p>
            <w:pPr>
              <w:pStyle w:val="Compact"/>
              <w:jc w:val="left"/>
            </w:pPr>
            <w:r>
              <w:t xml:space="preserve">GLEC Framework / DEFRA</w:t>
            </w:r>
          </w:p>
        </w:tc>
        <w:tc>
          <w:tcPr/>
          <w:p>
            <w:pPr>
              <w:pStyle w:val="Compact"/>
              <w:jc w:val="left"/>
            </w:pPr>
            <w:r>
              <w:t xml:space="preserve">0.076</w:t>
            </w:r>
          </w:p>
        </w:tc>
      </w:tr>
      <w:tr>
        <w:tc>
          <w:tcPr/>
          <w:p>
            <w:pPr>
              <w:pStyle w:val="Compact"/>
              <w:jc w:val="left"/>
            </w:pPr>
            <w:r>
              <w:rPr>
                <w:bCs/>
                <w:b/>
              </w:rPr>
              <w:t xml:space="preserve">Inbound Freight (Air):</w:t>
            </w:r>
            <w:r>
              <w:t xml:space="preserve"> </w:t>
            </w:r>
            <w:r>
              <w:t xml:space="preserve">Critical IC Components</w:t>
            </w:r>
          </w:p>
        </w:tc>
        <w:tc>
          <w:tcPr/>
          <w:p>
            <w:pPr>
              <w:pStyle w:val="Compact"/>
              <w:jc w:val="left"/>
            </w:pPr>
            <w:r>
              <w:t xml:space="preserve">0.140</w:t>
            </w:r>
          </w:p>
        </w:tc>
        <w:tc>
          <w:tcPr/>
          <w:p>
            <w:pPr>
              <w:pStyle w:val="Compact"/>
              <w:jc w:val="left"/>
            </w:pPr>
            <w:r>
              <w:t xml:space="preserve">t-km</w:t>
            </w:r>
          </w:p>
        </w:tc>
        <w:tc>
          <w:tcPr/>
          <w:p>
            <w:pPr>
              <w:pStyle w:val="Compact"/>
              <w:jc w:val="left"/>
            </w:pPr>
            <w:r>
              <w:t xml:space="preserve">1.180 kg CO</w:t>
            </w:r>
            <w:r>
              <w:rPr>
                <w:vertAlign w:val="subscript"/>
              </w:rPr>
              <w:t xml:space="preserve">2</w:t>
            </w:r>
            <w:r>
              <w:t xml:space="preserve">e / t-km</w:t>
            </w:r>
          </w:p>
        </w:tc>
        <w:tc>
          <w:tcPr/>
          <w:p>
            <w:pPr>
              <w:pStyle w:val="Compact"/>
              <w:jc w:val="left"/>
            </w:pPr>
            <w:r>
              <w:t xml:space="preserve">GLEC Framework / DEFRA</w:t>
            </w:r>
          </w:p>
        </w:tc>
        <w:tc>
          <w:tcPr/>
          <w:p>
            <w:pPr>
              <w:pStyle w:val="Compact"/>
              <w:jc w:val="left"/>
            </w:pPr>
            <w:r>
              <w:t xml:space="preserve">0.165</w:t>
            </w:r>
          </w:p>
        </w:tc>
      </w:tr>
      <w:tr>
        <w:tc>
          <w:tcPr/>
          <w:p>
            <w:pPr>
              <w:pStyle w:val="Compact"/>
              <w:jc w:val="left"/>
            </w:pPr>
            <w:r>
              <w:rPr>
                <w:bCs/>
                <w:b/>
              </w:rPr>
              <w:t xml:space="preserve">Scope 3 Cat 3:</w:t>
            </w:r>
            <w:r>
              <w:t xml:space="preserve"> </w:t>
            </w:r>
            <w:r>
              <w:t xml:space="preserve">Fuel- &amp; Energy-Related Activities</w:t>
            </w:r>
          </w:p>
        </w:tc>
        <w:tc>
          <w:tcPr/>
          <w:p>
            <w:pPr>
              <w:pStyle w:val="Compact"/>
              <w:jc w:val="left"/>
            </w:pPr>
            <w:r>
              <w:t xml:space="preserve">3.480</w:t>
            </w:r>
          </w:p>
        </w:tc>
        <w:tc>
          <w:tcPr/>
          <w:p>
            <w:pPr>
              <w:pStyle w:val="Compact"/>
              <w:jc w:val="left"/>
            </w:pPr>
            <w:r>
              <w:t xml:space="preserve">kWh</w:t>
            </w:r>
          </w:p>
        </w:tc>
        <w:tc>
          <w:tcPr/>
          <w:p>
            <w:pPr>
              <w:pStyle w:val="Compact"/>
              <w:jc w:val="left"/>
            </w:pPr>
            <w:r>
              <w:t xml:space="preserve">0.048 kg CO</w:t>
            </w:r>
            <w:r>
              <w:rPr>
                <w:vertAlign w:val="subscript"/>
              </w:rPr>
              <w:t xml:space="preserve">2</w:t>
            </w:r>
            <w:r>
              <w:t xml:space="preserve">e / kWh</w:t>
            </w:r>
          </w:p>
        </w:tc>
        <w:tc>
          <w:tcPr/>
          <w:p>
            <w:pPr>
              <w:pStyle w:val="Compact"/>
              <w:jc w:val="left"/>
            </w:pPr>
            <w:r>
              <w:t xml:space="preserve">DEFRA 2025 WTT Grid Elect.</w:t>
            </w:r>
          </w:p>
        </w:tc>
        <w:tc>
          <w:tcPr/>
          <w:p>
            <w:pPr>
              <w:pStyle w:val="Compact"/>
              <w:jc w:val="left"/>
            </w:pPr>
            <w:r>
              <w:t xml:space="preserve">0.167</w:t>
            </w:r>
          </w:p>
        </w:tc>
      </w:tr>
      <w:tr>
        <w:tc>
          <w:tcPr/>
          <w:p>
            <w:pPr>
              <w:pStyle w:val="Compact"/>
              <w:jc w:val="left"/>
            </w:pPr>
            <w:r>
              <w:rPr>
                <w:bCs/>
                <w:b/>
              </w:rPr>
              <w:t xml:space="preserve">Scope 3 Cat 2:</w:t>
            </w:r>
            <w:r>
              <w:t xml:space="preserve"> </w:t>
            </w:r>
            <w:r>
              <w:t xml:space="preserve">Capital Goods (Depreciation share)</w:t>
            </w:r>
          </w:p>
        </w:tc>
        <w:tc>
          <w:tcPr/>
          <w:p>
            <w:pPr>
              <w:pStyle w:val="Compact"/>
              <w:jc w:val="left"/>
            </w:pPr>
            <w:r>
              <w:t xml:space="preserve">1.000</w:t>
            </w:r>
          </w:p>
        </w:tc>
        <w:tc>
          <w:tcPr/>
          <w:p>
            <w:pPr>
              <w:pStyle w:val="Compact"/>
              <w:jc w:val="left"/>
            </w:pPr>
            <w:r>
              <w:t xml:space="preserve">unit</w:t>
            </w:r>
          </w:p>
        </w:tc>
        <w:tc>
          <w:tcPr/>
          <w:p>
            <w:pPr>
              <w:pStyle w:val="Compact"/>
              <w:jc w:val="left"/>
            </w:pPr>
            <w:r>
              <w:t xml:space="preserve">0.240 kg CO</w:t>
            </w:r>
            <w:r>
              <w:rPr>
                <w:vertAlign w:val="subscript"/>
              </w:rPr>
              <w:t xml:space="preserve">2</w:t>
            </w:r>
            <w:r>
              <w:t xml:space="preserve">e / unit</w:t>
            </w:r>
          </w:p>
        </w:tc>
        <w:tc>
          <w:tcPr/>
          <w:p>
            <w:pPr>
              <w:pStyle w:val="Compact"/>
              <w:jc w:val="left"/>
            </w:pPr>
            <w:r>
              <w:t xml:space="preserve">Facility Economic Allocation</w:t>
            </w:r>
          </w:p>
        </w:tc>
        <w:tc>
          <w:tcPr/>
          <w:p>
            <w:pPr>
              <w:pStyle w:val="Compact"/>
              <w:jc w:val="left"/>
            </w:pPr>
            <w:r>
              <w:t xml:space="preserve">0.240</w:t>
            </w:r>
          </w:p>
        </w:tc>
      </w:tr>
      <w:tr>
        <w:tc>
          <w:tcPr>
            <w:gridSpan w:val="5"/>
          </w:tcPr>
          <w:p>
            <w:pPr>
              <w:pStyle w:val="Compact"/>
              <w:jc w:val="left"/>
            </w:pPr>
            <w:r>
              <w:t xml:space="preserve">Total Scope 3 Upstream Emissions</w:t>
            </w:r>
          </w:p>
        </w:tc>
        <w:tc>
          <w:tcPr/>
          <w:p>
            <w:pPr>
              <w:pStyle w:val="Compact"/>
              <w:jc w:val="left"/>
            </w:pPr>
            <w:r>
              <w:t xml:space="preserve">24.139</w:t>
            </w:r>
          </w:p>
        </w:tc>
      </w:tr>
    </w:tbl>
    <w:bookmarkEnd w:id="30"/>
    <w:bookmarkStart w:id="31" w:name="X2df26fa0ff260c3be2e1137092a29c8b319a7cb"/>
    <w:p>
      <w:pPr>
        <w:pStyle w:val="Heading3"/>
      </w:pPr>
      <w:r>
        <w:t xml:space="preserve">4.4 2026 Land Sector and Removals (LSR) Standard Accounting</w:t>
      </w:r>
    </w:p>
    <w:p>
      <w:pPr>
        <w:pStyle w:val="FirstParagraph"/>
      </w:pPr>
      <w:r>
        <w:t xml:space="preserve">In accordance with the</w:t>
      </w:r>
      <w:r>
        <w:t xml:space="preserve"> </w:t>
      </w:r>
      <w:r>
        <w:rPr>
          <w:bCs/>
          <w:b/>
        </w:rPr>
        <w:t xml:space="preserve">GHG Protocol 2026 Land Sector and Removals (LSR) Standard</w:t>
      </w:r>
      <w:r>
        <w:t xml:space="preserve">, biogenic emissions and carbon removals must be calculated, reported, and tracked in a distinct account separate from fossil emissions. Packaging materials (virgin and recycled cellulosic fibers) were evaluated for biogenic carbon storage and land management impact.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LSR Inventory Stream</w:t>
            </w:r>
          </w:p>
        </w:tc>
        <w:tc>
          <w:tcPr/>
          <w:p>
            <w:pPr>
              <w:pStyle w:val="Compact"/>
              <w:jc w:val="left"/>
            </w:pPr>
            <w:r>
              <w:t xml:space="preserve">Physical Mass</w:t>
            </w:r>
          </w:p>
        </w:tc>
        <w:tc>
          <w:tcPr/>
          <w:p>
            <w:pPr>
              <w:pStyle w:val="Compact"/>
              <w:jc w:val="left"/>
            </w:pPr>
            <w:r>
              <w:t xml:space="preserve">Biogenic Carbon Content</w:t>
            </w:r>
          </w:p>
        </w:tc>
        <w:tc>
          <w:tcPr/>
          <w:p>
            <w:pPr>
              <w:pStyle w:val="Compact"/>
              <w:jc w:val="left"/>
            </w:pPr>
            <w:r>
              <w:t xml:space="preserve">Accounting Treatment</w:t>
            </w:r>
          </w:p>
        </w:tc>
        <w:tc>
          <w:tcPr/>
          <w:p>
            <w:pPr>
              <w:pStyle w:val="Compact"/>
              <w:jc w:val="left"/>
            </w:pPr>
            <w:r>
              <w:t xml:space="preserve">Net Impact (kg CO</w:t>
            </w:r>
            <w:r>
              <w:rPr>
                <w:vertAlign w:val="subscript"/>
              </w:rPr>
              <w:t xml:space="preserve">2</w:t>
            </w:r>
            <w:r>
              <w:t xml:space="preserve">e)</w:t>
            </w:r>
          </w:p>
        </w:tc>
      </w:tr>
      <w:tr>
        <w:tc>
          <w:tcPr/>
          <w:p>
            <w:pPr>
              <w:pStyle w:val="Compact"/>
              <w:jc w:val="left"/>
            </w:pPr>
            <w:r>
              <w:rPr>
                <w:bCs/>
                <w:b/>
              </w:rPr>
              <w:t xml:space="preserve">Biogenic Carbon Removals:</w:t>
            </w:r>
            <w:r>
              <w:t xml:space="preserve"> </w:t>
            </w:r>
            <w:r>
              <w:t xml:space="preserve">Forest Biomass Storage in Kraft Box &amp; Molded Pulp</w:t>
            </w:r>
          </w:p>
        </w:tc>
        <w:tc>
          <w:tcPr/>
          <w:p>
            <w:pPr>
              <w:pStyle w:val="Compact"/>
              <w:jc w:val="left"/>
            </w:pPr>
            <w:r>
              <w:t xml:space="preserve">0.420 kg fibers</w:t>
            </w:r>
          </w:p>
        </w:tc>
        <w:tc>
          <w:tcPr/>
          <w:p>
            <w:pPr>
              <w:pStyle w:val="Compact"/>
              <w:jc w:val="left"/>
            </w:pPr>
            <w:r>
              <w:t xml:space="preserve">0.48 kg C / kg dry matter</w:t>
            </w:r>
          </w:p>
        </w:tc>
        <w:tc>
          <w:tcPr/>
          <w:p>
            <w:pPr>
              <w:pStyle w:val="Compact"/>
              <w:jc w:val="left"/>
            </w:pPr>
            <w:r>
              <w:t xml:space="preserve">Reported in separate LSR Removals ledger (Cradle-to-gate sequestered carbon stored in board)</w:t>
            </w:r>
          </w:p>
        </w:tc>
        <w:tc>
          <w:tcPr/>
          <w:p>
            <w:pPr>
              <w:pStyle w:val="Compact"/>
              <w:jc w:val="left"/>
            </w:pPr>
            <w:r>
              <w:t xml:space="preserve">-0.222</w:t>
            </w:r>
          </w:p>
        </w:tc>
      </w:tr>
      <w:tr>
        <w:tc>
          <w:tcPr/>
          <w:p>
            <w:pPr>
              <w:pStyle w:val="Compact"/>
              <w:jc w:val="left"/>
            </w:pPr>
            <w:r>
              <w:rPr>
                <w:bCs/>
                <w:b/>
              </w:rPr>
              <w:t xml:space="preserve">Biogenic Land-Use Change (dLUC / sLUC):</w:t>
            </w:r>
            <w:r>
              <w:t xml:space="preserve"> </w:t>
            </w:r>
            <w:r>
              <w:t xml:space="preserve">Certified FSC Forest Concessions</w:t>
            </w:r>
          </w:p>
        </w:tc>
        <w:tc>
          <w:tcPr/>
          <w:p>
            <w:pPr>
              <w:pStyle w:val="Compact"/>
              <w:jc w:val="left"/>
            </w:pPr>
            <w:r>
              <w:t xml:space="preserve">0.420 kg fibers</w:t>
            </w:r>
          </w:p>
        </w:tc>
        <w:tc>
          <w:tcPr/>
          <w:p>
            <w:pPr>
              <w:pStyle w:val="Compact"/>
              <w:jc w:val="left"/>
            </w:pPr>
            <w:r>
              <w:t xml:space="preserve">Negligible (&lt;0.001)</w:t>
            </w:r>
          </w:p>
        </w:tc>
        <w:tc>
          <w:tcPr/>
          <w:p>
            <w:pPr>
              <w:pStyle w:val="Compact"/>
              <w:jc w:val="left"/>
            </w:pPr>
            <w:r>
              <w:t xml:space="preserve">Tracked zero direct LUC under audited FSC chain-of-custody</w:t>
            </w:r>
          </w:p>
        </w:tc>
        <w:tc>
          <w:tcPr/>
          <w:p>
            <w:pPr>
              <w:pStyle w:val="Compact"/>
              <w:jc w:val="left"/>
            </w:pPr>
            <w:r>
              <w:t xml:space="preserve">0.000</w:t>
            </w:r>
          </w:p>
        </w:tc>
      </w:tr>
      <w:tr>
        <w:tc>
          <w:tcPr/>
          <w:p>
            <w:pPr>
              <w:pStyle w:val="Compact"/>
              <w:jc w:val="left"/>
            </w:pPr>
            <w:r>
              <w:rPr>
                <w:bCs/>
                <w:b/>
              </w:rPr>
              <w:t xml:space="preserve">Biogenic Process Emissions:</w:t>
            </w:r>
            <w:r>
              <w:t xml:space="preserve"> </w:t>
            </w:r>
            <w:r>
              <w:t xml:space="preserve">Pulp drying bio-energy at paper mill</w:t>
            </w:r>
          </w:p>
        </w:tc>
        <w:tc>
          <w:tcPr/>
          <w:p>
            <w:pPr>
              <w:pStyle w:val="Compact"/>
              <w:jc w:val="left"/>
            </w:pPr>
            <w:r>
              <w:t xml:space="preserve">0.420 kg fibers</w:t>
            </w:r>
          </w:p>
        </w:tc>
        <w:tc>
          <w:tcPr/>
          <w:p>
            <w:pPr>
              <w:pStyle w:val="Compact"/>
              <w:jc w:val="left"/>
            </w:pPr>
            <w:r>
              <w:t xml:space="preserve">Neutral biomass loop</w:t>
            </w:r>
          </w:p>
        </w:tc>
        <w:tc>
          <w:tcPr/>
          <w:p>
            <w:pPr>
              <w:pStyle w:val="Compact"/>
              <w:jc w:val="left"/>
            </w:pPr>
            <w:r>
              <w:t xml:space="preserve">Biogenic emissions reported separately per LSR standard</w:t>
            </w:r>
          </w:p>
        </w:tc>
        <w:tc>
          <w:tcPr/>
          <w:p>
            <w:pPr>
              <w:pStyle w:val="Compact"/>
              <w:jc w:val="left"/>
            </w:pPr>
            <w:r>
              <w:t xml:space="preserve">0.014</w:t>
            </w:r>
          </w:p>
        </w:tc>
      </w:tr>
      <w:tr>
        <w:tc>
          <w:tcPr>
            <w:gridSpan w:val="4"/>
          </w:tcPr>
          <w:p>
            <w:pPr>
              <w:pStyle w:val="Compact"/>
              <w:jc w:val="left"/>
            </w:pPr>
            <w:r>
              <w:t xml:space="preserve">Net Cradle-to-Gate Biogenic Carbon Balance (LSR Account)</w:t>
            </w:r>
          </w:p>
        </w:tc>
        <w:tc>
          <w:tcPr/>
          <w:p>
            <w:pPr>
              <w:pStyle w:val="Compact"/>
              <w:jc w:val="left"/>
            </w:pPr>
            <w:r>
              <w:t xml:space="preserve">-0.208</w:t>
            </w:r>
          </w:p>
        </w:tc>
      </w:tr>
    </w:tbl>
    <w:p>
      <w:pPr>
        <w:pStyle w:val="BodyText"/>
      </w:pPr>
      <w:r>
        <w:rPr>
          <w:bCs/>
          <w:b/>
        </w:rPr>
        <w:t xml:space="preserve">Consolidated GHG Protocol Footprint Summary (Per 1.0 Unit):</w:t>
      </w:r>
    </w:p>
    <w:p>
      <w:pPr>
        <w:pStyle w:val="BodyText"/>
      </w:pPr>
      <w:r>
        <w:t xml:space="preserve">•</w:t>
      </w:r>
      <w:r>
        <w:t xml:space="preserve"> </w:t>
      </w:r>
      <w:r>
        <w:rPr>
          <w:bCs/>
          <w:b/>
        </w:rPr>
        <w:t xml:space="preserve">Gross Fossil &amp; Chemical GHG Footprint:</w:t>
      </w:r>
      <w:r>
        <w:t xml:space="preserve"> </w:t>
      </w:r>
      <w:r>
        <w:rPr>
          <w:bCs/>
          <w:b/>
        </w:rPr>
        <w:t xml:space="preserve">24.87 kg CO</w:t>
      </w:r>
      <w:r>
        <w:rPr>
          <w:vertAlign w:val="subscript"/>
          <w:bCs/>
          <w:b/>
        </w:rPr>
        <w:t xml:space="preserve">2</w:t>
      </w:r>
      <w:r>
        <w:rPr>
          <w:bCs/>
          <w:b/>
        </w:rPr>
        <w:t xml:space="preserve">e</w:t>
      </w:r>
      <w:r>
        <w:br/>
      </w:r>
      <w:r>
        <w:t xml:space="preserve">•</w:t>
      </w:r>
      <w:r>
        <w:t xml:space="preserve"> </w:t>
      </w:r>
      <w:r>
        <w:rPr>
          <w:bCs/>
          <w:b/>
        </w:rPr>
        <w:t xml:space="preserve">Net Biogenic Carbon Removals (2026 LSR Ledger):</w:t>
      </w:r>
      <w:r>
        <w:t xml:space="preserve"> </w:t>
      </w:r>
      <w:r>
        <w:rPr>
          <w:bCs/>
          <w:b/>
        </w:rPr>
        <w:t xml:space="preserve">-0.21 kg CO</w:t>
      </w:r>
      <w:r>
        <w:rPr>
          <w:vertAlign w:val="subscript"/>
          <w:bCs/>
          <w:b/>
        </w:rPr>
        <w:t xml:space="preserve">2</w:t>
      </w:r>
      <w:r>
        <w:rPr>
          <w:bCs/>
          <w:b/>
        </w:rPr>
        <w:t xml:space="preserve">e</w:t>
      </w:r>
      <w:r>
        <w:br/>
      </w:r>
      <w:r>
        <w:t xml:space="preserve">•</w:t>
      </w:r>
      <w:r>
        <w:t xml:space="preserve"> </w:t>
      </w:r>
      <w:r>
        <w:rPr>
          <w:iCs/>
          <w:i/>
        </w:rPr>
        <w:t xml:space="preserve">Note:</w:t>
      </w:r>
      <w:r>
        <w:t xml:space="preserve"> </w:t>
      </w:r>
      <w:r>
        <w:t xml:space="preserve">In strict compliance with the GHG Protocol LSR Standard, removals are reported alongside gross emissions and are not bundled into a single net number for offset arbitrage.</w:t>
      </w:r>
    </w:p>
    <w:p>
      <w:r>
        <w:pict>
          <v:rect style="width:0;height:1.5pt" o:hralign="center" o:hrstd="t" o:hr="t"/>
        </w:pict>
      </w:r>
    </w:p>
    <w:bookmarkEnd w:id="31"/>
    <w:bookmarkEnd w:id="32"/>
    <w:bookmarkStart w:id="36" w:name="X0931a7f0aebbbc8ac540e357855903366bcfdfc"/>
    <w:p>
      <w:pPr>
        <w:pStyle w:val="Heading2"/>
      </w:pPr>
      <w:r>
        <w:t xml:space="preserve">5. Review &amp; Report (Hotspots, Reliability &amp; Decarbonization)</w:t>
      </w:r>
    </w:p>
    <w:bookmarkStart w:id="33" w:name="carbon-hotspot-contribution-breakdown"/>
    <w:p>
      <w:pPr>
        <w:pStyle w:val="Heading3"/>
      </w:pPr>
      <w:r>
        <w:t xml:space="preserve">5.1 Carbon Hotspot Contribution Breakdown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 / Component Group</w:t>
            </w:r>
          </w:p>
        </w:tc>
        <w:tc>
          <w:tcPr/>
          <w:p>
            <w:pPr>
              <w:pStyle w:val="Compact"/>
              <w:jc w:val="left"/>
            </w:pPr>
            <w:r>
              <w:t xml:space="preserve">Applicable Scope</w:t>
            </w:r>
          </w:p>
        </w:tc>
        <w:tc>
          <w:tcPr/>
          <w:p>
            <w:pPr>
              <w:pStyle w:val="Compact"/>
              <w:jc w:val="left"/>
            </w:pPr>
            <w:r>
              <w:t xml:space="preserve">Emissions (kg CO</w:t>
            </w:r>
            <w:r>
              <w:rPr>
                <w:vertAlign w:val="subscript"/>
              </w:rPr>
              <w:t xml:space="preserve">2</w:t>
            </w:r>
            <w:r>
              <w:t xml:space="preserve">e)</w:t>
            </w:r>
          </w:p>
        </w:tc>
        <w:tc>
          <w:tcPr/>
          <w:p>
            <w:pPr>
              <w:pStyle w:val="Compact"/>
              <w:jc w:val="left"/>
            </w:pPr>
            <w:r>
              <w:t xml:space="preserve">% of Total Footprint</w:t>
            </w:r>
          </w:p>
        </w:tc>
        <w:tc>
          <w:tcPr/>
          <w:p>
            <w:pPr>
              <w:pStyle w:val="Compact"/>
              <w:jc w:val="left"/>
            </w:pPr>
            <w:r>
              <w:t xml:space="preserve">Significance Level</w:t>
            </w:r>
          </w:p>
        </w:tc>
      </w:tr>
      <w:tr>
        <w:tc>
          <w:tcPr/>
          <w:p>
            <w:pPr>
              <w:pStyle w:val="Compact"/>
              <w:jc w:val="left"/>
            </w:pPr>
            <w:r>
              <w:t xml:space="preserve">Semiconductor Dies &amp; Active Silicon</w:t>
            </w:r>
          </w:p>
        </w:tc>
        <w:tc>
          <w:tcPr/>
          <w:p>
            <w:pPr>
              <w:pStyle w:val="Compact"/>
              <w:jc w:val="left"/>
            </w:pPr>
            <w:r>
              <w:t xml:space="preserve">Scope 3</w:t>
            </w:r>
          </w:p>
        </w:tc>
        <w:tc>
          <w:tcPr/>
          <w:p>
            <w:pPr>
              <w:pStyle w:val="Compact"/>
              <w:jc w:val="left"/>
            </w:pPr>
            <w:r>
              <w:t xml:space="preserve">11.43</w:t>
            </w:r>
          </w:p>
        </w:tc>
        <w:tc>
          <w:tcPr/>
          <w:p>
            <w:pPr>
              <w:pStyle w:val="Compact"/>
              <w:jc w:val="left"/>
            </w:pPr>
            <w:r>
              <w:t xml:space="preserve">45.96%</w:t>
            </w:r>
          </w:p>
        </w:tc>
        <w:tc>
          <w:tcPr/>
          <w:p>
            <w:pPr>
              <w:pStyle w:val="Compact"/>
              <w:jc w:val="left"/>
            </w:pPr>
            <w:r>
              <w:rPr>
                <w:bCs/>
                <w:b/>
              </w:rPr>
              <w:t xml:space="preserve">Critical Hotspot #1</w:t>
            </w:r>
          </w:p>
        </w:tc>
      </w:tr>
      <w:tr>
        <w:tc>
          <w:tcPr/>
          <w:p>
            <w:pPr>
              <w:pStyle w:val="Compact"/>
              <w:jc w:val="left"/>
            </w:pPr>
            <w:r>
              <w:t xml:space="preserve">Die-Cast Aluminum Enclosure</w:t>
            </w:r>
          </w:p>
        </w:tc>
        <w:tc>
          <w:tcPr/>
          <w:p>
            <w:pPr>
              <w:pStyle w:val="Compact"/>
              <w:jc w:val="left"/>
            </w:pPr>
            <w:r>
              <w:t xml:space="preserve">Scope 3</w:t>
            </w:r>
          </w:p>
        </w:tc>
        <w:tc>
          <w:tcPr/>
          <w:p>
            <w:pPr>
              <w:pStyle w:val="Compact"/>
              <w:jc w:val="left"/>
            </w:pPr>
            <w:r>
              <w:t xml:space="preserve">5.10</w:t>
            </w:r>
          </w:p>
        </w:tc>
        <w:tc>
          <w:tcPr/>
          <w:p>
            <w:pPr>
              <w:pStyle w:val="Compact"/>
              <w:jc w:val="left"/>
            </w:pPr>
            <w:r>
              <w:t xml:space="preserve">20.51%</w:t>
            </w:r>
          </w:p>
        </w:tc>
        <w:tc>
          <w:tcPr/>
          <w:p>
            <w:pPr>
              <w:pStyle w:val="Compact"/>
              <w:jc w:val="left"/>
            </w:pPr>
            <w:r>
              <w:rPr>
                <w:bCs/>
                <w:b/>
              </w:rPr>
              <w:t xml:space="preserve">Critical Hotspot #2</w:t>
            </w:r>
          </w:p>
        </w:tc>
      </w:tr>
      <w:tr>
        <w:tc>
          <w:tcPr/>
          <w:p>
            <w:pPr>
              <w:pStyle w:val="Compact"/>
              <w:jc w:val="left"/>
            </w:pPr>
            <w:r>
              <w:t xml:space="preserve">Bare PCB &amp; Passive Components</w:t>
            </w:r>
          </w:p>
        </w:tc>
        <w:tc>
          <w:tcPr/>
          <w:p>
            <w:pPr>
              <w:pStyle w:val="Compact"/>
              <w:jc w:val="left"/>
            </w:pPr>
            <w:r>
              <w:t xml:space="preserve">Scope 3</w:t>
            </w:r>
          </w:p>
        </w:tc>
        <w:tc>
          <w:tcPr/>
          <w:p>
            <w:pPr>
              <w:pStyle w:val="Compact"/>
              <w:jc w:val="left"/>
            </w:pPr>
            <w:r>
              <w:t xml:space="preserve">3.35</w:t>
            </w:r>
          </w:p>
        </w:tc>
        <w:tc>
          <w:tcPr/>
          <w:p>
            <w:pPr>
              <w:pStyle w:val="Compact"/>
              <w:jc w:val="left"/>
            </w:pPr>
            <w:r>
              <w:t xml:space="preserve">13.47%</w:t>
            </w:r>
          </w:p>
        </w:tc>
        <w:tc>
          <w:tcPr/>
          <w:p>
            <w:pPr>
              <w:pStyle w:val="Compact"/>
              <w:jc w:val="left"/>
            </w:pPr>
            <w:r>
              <w:t xml:space="preserve">Significant Hotspot #3</w:t>
            </w:r>
          </w:p>
        </w:tc>
      </w:tr>
      <w:tr>
        <w:tc>
          <w:tcPr/>
          <w:p>
            <w:pPr>
              <w:pStyle w:val="Compact"/>
              <w:jc w:val="left"/>
            </w:pPr>
            <w:r>
              <w:t xml:space="preserve">Assembly Facility Scope 1 &amp; Scope 2</w:t>
            </w:r>
          </w:p>
        </w:tc>
        <w:tc>
          <w:tcPr/>
          <w:p>
            <w:pPr>
              <w:pStyle w:val="Compact"/>
              <w:jc w:val="left"/>
            </w:pPr>
            <w:r>
              <w:t xml:space="preserve">Scope 1</w:t>
            </w:r>
            <w:r>
              <w:t xml:space="preserve"> </w:t>
            </w:r>
            <w:r>
              <w:t xml:space="preserve">•</w:t>
            </w:r>
            <w:r>
              <w:t xml:space="preserve"> </w:t>
            </w:r>
            <w:r>
              <w:t xml:space="preserve">Scope 2</w:t>
            </w:r>
          </w:p>
        </w:tc>
        <w:tc>
          <w:tcPr/>
          <w:p>
            <w:pPr>
              <w:pStyle w:val="Compact"/>
              <w:jc w:val="left"/>
            </w:pPr>
            <w:r>
              <w:t xml:space="preserve">0.73</w:t>
            </w:r>
          </w:p>
        </w:tc>
        <w:tc>
          <w:tcPr/>
          <w:p>
            <w:pPr>
              <w:pStyle w:val="Compact"/>
              <w:jc w:val="left"/>
            </w:pPr>
            <w:r>
              <w:t xml:space="preserve">2.94%</w:t>
            </w:r>
          </w:p>
        </w:tc>
        <w:tc>
          <w:tcPr/>
          <w:p>
            <w:pPr>
              <w:pStyle w:val="Compact"/>
              <w:jc w:val="left"/>
            </w:pPr>
            <w:r>
              <w:t xml:space="preserve">Operational Control</w:t>
            </w:r>
          </w:p>
        </w:tc>
      </w:tr>
      <w:tr>
        <w:tc>
          <w:tcPr/>
          <w:p>
            <w:pPr>
              <w:pStyle w:val="Compact"/>
              <w:jc w:val="left"/>
            </w:pPr>
            <w:r>
              <w:t xml:space="preserve">Polymers, Cables, Fasteners</w:t>
            </w:r>
          </w:p>
        </w:tc>
        <w:tc>
          <w:tcPr/>
          <w:p>
            <w:pPr>
              <w:pStyle w:val="Compact"/>
              <w:jc w:val="left"/>
            </w:pPr>
            <w:r>
              <w:t xml:space="preserve">Scope 3</w:t>
            </w:r>
          </w:p>
        </w:tc>
        <w:tc>
          <w:tcPr/>
          <w:p>
            <w:pPr>
              <w:pStyle w:val="Compact"/>
              <w:jc w:val="left"/>
            </w:pPr>
            <w:r>
              <w:t xml:space="preserve">1.70</w:t>
            </w:r>
          </w:p>
        </w:tc>
        <w:tc>
          <w:tcPr/>
          <w:p>
            <w:pPr>
              <w:pStyle w:val="Compact"/>
              <w:jc w:val="left"/>
            </w:pPr>
            <w:r>
              <w:t xml:space="preserve">6.84%</w:t>
            </w:r>
          </w:p>
        </w:tc>
        <w:tc>
          <w:tcPr/>
          <w:p>
            <w:pPr>
              <w:pStyle w:val="Compact"/>
              <w:jc w:val="left"/>
            </w:pPr>
            <w:r>
              <w:t xml:space="preserve">Moderate Impact</w:t>
            </w:r>
          </w:p>
        </w:tc>
      </w:tr>
      <w:tr>
        <w:tc>
          <w:tcPr/>
          <w:p>
            <w:pPr>
              <w:pStyle w:val="Compact"/>
              <w:jc w:val="left"/>
            </w:pPr>
            <w:r>
              <w:t xml:space="preserve">Inbound Freight &amp; Supply Chain Logistics</w:t>
            </w:r>
          </w:p>
        </w:tc>
        <w:tc>
          <w:tcPr/>
          <w:p>
            <w:pPr>
              <w:pStyle w:val="Compact"/>
              <w:jc w:val="left"/>
            </w:pPr>
            <w:r>
              <w:t xml:space="preserve">Scope 3</w:t>
            </w:r>
          </w:p>
        </w:tc>
        <w:tc>
          <w:tcPr/>
          <w:p>
            <w:pPr>
              <w:pStyle w:val="Compact"/>
              <w:jc w:val="left"/>
            </w:pPr>
            <w:r>
              <w:t xml:space="preserve">0.24</w:t>
            </w:r>
          </w:p>
        </w:tc>
        <w:tc>
          <w:tcPr/>
          <w:p>
            <w:pPr>
              <w:pStyle w:val="Compact"/>
              <w:jc w:val="left"/>
            </w:pPr>
            <w:r>
              <w:t xml:space="preserve">0.96%</w:t>
            </w:r>
          </w:p>
        </w:tc>
        <w:tc>
          <w:tcPr/>
          <w:p>
            <w:pPr>
              <w:pStyle w:val="Compact"/>
              <w:jc w:val="left"/>
            </w:pPr>
            <w:r>
              <w:t xml:space="preserve">Low Impact</w:t>
            </w:r>
          </w:p>
        </w:tc>
      </w:tr>
      <w:tr>
        <w:tc>
          <w:tcPr/>
          <w:p>
            <w:pPr>
              <w:pStyle w:val="Compact"/>
              <w:jc w:val="left"/>
            </w:pPr>
            <w:r>
              <w:t xml:space="preserve">Packaging Materials (Fossil Lifecycle)</w:t>
            </w:r>
          </w:p>
        </w:tc>
        <w:tc>
          <w:tcPr/>
          <w:p>
            <w:pPr>
              <w:pStyle w:val="Compact"/>
              <w:jc w:val="left"/>
            </w:pPr>
            <w:r>
              <w:t xml:space="preserve">Scope 3</w:t>
            </w:r>
          </w:p>
        </w:tc>
        <w:tc>
          <w:tcPr/>
          <w:p>
            <w:pPr>
              <w:pStyle w:val="Compact"/>
              <w:jc w:val="left"/>
            </w:pPr>
            <w:r>
              <w:t xml:space="preserve">0.35</w:t>
            </w:r>
          </w:p>
        </w:tc>
        <w:tc>
          <w:tcPr/>
          <w:p>
            <w:pPr>
              <w:pStyle w:val="Compact"/>
              <w:jc w:val="left"/>
            </w:pPr>
            <w:r>
              <w:t xml:space="preserve">1.41%</w:t>
            </w:r>
          </w:p>
        </w:tc>
        <w:tc>
          <w:tcPr/>
          <w:p>
            <w:pPr>
              <w:pStyle w:val="Compact"/>
              <w:jc w:val="left"/>
            </w:pPr>
            <w:r>
              <w:t xml:space="preserve">Low Impact (LSR Assessed)</w:t>
            </w:r>
          </w:p>
        </w:tc>
      </w:tr>
      <w:tr>
        <w:tc>
          <w:tcPr/>
          <w:p>
            <w:pPr>
              <w:pStyle w:val="Compact"/>
              <w:jc w:val="left"/>
            </w:pPr>
            <w:r>
              <w:t xml:space="preserve">Upstream Fuel &amp; Capital Goods (Cat 2 &amp; 3)</w:t>
            </w:r>
          </w:p>
        </w:tc>
        <w:tc>
          <w:tcPr/>
          <w:p>
            <w:pPr>
              <w:pStyle w:val="Compact"/>
              <w:jc w:val="left"/>
            </w:pPr>
            <w:r>
              <w:t xml:space="preserve">Scope 3</w:t>
            </w:r>
          </w:p>
        </w:tc>
        <w:tc>
          <w:tcPr/>
          <w:p>
            <w:pPr>
              <w:pStyle w:val="Compact"/>
              <w:jc w:val="left"/>
            </w:pPr>
            <w:r>
              <w:t xml:space="preserve">0.41</w:t>
            </w:r>
          </w:p>
        </w:tc>
        <w:tc>
          <w:tcPr/>
          <w:p>
            <w:pPr>
              <w:pStyle w:val="Compact"/>
              <w:jc w:val="left"/>
            </w:pPr>
            <w:r>
              <w:t xml:space="preserve">1.65%</w:t>
            </w:r>
          </w:p>
        </w:tc>
        <w:tc>
          <w:tcPr/>
          <w:p>
            <w:pPr>
              <w:pStyle w:val="Compact"/>
              <w:jc w:val="left"/>
            </w:pPr>
            <w:r>
              <w:t xml:space="preserve">Indirect Overhead</w:t>
            </w:r>
          </w:p>
        </w:tc>
      </w:tr>
      <w:tr>
        <w:tc>
          <w:tcPr/>
          <w:p>
            <w:pPr>
              <w:pStyle w:val="Compact"/>
              <w:jc w:val="left"/>
            </w:pPr>
            <w:r>
              <w:t xml:space="preserve">Biogenic Removals (LSR Ledger)</w:t>
            </w:r>
          </w:p>
        </w:tc>
        <w:tc>
          <w:tcPr/>
          <w:p>
            <w:pPr>
              <w:pStyle w:val="Compact"/>
              <w:jc w:val="left"/>
            </w:pPr>
            <w:r>
              <w:t xml:space="preserve">LSR 2026</w:t>
            </w:r>
          </w:p>
        </w:tc>
        <w:tc>
          <w:tcPr/>
          <w:p>
            <w:pPr>
              <w:pStyle w:val="Compact"/>
              <w:jc w:val="left"/>
            </w:pPr>
            <w:r>
              <w:t xml:space="preserve">-0.21</w:t>
            </w:r>
          </w:p>
        </w:tc>
        <w:tc>
          <w:tcPr/>
          <w:p>
            <w:pPr>
              <w:pStyle w:val="Compact"/>
              <w:jc w:val="left"/>
            </w:pPr>
            <w:r>
              <w:t xml:space="preserve">-0.84%</w:t>
            </w:r>
          </w:p>
        </w:tc>
        <w:tc>
          <w:tcPr/>
          <w:p>
            <w:pPr>
              <w:pStyle w:val="Compact"/>
              <w:jc w:val="left"/>
            </w:pPr>
            <w:r>
              <w:t xml:space="preserve">Biogenic Credit Account</w:t>
            </w:r>
          </w:p>
        </w:tc>
      </w:tr>
      <w:tr>
        <w:tc>
          <w:tcPr>
            <w:gridSpan w:val="2"/>
          </w:tcPr>
          <w:p>
            <w:pPr>
              <w:pStyle w:val="Compact"/>
              <w:jc w:val="left"/>
            </w:pPr>
            <w:r>
              <w:t xml:space="preserve">Total Analyzed Product Carbon Footprint</w:t>
            </w:r>
          </w:p>
        </w:tc>
        <w:tc>
          <w:tcPr/>
          <w:p>
            <w:pPr>
              <w:pStyle w:val="Compact"/>
              <w:jc w:val="left"/>
            </w:pPr>
            <w:r>
              <w:t xml:space="preserve">24.87</w:t>
            </w:r>
          </w:p>
        </w:tc>
        <w:tc>
          <w:tcPr/>
          <w:p>
            <w:pPr>
              <w:pStyle w:val="Compact"/>
              <w:jc w:val="left"/>
            </w:pPr>
            <w:r>
              <w:t xml:space="preserve">100.00%</w:t>
            </w:r>
          </w:p>
        </w:tc>
        <w:tc>
          <w:tcPr/>
          <w:p>
            <w:pPr>
              <w:pStyle w:val="Compact"/>
              <w:jc w:val="left"/>
            </w:pPr>
            <w:r>
              <w:t xml:space="preserve">97.8% Coverage Verified</w:t>
            </w:r>
          </w:p>
        </w:tc>
      </w:tr>
    </w:tbl>
    <w:bookmarkEnd w:id="33"/>
    <w:bookmarkStart w:id="34" w:name="sensitivity-uncertainty-analysis"/>
    <w:p>
      <w:pPr>
        <w:pStyle w:val="Heading3"/>
      </w:pPr>
      <w:r>
        <w:t xml:space="preserve">5.2 Sensitivity &amp; Uncertainty Analysis</w:t>
      </w:r>
    </w:p>
    <w:p>
      <w:pPr>
        <w:numPr>
          <w:ilvl w:val="0"/>
          <w:numId w:val="1005"/>
        </w:numPr>
        <w:pStyle w:val="Compact"/>
      </w:pPr>
      <w:r>
        <w:rPr>
          <w:bCs/>
          <w:b/>
        </w:rPr>
        <w:t xml:space="preserve">Silicon Wafer Yield &amp; Fab Energy Mix:</w:t>
      </w:r>
      <w:r>
        <w:t xml:space="preserve"> </w:t>
      </w:r>
      <w:r>
        <w:t xml:space="preserve">A ±20% sensitivity variation in wafer fab electrical carbon intensity alters the total product footprint by</w:t>
      </w:r>
      <w:r>
        <w:t xml:space="preserve"> </w:t>
      </w:r>
      <w:r>
        <w:rPr>
          <w:bCs/>
          <w:b/>
        </w:rPr>
        <w:t xml:space="preserve">±9.2% (±2.29 kg CO</w:t>
      </w:r>
      <w:r>
        <w:rPr>
          <w:vertAlign w:val="subscript"/>
          <w:bCs/>
          <w:b/>
        </w:rPr>
        <w:t xml:space="preserve">2</w:t>
      </w:r>
      <w:r>
        <w:rPr>
          <w:bCs/>
          <w:b/>
        </w:rPr>
        <w:t xml:space="preserve">e)</w:t>
      </w:r>
      <w:r>
        <w:t xml:space="preserve">, demonstrating that semiconductor foundry supplier selection is the foremost lever of total carbon performance.</w:t>
      </w:r>
    </w:p>
    <w:p>
      <w:pPr>
        <w:numPr>
          <w:ilvl w:val="0"/>
          <w:numId w:val="1005"/>
        </w:numPr>
        <w:pStyle w:val="Compact"/>
      </w:pPr>
      <w:r>
        <w:rPr>
          <w:bCs/>
          <w:b/>
        </w:rPr>
        <w:t xml:space="preserve">Recycled Aluminum Content:</w:t>
      </w:r>
      <w:r>
        <w:t xml:space="preserve"> </w:t>
      </w:r>
      <w:r>
        <w:t xml:space="preserve">Increasing the recycled fraction of the cast aluminum enclosure from 42% to 80% (low-carbon European secondary billet) yields a net reduction of</w:t>
      </w:r>
      <w:r>
        <w:t xml:space="preserve"> </w:t>
      </w:r>
      <w:r>
        <w:rPr>
          <w:bCs/>
          <w:b/>
        </w:rPr>
        <w:t xml:space="preserve">1.82 kg CO</w:t>
      </w:r>
      <w:r>
        <w:rPr>
          <w:vertAlign w:val="subscript"/>
          <w:bCs/>
          <w:b/>
        </w:rPr>
        <w:t xml:space="preserve">2</w:t>
      </w:r>
      <w:r>
        <w:rPr>
          <w:bCs/>
          <w:b/>
        </w:rPr>
        <w:t xml:space="preserve">e (-7.3% total footprint)</w:t>
      </w:r>
      <w:r>
        <w:t xml:space="preserve">.</w:t>
      </w:r>
    </w:p>
    <w:p>
      <w:pPr>
        <w:numPr>
          <w:ilvl w:val="0"/>
          <w:numId w:val="1005"/>
        </w:numPr>
        <w:pStyle w:val="Compact"/>
      </w:pPr>
      <w:r>
        <w:rPr>
          <w:bCs/>
          <w:b/>
        </w:rPr>
        <w:t xml:space="preserve">Scope 2 Market vs. Location Sensitivity:</w:t>
      </w:r>
      <w:r>
        <w:t xml:space="preserve"> </w:t>
      </w:r>
      <w:r>
        <w:t xml:space="preserve">Transitioning the Netherlands assembly plant to 100% on-site solar PV self-consumption eliminates the remaining 0.42 kg CO</w:t>
      </w:r>
      <w:r>
        <w:rPr>
          <w:vertAlign w:val="subscript"/>
        </w:rPr>
        <w:t xml:space="preserve">2</w:t>
      </w:r>
      <w:r>
        <w:t xml:space="preserve">e market-based Scope 2 emissions, delivering an operational net-zero factory gate status for assembly.</w:t>
      </w:r>
    </w:p>
    <w:bookmarkEnd w:id="34"/>
    <w:bookmarkStart w:id="35" w:name="X0682e8f32920739aa77d3c8194a46e2ee1a0b7e"/>
    <w:p>
      <w:pPr>
        <w:pStyle w:val="Heading3"/>
      </w:pPr>
      <w:r>
        <w:t xml:space="preserve">5.3 Targeted Decarbonization Action Plan (2026–2028)</w:t>
      </w:r>
    </w:p>
    <w:p>
      <w:pPr>
        <w:numPr>
          <w:ilvl w:val="0"/>
          <w:numId w:val="1006"/>
        </w:numPr>
        <w:pStyle w:val="Compact"/>
      </w:pPr>
      <w:r>
        <w:rPr>
          <w:bCs/>
          <w:b/>
        </w:rPr>
        <w:t xml:space="preserve">Tier 2 Semiconductor Engagement:</w:t>
      </w:r>
      <w:r>
        <w:t xml:space="preserve"> </w:t>
      </w:r>
      <w:r>
        <w:t xml:space="preserve">Require Tier 2 wafer foundry partners to provide Product-Specific Environmental Declarations (EPDs) with verifiable renewable energy certificates (RECs) adhering to RE100 criteria.</w:t>
      </w:r>
    </w:p>
    <w:p>
      <w:pPr>
        <w:numPr>
          <w:ilvl w:val="0"/>
          <w:numId w:val="1006"/>
        </w:numPr>
        <w:pStyle w:val="Compact"/>
      </w:pPr>
      <w:r>
        <w:rPr>
          <w:bCs/>
          <w:b/>
        </w:rPr>
        <w:t xml:space="preserve">Low-Carbon Chassis Sourcing:</w:t>
      </w:r>
      <w:r>
        <w:t xml:space="preserve"> </w:t>
      </w:r>
      <w:r>
        <w:t xml:space="preserve">Re-engineer enclosure specification to utilize post-industrial extruded aluminum certified by the Aluminium Stewardship Initiative (ASI) with a verified footprint under 4.0 kg CO</w:t>
      </w:r>
      <w:r>
        <w:rPr>
          <w:vertAlign w:val="subscript"/>
        </w:rPr>
        <w:t xml:space="preserve">2</w:t>
      </w:r>
      <w:r>
        <w:t xml:space="preserve">e/kg Al.</w:t>
      </w:r>
    </w:p>
    <w:p>
      <w:pPr>
        <w:numPr>
          <w:ilvl w:val="0"/>
          <w:numId w:val="1006"/>
        </w:numPr>
        <w:pStyle w:val="Compact"/>
      </w:pPr>
      <w:r>
        <w:rPr>
          <w:bCs/>
          <w:b/>
        </w:rPr>
        <w:t xml:space="preserve">Netherlands Facility Heat Pump Transition:</w:t>
      </w:r>
      <w:r>
        <w:t xml:space="preserve"> </w:t>
      </w:r>
      <w:r>
        <w:t xml:space="preserve">Decommission natural gas peak space heating at the Eindhoven facility in favor of industrial air-to-water heat pumps, reducing direct Scope 1 combustion emissions to zero.</w:t>
      </w:r>
    </w:p>
    <w:p>
      <w:pPr>
        <w:numPr>
          <w:ilvl w:val="0"/>
          <w:numId w:val="1006"/>
        </w:numPr>
        <w:pStyle w:val="Compact"/>
      </w:pPr>
      <w:r>
        <w:rPr>
          <w:bCs/>
          <w:b/>
        </w:rPr>
        <w:t xml:space="preserve">Biogenic Packaging Circularity:</w:t>
      </w:r>
      <w:r>
        <w:t xml:space="preserve"> </w:t>
      </w:r>
      <w:r>
        <w:t xml:space="preserve">Maintain 100% FSC-certified unbleached packaging, continuing full biogenic carbon traceability under the GHG Protocol LSR Standard.</w:t>
      </w:r>
    </w:p>
    <w:p>
      <w:pPr>
        <w:pStyle w:val="FirstParagraph"/>
      </w:pPr>
      <w:r>
        <w:t xml:space="preserve">Confidential • Prepared by Senior Sustainability Consultant for Internal and Customer Disclosure</w:t>
      </w:r>
      <w:r>
        <w:t xml:space="preserve"> </w:t>
      </w:r>
      <w:r>
        <w:t xml:space="preserve">Standard: GHG Protocol Product Standard (2026 LSR Compliant)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 Industrial IoT Edge Gateway (1.0 Unit)</dc:title>
  <dc:creator/>
  <dc:description>Comprehensive Product Carbon Footprint (PCF) report for an Industrial IoT Edge Gateway under the GHG Protocol Product Standard, cradle-to-factory gate boundary in the Netherlands.</dc:description>
  <dc:language>en</dc:language>
  <cp:keywords/>
  <dcterms:created xsi:type="dcterms:W3CDTF">2026-10-21T14:12:36Z</dcterms:created>
  <dcterms:modified xsi:type="dcterms:W3CDTF">2026-10-21T14:12:36Z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