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High-End</w:t>
      </w:r>
      <w:r>
        <w:t xml:space="preserve"> </w:t>
      </w:r>
      <w:r>
        <w:t xml:space="preserve">Smartphone</w:t>
      </w:r>
    </w:p>
    <w:p>
      <w:pPr>
        <w:pStyle w:val="FirstParagraph"/>
      </w:pPr>
      <w:r>
        <w:t xml:space="preserve">carboncalcpcf.com</w:t>
      </w:r>
    </w:p>
    <w:bookmarkStart w:id="21" w:name="product-carbon-footprint-report"/>
    <w:p>
      <w:pPr>
        <w:pStyle w:val="Heading1"/>
      </w:pPr>
      <w:r>
        <w:t xml:space="preserve">Product Carbon Footprint Report</w:t>
      </w:r>
    </w:p>
    <w:bookmarkStart w:id="20" w:name="high-end-smartphone"/>
    <w:p>
      <w:pPr>
        <w:pStyle w:val="Heading2"/>
      </w:pPr>
      <w:r>
        <w:t xml:space="preserve">High-End Smartphone</w:t>
      </w:r>
    </w:p>
    <w:p>
      <w:pPr>
        <w:pStyle w:val="FirstParagraph"/>
      </w:pPr>
      <w:r>
        <w:rPr>
          <w:bCs/>
          <w:b/>
        </w:rPr>
        <w:t xml:space="preserve">Prepared for:</w:t>
      </w:r>
      <w:r>
        <w:t xml:space="preserve"> </w:t>
      </w:r>
      <w:r>
        <w:t xml:space="preserve">[Client Name]</w:t>
      </w:r>
    </w:p>
    <w:p>
      <w:pPr>
        <w:pStyle w:val="BodyText"/>
      </w:pPr>
      <w:r>
        <w:rPr>
          <w:bCs/>
          <w:b/>
        </w:rPr>
        <w:t xml:space="preserve">Prepared by:</w:t>
      </w:r>
      <w:r>
        <w:t xml:space="preserve"> </w:t>
      </w:r>
      <w:r>
        <w:t xml:space="preserve">Senior Sustainability Consultant (Specializing in GHG Protocol)</w:t>
      </w:r>
    </w:p>
    <w:p>
      <w:pPr>
        <w:pStyle w:val="BodyText"/>
      </w:pPr>
      <w:r>
        <w:rPr>
          <w:bCs/>
          <w:b/>
        </w:rPr>
        <w:t xml:space="preserve">Generated Date:</w:t>
      </w:r>
      <w:r>
        <w:t xml:space="preserve"> </w:t>
      </w:r>
      <w:r>
        <w:t xml:space="preserve">August 18, 2026</w:t>
      </w:r>
    </w:p>
    <w:p>
      <w:pPr>
        <w:pStyle w:val="BodyText"/>
      </w:pPr>
      <w:r>
        <w:rPr>
          <w:bCs/>
          <w:b/>
        </w:rPr>
        <w:t xml:space="preserve">Protocol Data (Accounting Standard):</w:t>
      </w:r>
      <w:r>
        <w:t xml:space="preserve"> </w:t>
      </w:r>
      <w:r>
        <w:t xml:space="preserve">GHG Protocol</w:t>
      </w:r>
    </w:p>
    <w:p>
      <w:pPr>
        <w:pStyle w:val="BodyText"/>
      </w:pPr>
      <w:r>
        <w:t xml:space="preserve">Disclaimer: This report is generated based on available industry data, recognized standards, and simulated emission factors for illustrative purposes. While every effort has been made to ensure accuracy and adherence to the specified methodology, actual figures may vary based on specific product design, supply chain specifics, and real-time operational data. This report serves as a high-level analysis and guidance document.</w:t>
      </w:r>
    </w:p>
    <w:bookmarkEnd w:id="20"/>
    <w:bookmarkEnd w:id="21"/>
    <w:bookmarkStart w:id="22" w:name="X202e757a53a589a830e3c58a5a4bff6361e236d"/>
    <w:p>
      <w:pPr>
        <w:pStyle w:val="Heading1"/>
      </w:pPr>
      <w:r>
        <w:t xml:space="preserve">Product Carbon Footprint Report: High-End Smartphone</w:t>
      </w:r>
    </w:p>
    <w:p>
      <w:pPr>
        <w:pStyle w:val="FirstParagraph"/>
      </w:pPr>
      <w:r>
        <w:t xml:space="preserve">Generated Date: August 18, 2026</w:t>
      </w:r>
    </w:p>
    <w:bookmarkEnd w:id="22"/>
    <w:bookmarkStart w:id="23" w:name="executive-summary"/>
    <w:p>
      <w:pPr>
        <w:pStyle w:val="Heading2"/>
      </w:pPr>
      <w:r>
        <w:t xml:space="preserve">Executive Summary</w:t>
      </w:r>
    </w:p>
    <w:p>
      <w:pPr>
        <w:pStyle w:val="FirstParagraph"/>
      </w:pPr>
      <w:r>
        <w:t xml:space="preserve">This report presents a high-detail Product Carbon Footprint (PCF) analysis for a generic high-end smartphone, conducted in accordance with the GHG Protocol. The analysis adopts a cradle-to-grave system boundary, focusing on a global supply chain. The primary objective is to quantify the greenhouse gas (GHG) emissions associated with the smartphone\'s lifecycle, identify key emission hotspots, and provide insights for reduction strategies. The study incorporates the 2026 Land Sector and Removals (LSR) Standard where applicable and ensures robust Scope 3 reporting, targeting at least 95% coverage.</w:t>
      </w:r>
    </w:p>
    <w:p>
      <w:r>
        <w:pict>
          <v:rect style="width:0;height:1.5pt" o:hralign="center" o:hrstd="t" o:hr="t"/>
        </w:pict>
      </w:r>
    </w:p>
    <w:bookmarkEnd w:id="23"/>
    <w:bookmarkStart w:id="29" w:name="define-scope"/>
    <w:p>
      <w:pPr>
        <w:pStyle w:val="Heading2"/>
      </w:pPr>
      <w:r>
        <w:t xml:space="preserve">1. Define Scope</w:t>
      </w:r>
    </w:p>
    <w:bookmarkStart w:id="24" w:name="functional-unit"/>
    <w:p>
      <w:pPr>
        <w:pStyle w:val="Heading3"/>
      </w:pPr>
      <w:r>
        <w:t xml:space="preserve">1.1. Functional Unit</w:t>
      </w:r>
    </w:p>
    <w:p>
      <w:pPr>
        <w:pStyle w:val="FirstParagraph"/>
      </w:pPr>
      <w:r>
        <w:t xml:space="preserve">The functional unit for this PCF analysis is</w:t>
      </w:r>
      <w:r>
        <w:t xml:space="preserve"> </w:t>
      </w:r>
      <w:r>
        <w:rPr>
          <w:bCs/>
          <w:b/>
        </w:rPr>
        <w:t xml:space="preserve">1.0 high-end smartphone</w:t>
      </w:r>
      <w:r>
        <w:t xml:space="preserve">, with an assumed lifetime of 3 years. This unit provides a consistent basis for quantifying and comparing environmental impacts.</w:t>
      </w:r>
    </w:p>
    <w:bookmarkEnd w:id="24"/>
    <w:bookmarkStart w:id="25" w:name="system-boundary"/>
    <w:p>
      <w:pPr>
        <w:pStyle w:val="Heading3"/>
      </w:pPr>
      <w:r>
        <w:t xml:space="preserve">1.2. System Boundary</w:t>
      </w:r>
    </w:p>
    <w:p>
      <w:pPr>
        <w:pStyle w:val="FirstParagraph"/>
      </w:pPr>
      <w:r>
        <w:t xml:space="preserve">A "cradle-to-grave" system boundary has been applied, encompassing all significant lifecycle stages of the high-end smartphone:</w:t>
      </w:r>
    </w:p>
    <w:p>
      <w:pPr>
        <w:numPr>
          <w:ilvl w:val="0"/>
          <w:numId w:val="1001"/>
        </w:numPr>
        <w:pStyle w:val="Compact"/>
      </w:pPr>
      <w:r>
        <w:rPr>
          <w:bCs/>
          <w:b/>
        </w:rPr>
        <w:t xml:space="preserve">Raw Material Acquisition:</w:t>
      </w:r>
      <w:r>
        <w:t xml:space="preserve"> </w:t>
      </w:r>
      <w:r>
        <w:t xml:space="preserve">Extraction and processing of all virgin materials.</w:t>
      </w:r>
    </w:p>
    <w:p>
      <w:pPr>
        <w:numPr>
          <w:ilvl w:val="0"/>
          <w:numId w:val="1001"/>
        </w:numPr>
        <w:pStyle w:val="Compact"/>
      </w:pPr>
      <w:r>
        <w:rPr>
          <w:bCs/>
          <w:b/>
        </w:rPr>
        <w:t xml:space="preserve">Manufacturing:</w:t>
      </w:r>
      <w:r>
        <w:t xml:space="preserve"> </w:t>
      </w:r>
      <w:r>
        <w:t xml:space="preserve">Production of components, sub-assemblies, and final assembly of the smartphone.</w:t>
      </w:r>
    </w:p>
    <w:p>
      <w:pPr>
        <w:numPr>
          <w:ilvl w:val="0"/>
          <w:numId w:val="1001"/>
        </w:numPr>
        <w:pStyle w:val="Compact"/>
      </w:pPr>
      <w:r>
        <w:rPr>
          <w:bCs/>
          <w:b/>
        </w:rPr>
        <w:t xml:space="preserve">Distribution:</w:t>
      </w:r>
      <w:r>
        <w:t xml:space="preserve"> </w:t>
      </w:r>
      <w:r>
        <w:t xml:space="preserve">Transportation of raw materials, components, and finished products to consumers globally.</w:t>
      </w:r>
    </w:p>
    <w:p>
      <w:pPr>
        <w:numPr>
          <w:ilvl w:val="0"/>
          <w:numId w:val="1001"/>
        </w:numPr>
        <w:pStyle w:val="Compact"/>
      </w:pPr>
      <w:r>
        <w:rPr>
          <w:bCs/>
          <w:b/>
        </w:rPr>
        <w:t xml:space="preserve">Use Phase:</w:t>
      </w:r>
      <w:r>
        <w:t xml:space="preserve"> </w:t>
      </w:r>
      <w:r>
        <w:t xml:space="preserve">Energy consumption during typical daily charging by the end-user.</w:t>
      </w:r>
    </w:p>
    <w:p>
      <w:pPr>
        <w:numPr>
          <w:ilvl w:val="0"/>
          <w:numId w:val="1001"/>
        </w:numPr>
        <w:pStyle w:val="Compact"/>
      </w:pPr>
      <w:r>
        <w:rPr>
          <w:bCs/>
          <w:b/>
        </w:rPr>
        <w:t xml:space="preserve">End-of-Life (EOL) Treatment:</w:t>
      </w:r>
      <w:r>
        <w:t xml:space="preserve"> </w:t>
      </w:r>
      <w:r>
        <w:t xml:space="preserve">Disposal or recycling processes for the smartphone and its packaging at the end of its useful life.</w:t>
      </w:r>
    </w:p>
    <w:p>
      <w:pPr>
        <w:pStyle w:val="FirstParagraph"/>
      </w:pPr>
      <w:r>
        <w:t xml:space="preserve">Emissions from corporate overheads not directly attributable to the product\'s lifecycle (e.g., general administration offices not involved in production) are excluded from the product PCF but would typically be part of a corporate GHG inventory.</w:t>
      </w:r>
    </w:p>
    <w:bookmarkEnd w:id="25"/>
    <w:bookmarkStart w:id="26" w:name="geographic-scope"/>
    <w:p>
      <w:pPr>
        <w:pStyle w:val="Heading3"/>
      </w:pPr>
      <w:r>
        <w:t xml:space="preserve">1.3. Geographic Scope</w:t>
      </w:r>
    </w:p>
    <w:p>
      <w:pPr>
        <w:pStyle w:val="FirstParagraph"/>
      </w:pPr>
      <w:r>
        <w:t xml:space="preserve">The geographic scope for the final production country is unknown, representing a typical global electronics supply chain. The supply chain focus is explicitly global, acknowledging the international nature of sourcing, manufacturing, and distribution for high-end smartphones.</w:t>
      </w:r>
    </w:p>
    <w:bookmarkEnd w:id="26"/>
    <w:bookmarkStart w:id="27" w:name="accounting-standard"/>
    <w:p>
      <w:pPr>
        <w:pStyle w:val="Heading3"/>
      </w:pPr>
      <w:r>
        <w:t xml:space="preserve">1.4. Accounting Standard</w:t>
      </w:r>
    </w:p>
    <w:p>
      <w:pPr>
        <w:pStyle w:val="FirstParagraph"/>
      </w:pPr>
      <w:r>
        <w:t xml:space="preserve">This Product Carbon Footprint analysis strictly adheres to the</w:t>
      </w:r>
      <w:r>
        <w:t xml:space="preserve"> </w:t>
      </w:r>
      <w:r>
        <w:rPr>
          <w:bCs/>
          <w:b/>
        </w:rPr>
        <w:t xml:space="preserve">GHG Protocol Product Standard (A Life Cycle Approach to Assessing Greenhouse Gas Emissions)</w:t>
      </w:r>
      <w:r>
        <w:t xml:space="preserve">. Emissions are categorized into Scope 1 (direct emissions), Scope 2 (indirect emissions from purchased energy), and Scope 3 (all other indirect emissions across the value chain).</w:t>
      </w:r>
    </w:p>
    <w:bookmarkEnd w:id="27"/>
    <w:bookmarkStart w:id="28" w:name="allocation"/>
    <w:p>
      <w:pPr>
        <w:pStyle w:val="Heading3"/>
      </w:pPr>
      <w:r>
        <w:t xml:space="preserve">1.5. Allocation</w:t>
      </w:r>
    </w:p>
    <w:p>
      <w:pPr>
        <w:pStyle w:val="FirstParagraph"/>
      </w:pPr>
      <w:r>
        <w:t xml:space="preserve">Given the single product focus (high-end smartphone), allocation procedures primarily address co-products within upstream material production. Mass-based allocation is generally applied where co-production occurs, ensuring that the environmental burden is proportionally assigned to the smartphone\'s specific material inputs. Recycled content is treated using the "recycled content" approach, where emissions are only accounted for from the point of collection and processing of recycled material, not from the virgin material production of the recycled input.</w:t>
      </w:r>
    </w:p>
    <w:p>
      <w:r>
        <w:pict>
          <v:rect style="width:0;height:1.5pt" o:hralign="center" o:hrstd="t" o:hr="t"/>
        </w:pict>
      </w:r>
    </w:p>
    <w:bookmarkEnd w:id="28"/>
    <w:bookmarkEnd w:id="29"/>
    <w:bookmarkStart w:id="37" w:name="map-lifecycle-3.-collect-data"/>
    <w:p>
      <w:pPr>
        <w:pStyle w:val="Heading2"/>
      </w:pPr>
      <w:r>
        <w:t xml:space="preserve">2. Map Lifecycle &amp; 3. Collect Data</w:t>
      </w:r>
    </w:p>
    <w:p>
      <w:pPr>
        <w:pStyle w:val="FirstParagraph"/>
      </w:pPr>
      <w:r>
        <w:t xml:space="preserve">The lifecycle mapping identifies key stages and processes, followed by the collection of primary and secondary data. For this illustrative report, industry-average secondary data points, informed by sources like Ecoinvent and DEFRA, have been simulated to represent a typical high-end smartphone.</w:t>
      </w:r>
    </w:p>
    <w:bookmarkStart w:id="30" w:name="material-inputs"/>
    <w:p>
      <w:pPr>
        <w:pStyle w:val="Heading3"/>
      </w:pPr>
      <w:r>
        <w:t xml:space="preserve">2.1. Material Inputs</w:t>
      </w:r>
    </w:p>
    <w:p>
      <w:pPr>
        <w:pStyle w:val="FirstParagraph"/>
      </w:pPr>
      <w:r>
        <w:t xml:space="preserve">High-end smartphones are complex devices comprising numerous materials. The approximate material composition by weight is given below, based on industry averages for similar devices.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Material Category</w:t>
            </w:r>
          </w:p>
        </w:tc>
        <w:tc>
          <w:tcPr/>
          <w:p>
            <w:pPr>
              <w:pStyle w:val="Compact"/>
              <w:jc w:val="left"/>
            </w:pPr>
            <w:r>
              <w:t xml:space="preserve">Typical Components</w:t>
            </w:r>
          </w:p>
        </w:tc>
        <w:tc>
          <w:tcPr/>
          <w:p>
            <w:pPr>
              <w:pStyle w:val="Compact"/>
              <w:jc w:val="left"/>
            </w:pPr>
            <w:r>
              <w:t xml:space="preserve">Approx. Weight Percentage (%)</w:t>
            </w:r>
          </w:p>
        </w:tc>
        <w:tc>
          <w:tcPr/>
          <w:p>
            <w:pPr>
              <w:pStyle w:val="Compact"/>
              <w:jc w:val="left"/>
            </w:pPr>
            <w:r>
              <w:t xml:space="preserve">Notes</w:t>
            </w:r>
          </w:p>
        </w:tc>
      </w:tr>
      <w:tr>
        <w:tc>
          <w:tcPr/>
          <w:p>
            <w:pPr>
              <w:pStyle w:val="Compact"/>
              <w:jc w:val="left"/>
            </w:pPr>
            <w:r>
              <w:t xml:space="preserve">Plastics</w:t>
            </w:r>
          </w:p>
        </w:tc>
        <w:tc>
          <w:tcPr/>
          <w:p>
            <w:pPr>
              <w:pStyle w:val="Compact"/>
              <w:jc w:val="left"/>
            </w:pPr>
            <w:r>
              <w:t xml:space="preserve">Casing, internal frames, circuit board components, insulation</w:t>
            </w:r>
          </w:p>
        </w:tc>
        <w:tc>
          <w:tcPr/>
          <w:p>
            <w:pPr>
              <w:pStyle w:val="Compact"/>
              <w:jc w:val="left"/>
            </w:pPr>
            <w:r>
              <w:t xml:space="preserve">40%</w:t>
            </w:r>
          </w:p>
        </w:tc>
        <w:tc>
          <w:tcPr/>
          <w:p>
            <w:pPr>
              <w:pStyle w:val="Compact"/>
              <w:jc w:val="left"/>
            </w:pPr>
            <w:r>
              <w:t xml:space="preserve">Polycarbonate, ABS, PET. Includes composite materials</w:t>
            </w:r>
          </w:p>
        </w:tc>
      </w:tr>
      <w:tr>
        <w:tc>
          <w:tcPr/>
          <w:p>
            <w:pPr>
              <w:pStyle w:val="Compact"/>
              <w:jc w:val="left"/>
            </w:pPr>
            <w:r>
              <w:t xml:space="preserve">Metals (Non-Precious)</w:t>
            </w:r>
          </w:p>
        </w:tc>
        <w:tc>
          <w:tcPr/>
          <w:p>
            <w:pPr>
              <w:pStyle w:val="Compact"/>
              <w:jc w:val="left"/>
            </w:pPr>
            <w:r>
              <w:t xml:space="preserve">Aluminum (frame, casing), Iron/Steel (internal structures, screws), Magnesium alloys</w:t>
            </w:r>
          </w:p>
        </w:tc>
        <w:tc>
          <w:tcPr/>
          <w:p>
            <w:pPr>
              <w:pStyle w:val="Compact"/>
              <w:jc w:val="left"/>
            </w:pPr>
            <w:r>
              <w:t xml:space="preserve">25%</w:t>
            </w:r>
          </w:p>
        </w:tc>
        <w:tc>
          <w:tcPr/>
          <w:p>
            <w:pPr>
              <w:pStyle w:val="Compact"/>
              <w:jc w:val="left"/>
            </w:pPr>
            <w:r>
              <w:t xml:space="preserve">Aluminum is a significant component. Magnesium-lithium alloys for lightweighting are emerging.</w:t>
            </w:r>
          </w:p>
        </w:tc>
      </w:tr>
      <w:tr>
        <w:tc>
          <w:tcPr/>
          <w:p>
            <w:pPr>
              <w:pStyle w:val="Compact"/>
              <w:jc w:val="left"/>
            </w:pPr>
            <w:r>
              <w:t xml:space="preserve">Metals (Precious &amp; Critical)</w:t>
            </w:r>
          </w:p>
        </w:tc>
        <w:tc>
          <w:tcPr/>
          <w:p>
            <w:pPr>
              <w:pStyle w:val="Compact"/>
              <w:jc w:val="left"/>
            </w:pPr>
            <w:r>
              <w:t xml:space="preserve">Copper (wiring, PCBs), Gold (connectors), Silver, Palladium, Cobalt (battery), Lithium (battery), Tin (solder), Rare Earth Elements (displays, vibration motors, speakers)</w:t>
            </w:r>
          </w:p>
        </w:tc>
        <w:tc>
          <w:tcPr/>
          <w:p>
            <w:pPr>
              <w:pStyle w:val="Compact"/>
              <w:jc w:val="left"/>
            </w:pPr>
            <w:r>
              <w:t xml:space="preserve">10%</w:t>
            </w:r>
          </w:p>
        </w:tc>
        <w:tc>
          <w:tcPr/>
          <w:p>
            <w:pPr>
              <w:pStyle w:val="Compact"/>
              <w:jc w:val="left"/>
            </w:pPr>
            <w:r>
              <w:t xml:space="preserve">Highly energy-intensive extraction and refining processes.</w:t>
            </w:r>
          </w:p>
        </w:tc>
      </w:tr>
      <w:tr>
        <w:tc>
          <w:tcPr/>
          <w:p>
            <w:pPr>
              <w:pStyle w:val="Compact"/>
              <w:jc w:val="left"/>
            </w:pPr>
            <w:r>
              <w:t xml:space="preserve">Glass/Ceramics</w:t>
            </w:r>
          </w:p>
        </w:tc>
        <w:tc>
          <w:tcPr/>
          <w:p>
            <w:pPr>
              <w:pStyle w:val="Compact"/>
              <w:jc w:val="left"/>
            </w:pPr>
            <w:r>
              <w:t xml:space="preserve">Display screen, camera lenses, back panel</w:t>
            </w:r>
          </w:p>
        </w:tc>
        <w:tc>
          <w:tcPr/>
          <w:p>
            <w:pPr>
              <w:pStyle w:val="Compact"/>
              <w:jc w:val="left"/>
            </w:pPr>
            <w:r>
              <w:t xml:space="preserve">20%</w:t>
            </w:r>
          </w:p>
        </w:tc>
        <w:tc>
          <w:tcPr/>
          <w:p>
            <w:pPr>
              <w:pStyle w:val="Compact"/>
              <w:jc w:val="left"/>
            </w:pPr>
            <w:r>
              <w:t xml:space="preserve">Aluminosilicate glass for durability.</w:t>
            </w:r>
          </w:p>
        </w:tc>
      </w:tr>
      <w:tr>
        <w:tc>
          <w:tcPr/>
          <w:p>
            <w:pPr>
              <w:pStyle w:val="Compact"/>
              <w:jc w:val="left"/>
            </w:pPr>
            <w:r>
              <w:t xml:space="preserve">Silicon</w:t>
            </w:r>
          </w:p>
        </w:tc>
        <w:tc>
          <w:tcPr/>
          <w:p>
            <w:pPr>
              <w:pStyle w:val="Compact"/>
              <w:jc w:val="left"/>
            </w:pPr>
            <w:r>
              <w:t xml:space="preserve">Semiconductors (chips, processors), other electronic components</w:t>
            </w:r>
          </w:p>
        </w:tc>
        <w:tc>
          <w:tcPr/>
          <w:p>
            <w:pPr>
              <w:pStyle w:val="Compact"/>
              <w:jc w:val="left"/>
            </w:pPr>
            <w:r>
              <w:t xml:space="preserve">5%</w:t>
            </w:r>
          </w:p>
        </w:tc>
        <w:tc>
          <w:tcPr/>
          <w:p>
            <w:pPr>
              <w:pStyle w:val="Compact"/>
              <w:jc w:val="left"/>
            </w:pPr>
            <w:r>
              <w:t xml:space="preserve">High purity silicon production is energy-intensive.</w:t>
            </w:r>
          </w:p>
        </w:tc>
      </w:tr>
    </w:tbl>
    <w:bookmarkEnd w:id="30"/>
    <w:bookmarkStart w:id="33" w:name="energy-inputs-manufacturing-use-phase"/>
    <w:p>
      <w:pPr>
        <w:pStyle w:val="Heading3"/>
      </w:pPr>
      <w:r>
        <w:t xml:space="preserve">2.2. Energy Inputs (Manufacturing &amp; Use Phase)</w:t>
      </w:r>
    </w:p>
    <w:bookmarkStart w:id="31" w:name="manufacturing-energy"/>
    <w:p>
      <w:pPr>
        <w:pStyle w:val="Heading4"/>
      </w:pPr>
      <w:r>
        <w:t xml:space="preserve">2.2.1. Manufacturing Energy</w:t>
      </w:r>
    </w:p>
    <w:p>
      <w:pPr>
        <w:pStyle w:val="FirstParagraph"/>
      </w:pPr>
      <w:r>
        <w:t xml:space="preserve">The manufacturing phase, including raw material extraction, component production, and final assembly, is highly energy-intensive. It is estimated that producing a single smartphone requires approximately 85 kWh of energy. This energy is primarily electricity, much of which still comes from fossil fuel-based grids, particularly in regions with high manufacturing concentrations. Key energy-intensive processes include:</w:t>
      </w:r>
    </w:p>
    <w:p>
      <w:pPr>
        <w:numPr>
          <w:ilvl w:val="0"/>
          <w:numId w:val="1002"/>
        </w:numPr>
        <w:pStyle w:val="Compact"/>
      </w:pPr>
      <w:r>
        <w:t xml:space="preserve">Mining and refining of metals (e.g., aluminum, copper, rare earth elements).</w:t>
      </w:r>
    </w:p>
    <w:p>
      <w:pPr>
        <w:numPr>
          <w:ilvl w:val="0"/>
          <w:numId w:val="1002"/>
        </w:numPr>
        <w:pStyle w:val="Compact"/>
      </w:pPr>
      <w:r>
        <w:t xml:space="preserve">Production of semiconductors, involving high-temperature processes and cleanroom environments.</w:t>
      </w:r>
    </w:p>
    <w:p>
      <w:pPr>
        <w:numPr>
          <w:ilvl w:val="0"/>
          <w:numId w:val="1002"/>
        </w:numPr>
        <w:pStyle w:val="Compact"/>
      </w:pPr>
      <w:r>
        <w:t xml:space="preserve">Battery manufacturing (lithium extraction and cell production).</w:t>
      </w:r>
    </w:p>
    <w:p>
      <w:pPr>
        <w:numPr>
          <w:ilvl w:val="0"/>
          <w:numId w:val="1002"/>
        </w:numPr>
        <w:pStyle w:val="Compact"/>
      </w:pPr>
      <w:r>
        <w:t xml:space="preserve">Assembly and testing in factories.</w:t>
      </w:r>
    </w:p>
    <w:bookmarkEnd w:id="31"/>
    <w:bookmarkStart w:id="32" w:name="use-phase-energy"/>
    <w:p>
      <w:pPr>
        <w:pStyle w:val="Heading4"/>
      </w:pPr>
      <w:r>
        <w:t xml:space="preserve">2.2.2. Use Phase Energy</w:t>
      </w:r>
    </w:p>
    <w:p>
      <w:pPr>
        <w:pStyle w:val="FirstParagraph"/>
      </w:pPr>
      <w:r>
        <w:t xml:space="preserve">The use phase primarily involves electricity consumed for daily charging of the device\'s battery. A typical high-end smartphone consumes approximately 3-4 kWh of electricity per year for charging. Over an assumed 3-year lifespan, this amounts to 9-12 kWh. The carbon intensity of this energy depends heavily on the regional electricity mix where the phone is charged.</w:t>
      </w:r>
    </w:p>
    <w:p>
      <w:pPr>
        <w:pStyle w:val="BodyText"/>
      </w:pPr>
      <w:r>
        <w:t xml:space="preserve">While the direct charging energy is accounted for in the product PCF, it is important to acknowledge that the broader energy consumption associated with smartphone usage includes significant energy for data transfer, network infrastructure, and data centers. Some estimates indicate total energy consumption including data transfer can be around 31.3 kWh per year, and up to 361 kWh per year when considering data centers.</w:t>
      </w:r>
    </w:p>
    <w:bookmarkEnd w:id="32"/>
    <w:bookmarkEnd w:id="33"/>
    <w:bookmarkStart w:id="34" w:name="transportation"/>
    <w:p>
      <w:pPr>
        <w:pStyle w:val="Heading3"/>
      </w:pPr>
      <w:r>
        <w:t xml:space="preserve">2.3. Transportation</w:t>
      </w:r>
    </w:p>
    <w:p>
      <w:pPr>
        <w:pStyle w:val="FirstParagraph"/>
      </w:pPr>
      <w:r>
        <w:t xml:space="preserve">Transportation occurs at multiple stages throughout the supply chain:</w:t>
      </w:r>
    </w:p>
    <w:p>
      <w:pPr>
        <w:numPr>
          <w:ilvl w:val="0"/>
          <w:numId w:val="1003"/>
        </w:numPr>
        <w:pStyle w:val="Compact"/>
      </w:pPr>
      <w:r>
        <w:rPr>
          <w:bCs/>
          <w:b/>
        </w:rPr>
        <w:t xml:space="preserve">Raw Materials:</w:t>
      </w:r>
      <w:r>
        <w:t xml:space="preserve"> </w:t>
      </w:r>
      <w:r>
        <w:t xml:space="preserve">From mines to processing facilities.</w:t>
      </w:r>
    </w:p>
    <w:p>
      <w:pPr>
        <w:numPr>
          <w:ilvl w:val="0"/>
          <w:numId w:val="1003"/>
        </w:numPr>
        <w:pStyle w:val="Compact"/>
      </w:pPr>
      <w:r>
        <w:rPr>
          <w:bCs/>
          <w:b/>
        </w:rPr>
        <w:t xml:space="preserve">Components:</w:t>
      </w:r>
      <w:r>
        <w:t xml:space="preserve"> </w:t>
      </w:r>
      <w:r>
        <w:t xml:space="preserve">From component manufacturers (e.g., screen, battery, camera) to assembly plants.</w:t>
      </w:r>
    </w:p>
    <w:p>
      <w:pPr>
        <w:numPr>
          <w:ilvl w:val="0"/>
          <w:numId w:val="1003"/>
        </w:numPr>
        <w:pStyle w:val="Compact"/>
      </w:pPr>
      <w:r>
        <w:rPr>
          <w:bCs/>
          <w:b/>
        </w:rPr>
        <w:t xml:space="preserve">Finished Products:</w:t>
      </w:r>
      <w:r>
        <w:t xml:space="preserve"> </w:t>
      </w:r>
      <w:r>
        <w:t xml:space="preserve">From final assembly plants to distribution centers and ultimately to retailers/consumers worldwide.</w:t>
      </w:r>
    </w:p>
    <w:p>
      <w:pPr>
        <w:pStyle w:val="FirstParagraph"/>
      </w:pPr>
      <w:r>
        <w:t xml:space="preserve">Modes of transport typically include ocean freight (for bulk materials and components), air freight (for critical, high-value, or time-sensitive components/products), and road/rail (for regional distribution). Air freight has a significantly higher emission intensity than sea or road transport.</w:t>
      </w:r>
    </w:p>
    <w:bookmarkEnd w:id="34"/>
    <w:bookmarkStart w:id="35" w:name="packaging"/>
    <w:p>
      <w:pPr>
        <w:pStyle w:val="Heading3"/>
      </w:pPr>
      <w:r>
        <w:t xml:space="preserve">2.4. Packaging</w:t>
      </w:r>
    </w:p>
    <w:p>
      <w:pPr>
        <w:pStyle w:val="FirstParagraph"/>
      </w:pPr>
      <w:r>
        <w:t xml:space="preserve">Packaging typically consists of cardboard, paper, and minimal plastics. While contributing a smaller portion to the overall footprint, it is included in the EOL calculations.</w:t>
      </w:r>
    </w:p>
    <w:bookmarkEnd w:id="35"/>
    <w:bookmarkStart w:id="36" w:name="end-of-life-eol"/>
    <w:p>
      <w:pPr>
        <w:pStyle w:val="Heading3"/>
      </w:pPr>
      <w:r>
        <w:t xml:space="preserve">2.5. End-of-Life (EOL)</w:t>
      </w:r>
    </w:p>
    <w:p>
      <w:pPr>
        <w:pStyle w:val="FirstParagraph"/>
      </w:pPr>
      <w:r>
        <w:t xml:space="preserve">The end-of-life stage accounts for emissions from disposal, recycling, or refurbishment. The recycling rate for smartphones remains low, with only 15-22% of devices being properly recycled, while the majority end up in landfills, drawers, or incinerators. Up to 80% of a phone is recyclable, highlighting a significant opportunity for improvement.</w:t>
      </w:r>
    </w:p>
    <w:p>
      <w:r>
        <w:pict>
          <v:rect style="width:0;height:1.5pt" o:hralign="center" o:hrstd="t" o:hr="t"/>
        </w:pict>
      </w:r>
    </w:p>
    <w:bookmarkEnd w:id="36"/>
    <w:bookmarkEnd w:id="37"/>
    <w:bookmarkStart w:id="44" w:name="calculate-emissions"/>
    <w:p>
      <w:pPr>
        <w:pStyle w:val="Heading2"/>
      </w:pPr>
      <w:r>
        <w:t xml:space="preserve">4. Calculate Emissions</w:t>
      </w:r>
    </w:p>
    <w:p>
      <w:pPr>
        <w:pStyle w:val="FirstParagraph"/>
      </w:pPr>
      <w:r>
        <w:t xml:space="preserve">Emissions are calculated by multiplying activity data (e.g., kg of material, kWh of energy, km travelled) by relevant emission factors (EFs). For this analysis, simulated industry-standard emission factors from databases like Ecoinvent and DEFRA have been used. The results are categorized according to GHG Protocol Scopes.</w:t>
      </w:r>
    </w:p>
    <w:bookmarkStart w:id="38" w:name="simulated-emission-factors-illustrative"/>
    <w:p>
      <w:pPr>
        <w:pStyle w:val="Heading3"/>
      </w:pPr>
      <w:r>
        <w:t xml:space="preserve">4.1. Simulated Emission Factors (Illustrative)</w:t>
      </w:r>
    </w:p>
    <w:p>
      <w:pPr>
        <w:pStyle w:val="FirstParagraph"/>
      </w:pPr>
      <w:r>
        <w:t xml:space="preserve">The following illustrative emission factors (EFs) are derived from general industry knowledge and represent typical values that might be found in recognized LCA databases. Actual EFs vary based on specific processes, geographic location, and energy mixes.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Activity / Material</w:t>
            </w:r>
          </w:p>
        </w:tc>
        <w:tc>
          <w:tcPr/>
          <w:p>
            <w:pPr>
              <w:pStyle w:val="Compact"/>
              <w:jc w:val="left"/>
            </w:pPr>
            <w:r>
              <w:t xml:space="preserve">Unit</w:t>
            </w:r>
          </w:p>
        </w:tc>
        <w:tc>
          <w:tcPr/>
          <w:p>
            <w:pPr>
              <w:pStyle w:val="Compact"/>
              <w:jc w:val="left"/>
            </w:pPr>
            <w:r>
              <w:t xml:space="preserve">Simulated Emission Factor (kg CO2e/unit)</w:t>
            </w:r>
          </w:p>
        </w:tc>
      </w:tr>
      <w:tr>
        <w:tc>
          <w:tcPr/>
          <w:p>
            <w:pPr>
              <w:pStyle w:val="Compact"/>
              <w:jc w:val="left"/>
            </w:pPr>
            <w:r>
              <w:t xml:space="preserve">Electricity (Global Average Grid Mix)</w:t>
            </w:r>
          </w:p>
        </w:tc>
        <w:tc>
          <w:tcPr/>
          <w:p>
            <w:pPr>
              <w:pStyle w:val="Compact"/>
              <w:jc w:val="left"/>
            </w:pPr>
            <w:r>
              <w:t xml:space="preserve">kWh</w:t>
            </w:r>
          </w:p>
        </w:tc>
        <w:tc>
          <w:tcPr/>
          <w:p>
            <w:pPr>
              <w:pStyle w:val="Compact"/>
              <w:jc w:val="left"/>
            </w:pPr>
            <w:r>
              <w:t xml:space="preserve">0.47 kg CO2e/kWh</w:t>
            </w:r>
          </w:p>
        </w:tc>
      </w:tr>
      <w:tr>
        <w:tc>
          <w:tcPr/>
          <w:p>
            <w:pPr>
              <w:pStyle w:val="Compact"/>
              <w:jc w:val="left"/>
            </w:pPr>
            <w:r>
              <w:t xml:space="preserve">Aluminum (Primary)</w:t>
            </w:r>
          </w:p>
        </w:tc>
        <w:tc>
          <w:tcPr/>
          <w:p>
            <w:pPr>
              <w:pStyle w:val="Compact"/>
              <w:jc w:val="left"/>
            </w:pPr>
            <w:r>
              <w:t xml:space="preserve">kg</w:t>
            </w:r>
          </w:p>
        </w:tc>
        <w:tc>
          <w:tcPr/>
          <w:p>
            <w:pPr>
              <w:pStyle w:val="Compact"/>
              <w:jc w:val="left"/>
            </w:pPr>
            <w:r>
              <w:t xml:space="preserve">15.0 kg CO2e/kg</w:t>
            </w:r>
          </w:p>
        </w:tc>
      </w:tr>
      <w:tr>
        <w:tc>
          <w:tcPr/>
          <w:p>
            <w:pPr>
              <w:pStyle w:val="Compact"/>
              <w:jc w:val="left"/>
            </w:pPr>
            <w:r>
              <w:t xml:space="preserve">Plastics (e.g., ABS)</w:t>
            </w:r>
          </w:p>
        </w:tc>
        <w:tc>
          <w:tcPr/>
          <w:p>
            <w:pPr>
              <w:pStyle w:val="Compact"/>
              <w:jc w:val="left"/>
            </w:pPr>
            <w:r>
              <w:t xml:space="preserve">kg</w:t>
            </w:r>
          </w:p>
        </w:tc>
        <w:tc>
          <w:tcPr/>
          <w:p>
            <w:pPr>
              <w:pStyle w:val="Compact"/>
              <w:jc w:val="left"/>
            </w:pPr>
            <w:r>
              <w:t xml:space="preserve">3.0 kg CO2e/kg</w:t>
            </w:r>
          </w:p>
        </w:tc>
      </w:tr>
      <w:tr>
        <w:tc>
          <w:tcPr/>
          <w:p>
            <w:pPr>
              <w:pStyle w:val="Compact"/>
              <w:jc w:val="left"/>
            </w:pPr>
            <w:r>
              <w:t xml:space="preserve">Copper (Primary)</w:t>
            </w:r>
          </w:p>
        </w:tc>
        <w:tc>
          <w:tcPr/>
          <w:p>
            <w:pPr>
              <w:pStyle w:val="Compact"/>
              <w:jc w:val="left"/>
            </w:pPr>
            <w:r>
              <w:t xml:space="preserve">kg</w:t>
            </w:r>
          </w:p>
        </w:tc>
        <w:tc>
          <w:tcPr/>
          <w:p>
            <w:pPr>
              <w:pStyle w:val="Compact"/>
              <w:jc w:val="left"/>
            </w:pPr>
            <w:r>
              <w:t xml:space="preserve">4.0 kg CO2e/kg</w:t>
            </w:r>
          </w:p>
        </w:tc>
      </w:tr>
      <w:tr>
        <w:tc>
          <w:tcPr/>
          <w:p>
            <w:pPr>
              <w:pStyle w:val="Compact"/>
              <w:jc w:val="left"/>
            </w:pPr>
            <w:r>
              <w:t xml:space="preserve">Glass</w:t>
            </w:r>
          </w:p>
        </w:tc>
        <w:tc>
          <w:tcPr/>
          <w:p>
            <w:pPr>
              <w:pStyle w:val="Compact"/>
              <w:jc w:val="left"/>
            </w:pPr>
            <w:r>
              <w:t xml:space="preserve">kg</w:t>
            </w:r>
          </w:p>
        </w:tc>
        <w:tc>
          <w:tcPr/>
          <w:p>
            <w:pPr>
              <w:pStyle w:val="Compact"/>
              <w:jc w:val="left"/>
            </w:pPr>
            <w:r>
              <w:t xml:space="preserve">1.0 kg CO2e/kg</w:t>
            </w:r>
          </w:p>
        </w:tc>
      </w:tr>
      <w:tr>
        <w:tc>
          <w:tcPr/>
          <w:p>
            <w:pPr>
              <w:pStyle w:val="Compact"/>
              <w:jc w:val="left"/>
            </w:pPr>
            <w:r>
              <w:t xml:space="preserve">Silicon (Electronics Grade)</w:t>
            </w:r>
          </w:p>
        </w:tc>
        <w:tc>
          <w:tcPr/>
          <w:p>
            <w:pPr>
              <w:pStyle w:val="Compact"/>
              <w:jc w:val="left"/>
            </w:pPr>
            <w:r>
              <w:t xml:space="preserve">kg</w:t>
            </w:r>
          </w:p>
        </w:tc>
        <w:tc>
          <w:tcPr/>
          <w:p>
            <w:pPr>
              <w:pStyle w:val="Compact"/>
              <w:jc w:val="left"/>
            </w:pPr>
            <w:r>
              <w:t xml:space="preserve">40.0 kg CO2e/kg</w:t>
            </w:r>
          </w:p>
        </w:tc>
      </w:tr>
      <w:tr>
        <w:tc>
          <w:tcPr/>
          <w:p>
            <w:pPr>
              <w:pStyle w:val="Compact"/>
              <w:jc w:val="left"/>
            </w:pPr>
            <w:r>
              <w:t xml:space="preserve">Cobalt (Battery Grade)</w:t>
            </w:r>
          </w:p>
        </w:tc>
        <w:tc>
          <w:tcPr/>
          <w:p>
            <w:pPr>
              <w:pStyle w:val="Compact"/>
              <w:jc w:val="left"/>
            </w:pPr>
            <w:r>
              <w:t xml:space="preserve">kg</w:t>
            </w:r>
          </w:p>
        </w:tc>
        <w:tc>
          <w:tcPr/>
          <w:p>
            <w:pPr>
              <w:pStyle w:val="Compact"/>
              <w:jc w:val="left"/>
            </w:pPr>
            <w:r>
              <w:t xml:space="preserve">20.0 kg CO2e/kg</w:t>
            </w:r>
          </w:p>
        </w:tc>
      </w:tr>
      <w:tr>
        <w:tc>
          <w:tcPr/>
          <w:p>
            <w:pPr>
              <w:pStyle w:val="Compact"/>
              <w:jc w:val="left"/>
            </w:pPr>
            <w:r>
              <w:t xml:space="preserve">Lithium (Battery Grade)</w:t>
            </w:r>
          </w:p>
        </w:tc>
        <w:tc>
          <w:tcPr/>
          <w:p>
            <w:pPr>
              <w:pStyle w:val="Compact"/>
              <w:jc w:val="left"/>
            </w:pPr>
            <w:r>
              <w:t xml:space="preserve">kg</w:t>
            </w:r>
          </w:p>
        </w:tc>
        <w:tc>
          <w:tcPr/>
          <w:p>
            <w:pPr>
              <w:pStyle w:val="Compact"/>
              <w:jc w:val="left"/>
            </w:pPr>
            <w:r>
              <w:t xml:space="preserve">10.0 kg CO2e/kg</w:t>
            </w:r>
          </w:p>
        </w:tc>
      </w:tr>
      <w:tr>
        <w:tc>
          <w:tcPr/>
          <w:p>
            <w:pPr>
              <w:pStyle w:val="Compact"/>
              <w:jc w:val="left"/>
            </w:pPr>
            <w:r>
              <w:t xml:space="preserve">Rare Earth Elements (Mixed)</w:t>
            </w:r>
          </w:p>
        </w:tc>
        <w:tc>
          <w:tcPr/>
          <w:p>
            <w:pPr>
              <w:pStyle w:val="Compact"/>
              <w:jc w:val="left"/>
            </w:pPr>
            <w:r>
              <w:t xml:space="preserve">kg</w:t>
            </w:r>
          </w:p>
        </w:tc>
        <w:tc>
          <w:tcPr/>
          <w:p>
            <w:pPr>
              <w:pStyle w:val="Compact"/>
              <w:jc w:val="left"/>
            </w:pPr>
            <w:r>
              <w:t xml:space="preserve">80.0 kg CO2e/kg</w:t>
            </w:r>
          </w:p>
        </w:tc>
      </w:tr>
      <w:tr>
        <w:tc>
          <w:tcPr/>
          <w:p>
            <w:pPr>
              <w:pStyle w:val="Compact"/>
              <w:jc w:val="left"/>
            </w:pPr>
            <w:r>
              <w:t xml:space="preserve">Air Freight (long-haul)</w:t>
            </w:r>
          </w:p>
        </w:tc>
        <w:tc>
          <w:tcPr/>
          <w:p>
            <w:pPr>
              <w:pStyle w:val="Compact"/>
              <w:jc w:val="left"/>
            </w:pPr>
            <w:r>
              <w:t xml:space="preserve">tkm</w:t>
            </w:r>
          </w:p>
        </w:tc>
        <w:tc>
          <w:tcPr/>
          <w:p>
            <w:pPr>
              <w:pStyle w:val="Compact"/>
              <w:jc w:val="left"/>
            </w:pPr>
            <w:r>
              <w:t xml:space="preserve">1.5 kg CO2e/tkm</w:t>
            </w:r>
          </w:p>
        </w:tc>
      </w:tr>
      <w:tr>
        <w:tc>
          <w:tcPr/>
          <w:p>
            <w:pPr>
              <w:pStyle w:val="Compact"/>
              <w:jc w:val="left"/>
            </w:pPr>
            <w:r>
              <w:t xml:space="preserve">Ocean Freight (long-haul)</w:t>
            </w:r>
          </w:p>
        </w:tc>
        <w:tc>
          <w:tcPr/>
          <w:p>
            <w:pPr>
              <w:pStyle w:val="Compact"/>
              <w:jc w:val="left"/>
            </w:pPr>
            <w:r>
              <w:t xml:space="preserve">tkm</w:t>
            </w:r>
          </w:p>
        </w:tc>
        <w:tc>
          <w:tcPr/>
          <w:p>
            <w:pPr>
              <w:pStyle w:val="Compact"/>
              <w:jc w:val="left"/>
            </w:pPr>
            <w:r>
              <w:t xml:space="preserve">0.01 kg CO2e/tkm</w:t>
            </w:r>
          </w:p>
        </w:tc>
      </w:tr>
      <w:tr>
        <w:tc>
          <w:tcPr/>
          <w:p>
            <w:pPr>
              <w:pStyle w:val="Compact"/>
              <w:jc w:val="left"/>
            </w:pPr>
            <w:r>
              <w:t xml:space="preserve">Road Freight (truck, average)</w:t>
            </w:r>
          </w:p>
        </w:tc>
        <w:tc>
          <w:tcPr/>
          <w:p>
            <w:pPr>
              <w:pStyle w:val="Compact"/>
              <w:jc w:val="left"/>
            </w:pPr>
            <w:r>
              <w:t xml:space="preserve">tkm</w:t>
            </w:r>
          </w:p>
        </w:tc>
        <w:tc>
          <w:tcPr/>
          <w:p>
            <w:pPr>
              <w:pStyle w:val="Compact"/>
              <w:jc w:val="left"/>
            </w:pPr>
            <w:r>
              <w:t xml:space="preserve">0.1 kg CO2e/tkm</w:t>
            </w:r>
          </w:p>
        </w:tc>
      </w:tr>
      <w:tr>
        <w:tc>
          <w:tcPr/>
          <w:p>
            <w:pPr>
              <w:pStyle w:val="Compact"/>
              <w:jc w:val="left"/>
            </w:pPr>
            <w:r>
              <w:t xml:space="preserve">End-of-Life (Landfill)</w:t>
            </w:r>
          </w:p>
        </w:tc>
        <w:tc>
          <w:tcPr/>
          <w:p>
            <w:pPr>
              <w:pStyle w:val="Compact"/>
              <w:jc w:val="left"/>
            </w:pPr>
            <w:r>
              <w:t xml:space="preserve">kg</w:t>
            </w:r>
          </w:p>
        </w:tc>
        <w:tc>
          <w:tcPr/>
          <w:p>
            <w:pPr>
              <w:pStyle w:val="Compact"/>
              <w:jc w:val="left"/>
            </w:pPr>
            <w:r>
              <w:t xml:space="preserve">0.2 kg CO2e/kg</w:t>
            </w:r>
          </w:p>
        </w:tc>
      </w:tr>
      <w:tr>
        <w:tc>
          <w:tcPr/>
          <w:p>
            <w:pPr>
              <w:pStyle w:val="Compact"/>
              <w:jc w:val="left"/>
            </w:pPr>
            <w:r>
              <w:t xml:space="preserve">End-of-Life (Recycling, net emissions)</w:t>
            </w:r>
          </w:p>
        </w:tc>
        <w:tc>
          <w:tcPr/>
          <w:p>
            <w:pPr>
              <w:pStyle w:val="Compact"/>
              <w:jc w:val="left"/>
            </w:pPr>
            <w:r>
              <w:t xml:space="preserve">kg</w:t>
            </w:r>
          </w:p>
        </w:tc>
        <w:tc>
          <w:tcPr/>
          <w:p>
            <w:pPr>
              <w:pStyle w:val="Compact"/>
              <w:jc w:val="left"/>
            </w:pPr>
            <w:r>
              <w:t xml:space="preserve">-0.5 kg CO2e/kg (avoided emissions)</w:t>
            </w:r>
          </w:p>
        </w:tc>
      </w:tr>
    </w:tbl>
    <w:bookmarkEnd w:id="38"/>
    <w:bookmarkStart w:id="43" w:name="X6476b9ccb447803401c40bc7b3ae47c983b580f"/>
    <w:p>
      <w:pPr>
        <w:pStyle w:val="Heading3"/>
      </w:pPr>
      <w:r>
        <w:t xml:space="preserve">4.2. Total Product Carbon Footprint Calculation (Illustrative)</w:t>
      </w:r>
    </w:p>
    <w:p>
      <w:pPr>
        <w:pStyle w:val="FirstParagraph"/>
      </w:pPr>
      <w:r>
        <w:t xml:space="preserve">Based on the simulated data, the total PCF for one high-end smartphone is calculated as follows. These figures aim to reflect typical industry breakdowns, where manufacturing dominates emissions.</w:t>
      </w:r>
    </w:p>
    <w:p>
      <w:pPr>
        <w:pStyle w:val="BodyText"/>
      </w:pPr>
      <w:r>
        <w:rPr>
          <w:bCs/>
          <w:b/>
        </w:rPr>
        <w:t xml:space="preserve">Total Mass of High-End Smartphone:</w:t>
      </w:r>
      <w:r>
        <w:t xml:space="preserve"> </w:t>
      </w:r>
      <w:r>
        <w:t xml:space="preserve">200 grams (0.2 kg) (representative for a high-end device)</w:t>
      </w:r>
    </w:p>
    <w:bookmarkStart w:id="39" w:name="emissions-by-lifecycle-stage-ghg-scope"/>
    <w:p>
      <w:pPr>
        <w:pStyle w:val="Heading4"/>
      </w:pPr>
      <w:r>
        <w:t xml:space="preserve">4.2.1. Emissions by Lifecycle Stage &amp; GHG Scope</w:t>
      </w:r>
    </w:p>
    <w:tbl>
      <w:tblPr>
        <w:tblStyle w:val="Table"/>
        <w:tblW w:type="auto" w:w="0"/>
        <w:tblLook w:firstRow="1" w:lastRow="0"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Lifecycle Stage</w:t>
            </w:r>
          </w:p>
        </w:tc>
        <w:tc>
          <w:tcPr/>
          <w:p>
            <w:pPr>
              <w:pStyle w:val="Compact"/>
              <w:jc w:val="left"/>
            </w:pPr>
            <w:r>
              <w:t xml:space="preserve">Activity/Material Quantity (Illustrative)</w:t>
            </w:r>
          </w:p>
        </w:tc>
        <w:tc>
          <w:tcPr/>
          <w:p>
            <w:pPr>
              <w:pStyle w:val="Compact"/>
              <w:jc w:val="left"/>
            </w:pPr>
            <w:r>
              <w:t xml:space="preserve">Emission Factor (kg CO2e/unit)</w:t>
            </w:r>
          </w:p>
        </w:tc>
        <w:tc>
          <w:tcPr/>
          <w:p>
            <w:pPr>
              <w:pStyle w:val="Compact"/>
              <w:jc w:val="left"/>
            </w:pPr>
            <w:r>
              <w:t xml:space="preserve">Total CO2e (kg)</w:t>
            </w:r>
          </w:p>
        </w:tc>
        <w:tc>
          <w:tcPr/>
          <w:p>
            <w:pPr>
              <w:pStyle w:val="Compact"/>
              <w:jc w:val="left"/>
            </w:pPr>
            <w:r>
              <w:t xml:space="preserve">GHG Scope</w:t>
            </w:r>
          </w:p>
        </w:tc>
        <w:tc>
          <w:tcPr/>
          <w:p>
            <w:pPr>
              <w:pStyle w:val="Compact"/>
              <w:jc w:val="left"/>
            </w:pPr>
            <w:r>
              <w:t xml:space="preserve">GHG Protocol Category (Scope 3)</w:t>
            </w:r>
          </w:p>
        </w:tc>
      </w:tr>
      <w:tr>
        <w:tc>
          <w:tcPr/>
          <w:p>
            <w:pPr>
              <w:pStyle w:val="Compact"/>
              <w:jc w:val="left"/>
            </w:pPr>
            <w:r>
              <w:rPr>
                <w:bCs/>
                <w:b/>
              </w:rPr>
              <w:t xml:space="preserve">Raw Material Acquisition &amp; Processing</w:t>
            </w: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   Plastics (0.2 kg * 40%)</w:t>
            </w:r>
          </w:p>
        </w:tc>
        <w:tc>
          <w:tcPr/>
          <w:p>
            <w:pPr>
              <w:pStyle w:val="Compact"/>
              <w:jc w:val="left"/>
            </w:pPr>
            <w:r>
              <w:t xml:space="preserve">0.08 kg</w:t>
            </w:r>
          </w:p>
        </w:tc>
        <w:tc>
          <w:tcPr/>
          <w:p>
            <w:pPr>
              <w:pStyle w:val="Compact"/>
              <w:jc w:val="left"/>
            </w:pPr>
            <w:r>
              <w:t xml:space="preserve">3.0 kg CO2e/kg</w:t>
            </w:r>
          </w:p>
        </w:tc>
        <w:tc>
          <w:tcPr/>
          <w:p>
            <w:pPr>
              <w:pStyle w:val="Compact"/>
              <w:jc w:val="left"/>
            </w:pPr>
            <w:r>
              <w:t xml:space="preserve">0.24</w:t>
            </w:r>
          </w:p>
        </w:tc>
        <w:tc>
          <w:tcPr/>
          <w:p>
            <w:pPr>
              <w:pStyle w:val="Compact"/>
              <w:jc w:val="left"/>
            </w:pPr>
            <w:r>
              <w:t xml:space="preserve">Scope 3</w:t>
            </w:r>
          </w:p>
        </w:tc>
        <w:tc>
          <w:tcPr/>
          <w:p>
            <w:pPr>
              <w:pStyle w:val="Compact"/>
              <w:jc w:val="left"/>
            </w:pPr>
            <w:r>
              <w:t xml:space="preserve">1: Purchased Goods and Services</w:t>
            </w:r>
          </w:p>
        </w:tc>
      </w:tr>
      <w:tr>
        <w:tc>
          <w:tcPr/>
          <w:p>
            <w:pPr>
              <w:pStyle w:val="Compact"/>
              <w:jc w:val="left"/>
            </w:pPr>
            <w:r>
              <w:t xml:space="preserve">   Metals (Non-Precious) (0.2 kg * 25%)</w:t>
            </w:r>
          </w:p>
        </w:tc>
        <w:tc>
          <w:tcPr/>
          <w:p>
            <w:pPr>
              <w:pStyle w:val="Compact"/>
              <w:jc w:val="left"/>
            </w:pPr>
            <w:r>
              <w:t xml:space="preserve">0.05 kg</w:t>
            </w:r>
          </w:p>
        </w:tc>
        <w:tc>
          <w:tcPr/>
          <w:p>
            <w:pPr>
              <w:pStyle w:val="Compact"/>
              <w:jc w:val="left"/>
            </w:pPr>
            <w:r>
              <w:t xml:space="preserve">15.0 kg CO2e/kg (e.g., Aluminum)</w:t>
            </w:r>
          </w:p>
        </w:tc>
        <w:tc>
          <w:tcPr/>
          <w:p>
            <w:pPr>
              <w:pStyle w:val="Compact"/>
              <w:jc w:val="left"/>
            </w:pPr>
            <w:r>
              <w:t xml:space="preserve">0.75</w:t>
            </w:r>
          </w:p>
        </w:tc>
        <w:tc>
          <w:tcPr/>
          <w:p>
            <w:pPr>
              <w:pStyle w:val="Compact"/>
              <w:jc w:val="left"/>
            </w:pPr>
            <w:r>
              <w:t xml:space="preserve">Scope 3</w:t>
            </w:r>
          </w:p>
        </w:tc>
        <w:tc>
          <w:tcPr/>
          <w:p>
            <w:pPr>
              <w:pStyle w:val="Compact"/>
              <w:jc w:val="left"/>
            </w:pPr>
            <w:r>
              <w:t xml:space="preserve">1: Purchased Goods and Services</w:t>
            </w:r>
          </w:p>
        </w:tc>
      </w:tr>
      <w:tr>
        <w:tc>
          <w:tcPr/>
          <w:p>
            <w:pPr>
              <w:pStyle w:val="Compact"/>
              <w:jc w:val="left"/>
            </w:pPr>
            <w:r>
              <w:t xml:space="preserve">   Metals (Precious &amp; Critical) (0.2 kg * 10%)</w:t>
            </w:r>
          </w:p>
        </w:tc>
        <w:tc>
          <w:tcPr/>
          <w:p>
            <w:pPr>
              <w:pStyle w:val="Compact"/>
              <w:jc w:val="left"/>
            </w:pPr>
            <w:r>
              <w:t xml:space="preserve">0.02 kg</w:t>
            </w:r>
          </w:p>
        </w:tc>
        <w:tc>
          <w:tcPr/>
          <w:p>
            <w:pPr>
              <w:pStyle w:val="Compact"/>
              <w:jc w:val="left"/>
            </w:pPr>
            <w:r>
              <w:t xml:space="preserve">50.0 kg CO2e/kg (average)</w:t>
            </w:r>
          </w:p>
        </w:tc>
        <w:tc>
          <w:tcPr/>
          <w:p>
            <w:pPr>
              <w:pStyle w:val="Compact"/>
              <w:jc w:val="left"/>
            </w:pPr>
            <w:r>
              <w:t xml:space="preserve">1.00</w:t>
            </w:r>
          </w:p>
        </w:tc>
        <w:tc>
          <w:tcPr/>
          <w:p>
            <w:pPr>
              <w:pStyle w:val="Compact"/>
              <w:jc w:val="left"/>
            </w:pPr>
            <w:r>
              <w:t xml:space="preserve">Scope 3</w:t>
            </w:r>
          </w:p>
        </w:tc>
        <w:tc>
          <w:tcPr/>
          <w:p>
            <w:pPr>
              <w:pStyle w:val="Compact"/>
              <w:jc w:val="left"/>
            </w:pPr>
            <w:r>
              <w:t xml:space="preserve">1: Purchased Goods and Services</w:t>
            </w:r>
          </w:p>
        </w:tc>
      </w:tr>
      <w:tr>
        <w:tc>
          <w:tcPr/>
          <w:p>
            <w:pPr>
              <w:pStyle w:val="Compact"/>
              <w:jc w:val="left"/>
            </w:pPr>
            <w:r>
              <w:t xml:space="preserve">   Glass/Ceramics (0.2 kg * 20%)</w:t>
            </w:r>
          </w:p>
        </w:tc>
        <w:tc>
          <w:tcPr/>
          <w:p>
            <w:pPr>
              <w:pStyle w:val="Compact"/>
              <w:jc w:val="left"/>
            </w:pPr>
            <w:r>
              <w:t xml:space="preserve">0.04 kg</w:t>
            </w:r>
          </w:p>
        </w:tc>
        <w:tc>
          <w:tcPr/>
          <w:p>
            <w:pPr>
              <w:pStyle w:val="Compact"/>
              <w:jc w:val="left"/>
            </w:pPr>
            <w:r>
              <w:t xml:space="preserve">1.0 kg CO2e/kg</w:t>
            </w:r>
          </w:p>
        </w:tc>
        <w:tc>
          <w:tcPr/>
          <w:p>
            <w:pPr>
              <w:pStyle w:val="Compact"/>
              <w:jc w:val="left"/>
            </w:pPr>
            <w:r>
              <w:t xml:space="preserve">0.04</w:t>
            </w:r>
          </w:p>
        </w:tc>
        <w:tc>
          <w:tcPr/>
          <w:p>
            <w:pPr>
              <w:pStyle w:val="Compact"/>
              <w:jc w:val="left"/>
            </w:pPr>
            <w:r>
              <w:t xml:space="preserve">Scope 3</w:t>
            </w:r>
          </w:p>
        </w:tc>
        <w:tc>
          <w:tcPr/>
          <w:p>
            <w:pPr>
              <w:pStyle w:val="Compact"/>
              <w:jc w:val="left"/>
            </w:pPr>
            <w:r>
              <w:t xml:space="preserve">1: Purchased Goods and Services</w:t>
            </w:r>
          </w:p>
        </w:tc>
      </w:tr>
      <w:tr>
        <w:tc>
          <w:tcPr/>
          <w:p>
            <w:pPr>
              <w:pStyle w:val="Compact"/>
              <w:jc w:val="left"/>
            </w:pPr>
            <w:r>
              <w:t xml:space="preserve">   Silicon (0.2 kg * 5%)</w:t>
            </w:r>
          </w:p>
        </w:tc>
        <w:tc>
          <w:tcPr/>
          <w:p>
            <w:pPr>
              <w:pStyle w:val="Compact"/>
              <w:jc w:val="left"/>
            </w:pPr>
            <w:r>
              <w:t xml:space="preserve">0.01 kg</w:t>
            </w:r>
          </w:p>
        </w:tc>
        <w:tc>
          <w:tcPr/>
          <w:p>
            <w:pPr>
              <w:pStyle w:val="Compact"/>
              <w:jc w:val="left"/>
            </w:pPr>
            <w:r>
              <w:t xml:space="preserve">40.0 kg CO2e/kg</w:t>
            </w:r>
          </w:p>
        </w:tc>
        <w:tc>
          <w:tcPr/>
          <w:p>
            <w:pPr>
              <w:pStyle w:val="Compact"/>
              <w:jc w:val="left"/>
            </w:pPr>
            <w:r>
              <w:t xml:space="preserve">0.40</w:t>
            </w:r>
          </w:p>
        </w:tc>
        <w:tc>
          <w:tcPr/>
          <w:p>
            <w:pPr>
              <w:pStyle w:val="Compact"/>
              <w:jc w:val="left"/>
            </w:pPr>
            <w:r>
              <w:t xml:space="preserve">Scope 3</w:t>
            </w:r>
          </w:p>
        </w:tc>
        <w:tc>
          <w:tcPr/>
          <w:p>
            <w:pPr>
              <w:pStyle w:val="Compact"/>
              <w:jc w:val="left"/>
            </w:pPr>
            <w:r>
              <w:t xml:space="preserve">1: Purchased Goods and Services</w:t>
            </w:r>
          </w:p>
        </w:tc>
      </w:tr>
      <w:tr>
        <w:tc>
          <w:tcPr/>
          <w:p>
            <w:pPr>
              <w:pStyle w:val="Compact"/>
              <w:jc w:val="left"/>
            </w:pPr>
            <w:r>
              <w:rPr>
                <w:bCs/>
                <w:b/>
              </w:rPr>
              <w:t xml:space="preserve">Manufacturing (Component Production &amp; Assembly)</w:t>
            </w:r>
          </w:p>
        </w:tc>
        <w:tc>
          <w:tcPr/>
          <w:p>
            <w:pPr>
              <w:pStyle w:val="Compact"/>
              <w:jc w:val="left"/>
            </w:pPr>
            <w:r>
              <w:t xml:space="preserve">85 kWh (electricity)</w:t>
            </w:r>
          </w:p>
        </w:tc>
        <w:tc>
          <w:tcPr/>
          <w:p>
            <w:pPr>
              <w:pStyle w:val="Compact"/>
              <w:jc w:val="left"/>
            </w:pPr>
            <w:r>
              <w:t xml:space="preserve">0.47 kg CO2e/kWh (global grid average)</w:t>
            </w:r>
          </w:p>
        </w:tc>
        <w:tc>
          <w:tcPr/>
          <w:p>
            <w:pPr>
              <w:pStyle w:val="Compact"/>
              <w:jc w:val="left"/>
            </w:pPr>
            <w:r>
              <w:t xml:space="preserve">39.95</w:t>
            </w:r>
          </w:p>
        </w:tc>
        <w:tc>
          <w:tcPr/>
          <w:p>
            <w:pPr>
              <w:pStyle w:val="Compact"/>
              <w:jc w:val="left"/>
            </w:pPr>
            <w:r>
              <w:t xml:space="preserve">Scope 2 (for direct factory) / Scope 3</w:t>
            </w:r>
          </w:p>
        </w:tc>
        <w:tc>
          <w:tcPr/>
          <w:p>
            <w:pPr>
              <w:pStyle w:val="Compact"/>
              <w:jc w:val="left"/>
            </w:pPr>
            <w:r>
              <w:t xml:space="preserve">1: Purchased Goods and Services (if outsourced)</w:t>
            </w:r>
          </w:p>
        </w:tc>
      </w:tr>
      <w:tr>
        <w:tc>
          <w:tcPr/>
          <w:p>
            <w:pPr>
              <w:pStyle w:val="Compact"/>
              <w:jc w:val="left"/>
            </w:pPr>
            <w:r>
              <w:rPr>
                <w:bCs/>
                <w:b/>
              </w:rPr>
              <w:t xml:space="preserve">Transportation (Illustrative global distances)</w:t>
            </w: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   Components (Ocean)</w:t>
            </w:r>
          </w:p>
        </w:tc>
        <w:tc>
          <w:tcPr/>
          <w:p>
            <w:pPr>
              <w:pStyle w:val="Compact"/>
              <w:jc w:val="left"/>
            </w:pPr>
            <w:r>
              <w:t xml:space="preserve">50 kg*km (0.2kg * 250km equivalent)</w:t>
            </w:r>
          </w:p>
        </w:tc>
        <w:tc>
          <w:tcPr/>
          <w:p>
            <w:pPr>
              <w:pStyle w:val="Compact"/>
              <w:jc w:val="left"/>
            </w:pPr>
            <w:r>
              <w:t xml:space="preserve">0.01 kg CO2e/tkm</w:t>
            </w:r>
          </w:p>
        </w:tc>
        <w:tc>
          <w:tcPr/>
          <w:p>
            <w:pPr>
              <w:pStyle w:val="Compact"/>
              <w:jc w:val="left"/>
            </w:pPr>
            <w:r>
              <w:t xml:space="preserve">0.0005</w:t>
            </w:r>
          </w:p>
        </w:tc>
        <w:tc>
          <w:tcPr/>
          <w:p>
            <w:pPr>
              <w:pStyle w:val="Compact"/>
              <w:jc w:val="left"/>
            </w:pPr>
            <w:r>
              <w:t xml:space="preserve">Scope 3</w:t>
            </w:r>
          </w:p>
        </w:tc>
        <w:tc>
          <w:tcPr/>
          <w:p>
            <w:pPr>
              <w:pStyle w:val="Compact"/>
              <w:jc w:val="left"/>
            </w:pPr>
            <w:r>
              <w:t xml:space="preserve">4: Upstream Transportation and Distribution</w:t>
            </w:r>
          </w:p>
        </w:tc>
      </w:tr>
      <w:tr>
        <w:tc>
          <w:tcPr/>
          <w:p>
            <w:pPr>
              <w:pStyle w:val="Compact"/>
              <w:jc w:val="left"/>
            </w:pPr>
            <w:r>
              <w:t xml:space="preserve">   Components (Air)</w:t>
            </w:r>
          </w:p>
        </w:tc>
        <w:tc>
          <w:tcPr/>
          <w:p>
            <w:pPr>
              <w:pStyle w:val="Compact"/>
              <w:jc w:val="left"/>
            </w:pPr>
            <w:r>
              <w:t xml:space="preserve">20 kg*km (0.2kg * 100km equivalent)</w:t>
            </w:r>
          </w:p>
        </w:tc>
        <w:tc>
          <w:tcPr/>
          <w:p>
            <w:pPr>
              <w:pStyle w:val="Compact"/>
              <w:jc w:val="left"/>
            </w:pPr>
            <w:r>
              <w:t xml:space="preserve">1.5 kg CO2e/tkm</w:t>
            </w:r>
          </w:p>
        </w:tc>
        <w:tc>
          <w:tcPr/>
          <w:p>
            <w:pPr>
              <w:pStyle w:val="Compact"/>
              <w:jc w:val="left"/>
            </w:pPr>
            <w:r>
              <w:t xml:space="preserve">0.03</w:t>
            </w:r>
          </w:p>
        </w:tc>
        <w:tc>
          <w:tcPr/>
          <w:p>
            <w:pPr>
              <w:pStyle w:val="Compact"/>
              <w:jc w:val="left"/>
            </w:pPr>
            <w:r>
              <w:t xml:space="preserve">Scope 3</w:t>
            </w:r>
          </w:p>
        </w:tc>
        <w:tc>
          <w:tcPr/>
          <w:p>
            <w:pPr>
              <w:pStyle w:val="Compact"/>
              <w:jc w:val="left"/>
            </w:pPr>
            <w:r>
              <w:t xml:space="preserve">4: Upstream Transportation and Distribution</w:t>
            </w:r>
          </w:p>
        </w:tc>
      </w:tr>
      <w:tr>
        <w:tc>
          <w:tcPr/>
          <w:p>
            <w:pPr>
              <w:pStyle w:val="Compact"/>
              <w:jc w:val="left"/>
            </w:pPr>
            <w:r>
              <w:t xml:space="preserve">   Finished Product (Air)</w:t>
            </w:r>
          </w:p>
        </w:tc>
        <w:tc>
          <w:tcPr/>
          <w:p>
            <w:pPr>
              <w:pStyle w:val="Compact"/>
              <w:jc w:val="left"/>
            </w:pPr>
            <w:r>
              <w:t xml:space="preserve">50 kg*km (0.2kg * 250km equivalent)</w:t>
            </w:r>
          </w:p>
        </w:tc>
        <w:tc>
          <w:tcPr/>
          <w:p>
            <w:pPr>
              <w:pStyle w:val="Compact"/>
              <w:jc w:val="left"/>
            </w:pPr>
            <w:r>
              <w:t xml:space="preserve">1.5 kg CO2e/tkm</w:t>
            </w:r>
          </w:p>
        </w:tc>
        <w:tc>
          <w:tcPr/>
          <w:p>
            <w:pPr>
              <w:pStyle w:val="Compact"/>
              <w:jc w:val="left"/>
            </w:pPr>
            <w:r>
              <w:t xml:space="preserve">0.075</w:t>
            </w:r>
          </w:p>
        </w:tc>
        <w:tc>
          <w:tcPr/>
          <w:p>
            <w:pPr>
              <w:pStyle w:val="Compact"/>
              <w:jc w:val="left"/>
            </w:pPr>
            <w:r>
              <w:t xml:space="preserve">Scope 3</w:t>
            </w:r>
          </w:p>
        </w:tc>
        <w:tc>
          <w:tcPr/>
          <w:p>
            <w:pPr>
              <w:pStyle w:val="Compact"/>
              <w:jc w:val="left"/>
            </w:pPr>
            <w:r>
              <w:t xml:space="preserve">9: Downstream Transportation and Distribution</w:t>
            </w:r>
          </w:p>
        </w:tc>
      </w:tr>
      <w:tr>
        <w:tc>
          <w:tcPr/>
          <w:p>
            <w:pPr>
              <w:pStyle w:val="Compact"/>
              <w:jc w:val="left"/>
            </w:pPr>
            <w:r>
              <w:t xml:space="preserve">   Finished Product (Road)</w:t>
            </w:r>
          </w:p>
        </w:tc>
        <w:tc>
          <w:tcPr/>
          <w:p>
            <w:pPr>
              <w:pStyle w:val="Compact"/>
              <w:jc w:val="left"/>
            </w:pPr>
            <w:r>
              <w:t xml:space="preserve">10 kg*km (0.2kg * 50km equivalent)</w:t>
            </w:r>
          </w:p>
        </w:tc>
        <w:tc>
          <w:tcPr/>
          <w:p>
            <w:pPr>
              <w:pStyle w:val="Compact"/>
              <w:jc w:val="left"/>
            </w:pPr>
            <w:r>
              <w:t xml:space="preserve">0.1 kg CO2e/tkm</w:t>
            </w:r>
          </w:p>
        </w:tc>
        <w:tc>
          <w:tcPr/>
          <w:p>
            <w:pPr>
              <w:pStyle w:val="Compact"/>
              <w:jc w:val="left"/>
            </w:pPr>
            <w:r>
              <w:t xml:space="preserve">0.001</w:t>
            </w:r>
          </w:p>
        </w:tc>
        <w:tc>
          <w:tcPr/>
          <w:p>
            <w:pPr>
              <w:pStyle w:val="Compact"/>
              <w:jc w:val="left"/>
            </w:pPr>
            <w:r>
              <w:t xml:space="preserve">Scope 3</w:t>
            </w:r>
          </w:p>
        </w:tc>
        <w:tc>
          <w:tcPr/>
          <w:p>
            <w:pPr>
              <w:pStyle w:val="Compact"/>
              <w:jc w:val="left"/>
            </w:pPr>
            <w:r>
              <w:t xml:space="preserve">9: Downstream Transportation and Distribution</w:t>
            </w:r>
          </w:p>
        </w:tc>
      </w:tr>
      <w:tr>
        <w:tc>
          <w:tcPr/>
          <w:p>
            <w:pPr>
              <w:pStyle w:val="Compact"/>
              <w:jc w:val="left"/>
            </w:pPr>
            <w:r>
              <w:rPr>
                <w:bCs/>
                <w:b/>
              </w:rPr>
              <w:t xml:space="preserve">Packaging (Cardboard &amp; Small Plastics)</w:t>
            </w:r>
          </w:p>
        </w:tc>
        <w:tc>
          <w:tcPr/>
          <w:p>
            <w:pPr>
              <w:pStyle w:val="Compact"/>
              <w:jc w:val="left"/>
            </w:pPr>
            <w:r>
              <w:t xml:space="preserve">0.1 kg</w:t>
            </w:r>
          </w:p>
        </w:tc>
        <w:tc>
          <w:tcPr/>
          <w:p>
            <w:pPr>
              <w:pStyle w:val="Compact"/>
              <w:jc w:val="left"/>
            </w:pPr>
            <w:r>
              <w:t xml:space="preserve">2.0 kg CO2e/kg (average)</w:t>
            </w:r>
          </w:p>
        </w:tc>
        <w:tc>
          <w:tcPr/>
          <w:p>
            <w:pPr>
              <w:pStyle w:val="Compact"/>
              <w:jc w:val="left"/>
            </w:pPr>
            <w:r>
              <w:t xml:space="preserve">0.20</w:t>
            </w:r>
          </w:p>
        </w:tc>
        <w:tc>
          <w:tcPr/>
          <w:p>
            <w:pPr>
              <w:pStyle w:val="Compact"/>
              <w:jc w:val="left"/>
            </w:pPr>
            <w:r>
              <w:t xml:space="preserve">Scope 3</w:t>
            </w:r>
          </w:p>
        </w:tc>
        <w:tc>
          <w:tcPr/>
          <w:p>
            <w:pPr>
              <w:pStyle w:val="Compact"/>
              <w:jc w:val="left"/>
            </w:pPr>
            <w:r>
              <w:t xml:space="preserve">1: Purchased Goods and Services</w:t>
            </w:r>
          </w:p>
        </w:tc>
      </w:tr>
      <w:tr>
        <w:tc>
          <w:tcPr/>
          <w:p>
            <w:pPr>
              <w:pStyle w:val="Compact"/>
              <w:jc w:val="left"/>
            </w:pPr>
            <w:r>
              <w:rPr>
                <w:bCs/>
                <w:b/>
              </w:rPr>
              <w:t xml:space="preserve">Use Phase (3-year lifespan)</w:t>
            </w:r>
          </w:p>
        </w:tc>
        <w:tc>
          <w:tcPr/>
          <w:p>
            <w:pPr>
              <w:pStyle w:val="Compact"/>
              <w:jc w:val="left"/>
            </w:pPr>
            <w:r>
              <w:t xml:space="preserve">10 kWh (charging over 3 years)</w:t>
            </w:r>
          </w:p>
        </w:tc>
        <w:tc>
          <w:tcPr/>
          <w:p>
            <w:pPr>
              <w:pStyle w:val="Compact"/>
              <w:jc w:val="left"/>
            </w:pPr>
            <w:r>
              <w:t xml:space="preserve">0.47 kg CO2e/kWh (global grid average)</w:t>
            </w:r>
          </w:p>
        </w:tc>
        <w:tc>
          <w:tcPr/>
          <w:p>
            <w:pPr>
              <w:pStyle w:val="Compact"/>
              <w:jc w:val="left"/>
            </w:pPr>
            <w:r>
              <w:t xml:space="preserve">4.70</w:t>
            </w:r>
          </w:p>
        </w:tc>
        <w:tc>
          <w:tcPr/>
          <w:p>
            <w:pPr>
              <w:pStyle w:val="Compact"/>
              <w:jc w:val="left"/>
            </w:pPr>
            <w:r>
              <w:t xml:space="preserve">Scope 3</w:t>
            </w:r>
          </w:p>
        </w:tc>
        <w:tc>
          <w:tcPr/>
          <w:p>
            <w:pPr>
              <w:pStyle w:val="Compact"/>
              <w:jc w:val="left"/>
            </w:pPr>
            <w:r>
              <w:t xml:space="preserve">11: Use of Sold Products</w:t>
            </w:r>
          </w:p>
        </w:tc>
      </w:tr>
      <w:tr>
        <w:tc>
          <w:tcPr/>
          <w:p>
            <w:pPr>
              <w:pStyle w:val="Compact"/>
              <w:jc w:val="left"/>
            </w:pPr>
            <w:r>
              <w:rPr>
                <w:bCs/>
                <w:b/>
              </w:rPr>
              <w:t xml:space="preserve">End-of-Life Treatment</w:t>
            </w: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   Landfilled (80% of 0.2 kg)</w:t>
            </w:r>
          </w:p>
        </w:tc>
        <w:tc>
          <w:tcPr/>
          <w:p>
            <w:pPr>
              <w:pStyle w:val="Compact"/>
              <w:jc w:val="left"/>
            </w:pPr>
            <w:r>
              <w:t xml:space="preserve">0.16 kg</w:t>
            </w:r>
          </w:p>
        </w:tc>
        <w:tc>
          <w:tcPr/>
          <w:p>
            <w:pPr>
              <w:pStyle w:val="Compact"/>
              <w:jc w:val="left"/>
            </w:pPr>
            <w:r>
              <w:t xml:space="preserve">0.2 kg CO2e/kg</w:t>
            </w:r>
          </w:p>
        </w:tc>
        <w:tc>
          <w:tcPr/>
          <w:p>
            <w:pPr>
              <w:pStyle w:val="Compact"/>
              <w:jc w:val="left"/>
            </w:pPr>
            <w:r>
              <w:t xml:space="preserve">0.032</w:t>
            </w:r>
          </w:p>
        </w:tc>
        <w:tc>
          <w:tcPr/>
          <w:p>
            <w:pPr>
              <w:pStyle w:val="Compact"/>
              <w:jc w:val="left"/>
            </w:pPr>
            <w:r>
              <w:t xml:space="preserve">Scope 3</w:t>
            </w:r>
          </w:p>
        </w:tc>
        <w:tc>
          <w:tcPr/>
          <w:p>
            <w:pPr>
              <w:pStyle w:val="Compact"/>
              <w:jc w:val="left"/>
            </w:pPr>
            <w:r>
              <w:t xml:space="preserve">12: End-of-Life Treatment of Sold Products</w:t>
            </w:r>
          </w:p>
        </w:tc>
      </w:tr>
      <w:tr>
        <w:tc>
          <w:tcPr/>
          <w:p>
            <w:pPr>
              <w:pStyle w:val="Compact"/>
              <w:jc w:val="left"/>
            </w:pPr>
            <w:r>
              <w:t xml:space="preserve">   Recycled (20% of 0.2 kg)</w:t>
            </w:r>
          </w:p>
        </w:tc>
        <w:tc>
          <w:tcPr/>
          <w:p>
            <w:pPr>
              <w:pStyle w:val="Compact"/>
              <w:jc w:val="left"/>
            </w:pPr>
            <w:r>
              <w:t xml:space="preserve">0.04 kg</w:t>
            </w:r>
          </w:p>
        </w:tc>
        <w:tc>
          <w:tcPr/>
          <w:p>
            <w:pPr>
              <w:pStyle w:val="Compact"/>
              <w:jc w:val="left"/>
            </w:pPr>
            <w:r>
              <w:t xml:space="preserve">-0.5 kg CO2e/kg (avoided)</w:t>
            </w:r>
          </w:p>
        </w:tc>
        <w:tc>
          <w:tcPr/>
          <w:p>
            <w:pPr>
              <w:pStyle w:val="Compact"/>
              <w:jc w:val="left"/>
            </w:pPr>
            <w:r>
              <w:t xml:space="preserve">-0.02</w:t>
            </w:r>
          </w:p>
        </w:tc>
        <w:tc>
          <w:tcPr/>
          <w:p>
            <w:pPr>
              <w:pStyle w:val="Compact"/>
              <w:jc w:val="left"/>
            </w:pPr>
            <w:r>
              <w:t xml:space="preserve">Scope 3</w:t>
            </w:r>
          </w:p>
        </w:tc>
        <w:tc>
          <w:tcPr/>
          <w:p>
            <w:pPr>
              <w:pStyle w:val="Compact"/>
              <w:jc w:val="left"/>
            </w:pPr>
            <w:r>
              <w:t xml:space="preserve">12: End-of-Life Treatment of Sold Products</w:t>
            </w:r>
          </w:p>
        </w:tc>
      </w:tr>
      <w:tr>
        <w:tc>
          <w:tcPr>
            <w:gridSpan w:val="3"/>
          </w:tcPr>
          <w:p>
            <w:pPr>
              <w:pStyle w:val="Compact"/>
              <w:jc w:val="right"/>
            </w:pPr>
            <w:r>
              <w:rPr>
                <w:bCs/>
                <w:b/>
              </w:rPr>
              <w:t xml:space="preserve">TOTAL PRODUCT CARBON FOOTPRINT (kg CO2e)</w:t>
            </w:r>
          </w:p>
        </w:tc>
        <w:tc>
          <w:tcPr/>
          <w:p>
            <w:pPr>
              <w:pStyle w:val="Compact"/>
              <w:jc w:val="left"/>
            </w:pPr>
            <w:r>
              <w:rPr>
                <w:bCs/>
                <w:b/>
              </w:rPr>
              <w:t xml:space="preserve">47.3985</w:t>
            </w:r>
          </w:p>
        </w:tc>
        <w:tc>
          <w:tcPr/>
          <w:p>
            <w:pPr>
              <w:pStyle w:val="Compact"/>
            </w:pPr>
          </w:p>
        </w:tc>
        <w:tc>
          <w:tcPr/>
          <w:p>
            <w:pPr>
              <w:pStyle w:val="Compact"/>
            </w:pPr>
          </w:p>
        </w:tc>
      </w:tr>
    </w:tbl>
    <w:p>
      <w:pPr>
        <w:pStyle w:val="BodyText"/>
      </w:pPr>
      <w:r>
        <w:rPr>
          <w:bCs/>
          <w:b/>
        </w:rPr>
        <w:t xml:space="preserve">Note on Scope 1 and Scope 2:</w:t>
      </w:r>
      <w:r>
        <w:t xml:space="preserve"> </w:t>
      </w:r>
      <w:r>
        <w:t xml:space="preserve">For a typical brand selling high-end smartphones, the actual manufacturing and most transportation are outsourced. Therefore, the majority of emissions fall under Scope 3 for the brand. Direct emissions (Scope 1) would relate to facilities owned and operated by the brand (e.g., R&amp;D labs, corporate offices, owned vehicles). Scope 2 emissions would be from purchased electricity for these directly owned facilities. For a product PCF, these direct emissions are often aggregated into the manufacturing or overhead categories within Scope 3 for the product itself, as the PCF focuses on the product\'s value chain, not the reporting company\'s direct operations.</w:t>
      </w:r>
    </w:p>
    <w:bookmarkEnd w:id="39"/>
    <w:bookmarkStart w:id="40" w:name="ghg-protocol-scopes-summary"/>
    <w:p>
      <w:pPr>
        <w:pStyle w:val="Heading4"/>
      </w:pPr>
      <w:r>
        <w:t xml:space="preserve">4.2.2. GHG Protocol Scopes Summary</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Description</w:t>
            </w:r>
          </w:p>
        </w:tc>
        <w:tc>
          <w:tcPr/>
          <w:p>
            <w:pPr>
              <w:pStyle w:val="Compact"/>
              <w:jc w:val="left"/>
            </w:pPr>
            <w:r>
              <w:t xml:space="preserve">Estimated CO2e (kg)</w:t>
            </w:r>
          </w:p>
        </w:tc>
        <w:tc>
          <w:tcPr/>
          <w:p>
            <w:pPr>
              <w:pStyle w:val="Compact"/>
              <w:jc w:val="left"/>
            </w:pPr>
            <w:r>
              <w:t xml:space="preserve">Percentage of Total (%)</w:t>
            </w:r>
          </w:p>
        </w:tc>
      </w:tr>
      <w:tr>
        <w:tc>
          <w:tcPr/>
          <w:p>
            <w:pPr>
              <w:pStyle w:val="Compact"/>
              <w:jc w:val="left"/>
            </w:pPr>
            <w:r>
              <w:rPr>
                <w:bCs/>
                <w:b/>
              </w:rPr>
              <w:t xml:space="preserve">Scope 1</w:t>
            </w:r>
          </w:p>
        </w:tc>
        <w:tc>
          <w:tcPr/>
          <w:p>
            <w:pPr>
              <w:pStyle w:val="Compact"/>
              <w:jc w:val="left"/>
            </w:pPr>
            <w:r>
              <w:t xml:space="preserve">Direct emissions from owned or controlled sources.</w:t>
            </w:r>
          </w:p>
        </w:tc>
        <w:tc>
          <w:tcPr/>
          <w:p>
            <w:pPr>
              <w:pStyle w:val="Compact"/>
              <w:jc w:val="left"/>
            </w:pPr>
            <w:r>
              <w:t xml:space="preserve">0.00</w:t>
            </w:r>
          </w:p>
        </w:tc>
        <w:tc>
          <w:tcPr/>
          <w:p>
            <w:pPr>
              <w:pStyle w:val="Compact"/>
              <w:jc w:val="left"/>
            </w:pPr>
            <w:r>
              <w:t xml:space="preserve">0.00%</w:t>
            </w:r>
          </w:p>
        </w:tc>
      </w:tr>
      <w:tr>
        <w:tc>
          <w:tcPr/>
          <w:p>
            <w:pPr>
              <w:pStyle w:val="Compact"/>
              <w:jc w:val="left"/>
            </w:pPr>
            <w:r>
              <w:rPr>
                <w:bCs/>
                <w:b/>
              </w:rPr>
              <w:t xml:space="preserve">Scope 2</w:t>
            </w:r>
          </w:p>
        </w:tc>
        <w:tc>
          <w:tcPr/>
          <w:p>
            <w:pPr>
              <w:pStyle w:val="Compact"/>
              <w:jc w:val="left"/>
            </w:pPr>
            <w:r>
              <w:t xml:space="preserve">Indirect emissions from the generation of purchased energy.</w:t>
            </w:r>
          </w:p>
        </w:tc>
        <w:tc>
          <w:tcPr/>
          <w:p>
            <w:pPr>
              <w:pStyle w:val="Compact"/>
              <w:jc w:val="left"/>
            </w:pPr>
            <w:r>
              <w:t xml:space="preserve">0.00</w:t>
            </w:r>
          </w:p>
        </w:tc>
        <w:tc>
          <w:tcPr/>
          <w:p>
            <w:pPr>
              <w:pStyle w:val="Compact"/>
              <w:jc w:val="left"/>
            </w:pPr>
            <w:r>
              <w:t xml:space="preserve">0.00%</w:t>
            </w:r>
          </w:p>
        </w:tc>
      </w:tr>
      <w:tr>
        <w:tc>
          <w:tcPr/>
          <w:p>
            <w:pPr>
              <w:pStyle w:val="Compact"/>
              <w:jc w:val="left"/>
            </w:pPr>
            <w:r>
              <w:rPr>
                <w:bCs/>
                <w:b/>
              </w:rPr>
              <w:t xml:space="preserve">Scope 3</w:t>
            </w:r>
          </w:p>
        </w:tc>
        <w:tc>
          <w:tcPr/>
          <w:p>
            <w:pPr>
              <w:pStyle w:val="Compact"/>
              <w:jc w:val="left"/>
            </w:pPr>
            <w:r>
              <w:t xml:space="preserve">All other indirect emissions in the value chain (upstream &amp; downstream).</w:t>
            </w:r>
          </w:p>
        </w:tc>
        <w:tc>
          <w:tcPr/>
          <w:p>
            <w:pPr>
              <w:pStyle w:val="Compact"/>
              <w:jc w:val="left"/>
            </w:pPr>
            <w:r>
              <w:t xml:space="preserve">47.3985</w:t>
            </w:r>
          </w:p>
        </w:tc>
        <w:tc>
          <w:tcPr/>
          <w:p>
            <w:pPr>
              <w:pStyle w:val="Compact"/>
              <w:jc w:val="left"/>
            </w:pPr>
            <w:r>
              <w:t xml:space="preserve">100.00%</w:t>
            </w:r>
          </w:p>
        </w:tc>
      </w:tr>
      <w:tr>
        <w:tc>
          <w:tcPr/>
          <w:p>
            <w:pPr>
              <w:pStyle w:val="Compact"/>
              <w:jc w:val="left"/>
            </w:pPr>
            <w:r>
              <w:rPr>
                <w:bCs/>
                <w:b/>
              </w:rPr>
              <w:t xml:space="preserve">Total PCF</w:t>
            </w:r>
          </w:p>
        </w:tc>
        <w:tc>
          <w:tcPr/>
          <w:p>
            <w:pPr>
              <w:pStyle w:val="Compact"/>
            </w:pPr>
          </w:p>
        </w:tc>
        <w:tc>
          <w:tcPr/>
          <w:p>
            <w:pPr>
              <w:pStyle w:val="Compact"/>
              <w:jc w:val="left"/>
            </w:pPr>
            <w:r>
              <w:rPr>
                <w:bCs/>
                <w:b/>
              </w:rPr>
              <w:t xml:space="preserve">47.3985</w:t>
            </w:r>
          </w:p>
        </w:tc>
        <w:tc>
          <w:tcPr/>
          <w:p>
            <w:pPr>
              <w:pStyle w:val="Compact"/>
              <w:jc w:val="left"/>
            </w:pPr>
            <w:r>
              <w:rPr>
                <w:bCs/>
                <w:b/>
              </w:rPr>
              <w:t xml:space="preserve">100.00%</w:t>
            </w:r>
          </w:p>
        </w:tc>
      </w:tr>
    </w:tbl>
    <w:p>
      <w:pPr>
        <w:pStyle w:val="BodyText"/>
      </w:pPr>
      <w:r>
        <w:rPr>
          <w:iCs/>
          <w:i/>
        </w:rPr>
        <w:t xml:space="preserve">Note: For a product PCF reported by an OEM (Original Equipment Manufacturer), direct Scope 1 and 2 emissions from their own factories might be relevant. In this generic high-end smartphone scenario, assuming outsourced manufacturing, the emissions are predominantly Scope 3 for the brand, falling into categories like Purchased Goods &amp; Services, Upstream/Downstream Transportation, Use of Sold Products, and End-of-Life Treatment.</w:t>
      </w:r>
    </w:p>
    <w:bookmarkEnd w:id="40"/>
    <w:bookmarkStart w:id="41" w:name="Xab13a1bdcb50b7182d4bc2aec9fdbafe5015f04"/>
    <w:p>
      <w:pPr>
        <w:pStyle w:val="Heading4"/>
      </w:pPr>
      <w:r>
        <w:t xml:space="preserve">4.2.3. Compliance with 2026 LSR Update (Land Sector and Removals)</w:t>
      </w:r>
    </w:p>
    <w:p>
      <w:pPr>
        <w:pStyle w:val="FirstParagraph"/>
      </w:pPr>
      <w:r>
        <w:t xml:space="preserve">The 2026 LSR Standard for land use and carbon removals has been considered by acknowledging potential emissions and removals associated with raw material sourcing. For electronic devices, direct land-use change impacts are typically less significant than for agricultural or forestry products. However, indirect land use impacts from mining operations (e.g., deforestation for extraction sites) and potential carbon sequestration benefits from sustainable material sourcing (e.g., certified recycled content reducing demand for virgin mining on land) are conceptually incorporated. Quantifying these precisely requires highly specific supply chain data, which is beyond the scope of this illustrative report. The "net avoided emissions" for recycling partially reflects a circular economy approach that lessens pressure on new resource extraction and associated land impacts.</w:t>
      </w:r>
    </w:p>
    <w:bookmarkEnd w:id="41"/>
    <w:bookmarkStart w:id="42" w:name="scope-3-compliance-95-coverage"/>
    <w:p>
      <w:pPr>
        <w:pStyle w:val="Heading4"/>
      </w:pPr>
      <w:r>
        <w:t xml:space="preserve">4.2.4. Scope 3 Compliance (95% Coverage)</w:t>
      </w:r>
    </w:p>
    <w:p>
      <w:pPr>
        <w:pStyle w:val="FirstParagraph"/>
      </w:pPr>
      <w:r>
        <w:t xml:space="preserve">This analysis aims for comprehensive Scope 3 coverage by including all material inputs, manufacturing processes (as purchased goods/services), transportation, use phase energy, and end-of-life scenarios. The most significant categories (Purchased Goods &amp; Services / Manufacturing, and Use of Sold Products) are explicitly quantified, thereby ensuring that the 95% coverage requirement is met based on the illustrative data. Other minor categories (e.g., business travel, employee commuting for the reporting company) are outside the direct product PCF but would be covered in a corporate GHG inventory.</w:t>
      </w:r>
    </w:p>
    <w:p>
      <w:r>
        <w:pict>
          <v:rect style="width:0;height:1.5pt" o:hralign="center" o:hrstd="t" o:hr="t"/>
        </w:pict>
      </w:r>
    </w:p>
    <w:bookmarkEnd w:id="42"/>
    <w:bookmarkEnd w:id="43"/>
    <w:bookmarkEnd w:id="44"/>
    <w:bookmarkStart w:id="48" w:name="review-report"/>
    <w:p>
      <w:pPr>
        <w:pStyle w:val="Heading2"/>
      </w:pPr>
      <w:r>
        <w:t xml:space="preserve">5. Review &amp; Report</w:t>
      </w:r>
    </w:p>
    <w:bookmarkStart w:id="45" w:name="emission-hotspots"/>
    <w:p>
      <w:pPr>
        <w:pStyle w:val="Heading3"/>
      </w:pPr>
      <w:r>
        <w:t xml:space="preserve">5.1. Emission Hotspots</w:t>
      </w:r>
    </w:p>
    <w:p>
      <w:pPr>
        <w:pStyle w:val="FirstParagraph"/>
      </w:pPr>
      <w:r>
        <w:t xml:space="preserve">The analysis clearly identifies the following major emission hotspots for a high-end smartphone:</w:t>
      </w:r>
    </w:p>
    <w:p>
      <w:pPr>
        <w:numPr>
          <w:ilvl w:val="0"/>
          <w:numId w:val="1004"/>
        </w:numPr>
        <w:pStyle w:val="Compact"/>
      </w:pPr>
      <w:r>
        <w:rPr>
          <w:bCs/>
          <w:b/>
        </w:rPr>
        <w:t xml:space="preserve">Manufacturing Phase (including Raw Material Acquisition):</w:t>
      </w:r>
      <w:r>
        <w:t xml:space="preserve"> </w:t>
      </w:r>
      <w:r>
        <w:t xml:space="preserve">This stage contributes the vast majority of the smartphone\'s carbon footprint (approximately 80-85% of total emissions). This is driven by the energy-intensive extraction and processing of metals (especially rare earth elements, aluminum, silicon, and cobalt for batteries) and the electricity consumption for component manufacturing and assembly.</w:t>
      </w:r>
    </w:p>
    <w:p>
      <w:pPr>
        <w:numPr>
          <w:ilvl w:val="0"/>
          <w:numId w:val="1004"/>
        </w:numPr>
        <w:pStyle w:val="Compact"/>
      </w:pPr>
      <w:r>
        <w:rPr>
          <w:bCs/>
          <w:b/>
        </w:rPr>
        <w:t xml:space="preserve">Use Phase (Charging):</w:t>
      </w:r>
      <w:r>
        <w:t xml:space="preserve"> </w:t>
      </w:r>
      <w:r>
        <w:t xml:space="preserve">While significantly smaller than manufacturing, the electricity consumed during the device\'s operational lifetime is a notable contributor, especially considering the global scale of smartphone usage and the carbon intensity of electricity grids in many regions.</w:t>
      </w:r>
    </w:p>
    <w:p>
      <w:pPr>
        <w:numPr>
          <w:ilvl w:val="0"/>
          <w:numId w:val="1004"/>
        </w:numPr>
        <w:pStyle w:val="Compact"/>
      </w:pPr>
      <w:r>
        <w:rPr>
          <w:bCs/>
          <w:b/>
        </w:rPr>
        <w:t xml:space="preserve">Transportation:</w:t>
      </w:r>
      <w:r>
        <w:t xml:space="preserve"> </w:t>
      </w:r>
      <w:r>
        <w:t xml:space="preserve">Air freight, often used for high-value components and finished products in the fast-paced electronics market, contributes disproportionately higher emissions compared to other transport modes.</w:t>
      </w:r>
    </w:p>
    <w:bookmarkEnd w:id="45"/>
    <w:bookmarkStart w:id="46" w:name="reliability-and-limitations"/>
    <w:p>
      <w:pPr>
        <w:pStyle w:val="Heading3"/>
      </w:pPr>
      <w:r>
        <w:t xml:space="preserve">5.2. Reliability and Limitations</w:t>
      </w:r>
    </w:p>
    <w:p>
      <w:pPr>
        <w:pStyle w:val="FirstParagraph"/>
      </w:pPr>
      <w:r>
        <w:t xml:space="preserve">The reliability of this report is based on the application of recognized GHG Protocol methodologies and the use of simulated industry-average data derived from credible sources. However, certain limitations exist:</w:t>
      </w:r>
    </w:p>
    <w:p>
      <w:pPr>
        <w:numPr>
          <w:ilvl w:val="0"/>
          <w:numId w:val="1005"/>
        </w:numPr>
        <w:pStyle w:val="Compact"/>
      </w:pPr>
      <w:r>
        <w:rPr>
          <w:bCs/>
          <w:b/>
        </w:rPr>
        <w:t xml:space="preserve">Secondary Data Reliance:</w:t>
      </w:r>
      <w:r>
        <w:t xml:space="preserve"> </w:t>
      </w:r>
      <w:r>
        <w:t xml:space="preserve">The use of generic, simulated emission factors and activity data introduces inherent uncertainty. Actual values would require primary data collection from specific suppliers and manufacturing processes.</w:t>
      </w:r>
    </w:p>
    <w:p>
      <w:pPr>
        <w:numPr>
          <w:ilvl w:val="0"/>
          <w:numId w:val="1005"/>
        </w:numPr>
        <w:pStyle w:val="Compact"/>
      </w:pPr>
      <w:r>
        <w:rPr>
          <w:bCs/>
          <w:b/>
        </w:rPr>
        <w:t xml:space="preserve">Dynamic Technology:</w:t>
      </w:r>
      <w:r>
        <w:t xml:space="preserve"> </w:t>
      </w:r>
      <w:r>
        <w:t xml:space="preserve">The smartphone industry is rapidly evolving. Material compositions, manufacturing efficiencies, and energy consumption patterns change frequently, potentially impacting PCF results over time.</w:t>
      </w:r>
    </w:p>
    <w:p>
      <w:pPr>
        <w:numPr>
          <w:ilvl w:val="0"/>
          <w:numId w:val="1005"/>
        </w:numPr>
        <w:pStyle w:val="Compact"/>
      </w:pPr>
      <w:r>
        <w:rPr>
          <w:bCs/>
          <w:b/>
        </w:rPr>
        <w:t xml:space="preserve">Scope 3 Complexity:</w:t>
      </w:r>
      <w:r>
        <w:t xml:space="preserve"> </w:t>
      </w:r>
      <w:r>
        <w:t xml:space="preserve">While comprehensive, fully tracing the entire global supply chain for all Scope 3 categories to obtain precise primary data is a highly complex and resource-intensive undertaking.</w:t>
      </w:r>
    </w:p>
    <w:p>
      <w:pPr>
        <w:numPr>
          <w:ilvl w:val="0"/>
          <w:numId w:val="1005"/>
        </w:numPr>
        <w:pStyle w:val="Compact"/>
      </w:pPr>
      <w:r>
        <w:rPr>
          <w:bCs/>
          <w:b/>
        </w:rPr>
        <w:t xml:space="preserve">LSR Standard Application:</w:t>
      </w:r>
      <w:r>
        <w:t xml:space="preserve"> </w:t>
      </w:r>
      <w:r>
        <w:t xml:space="preserve">For electronics, direct land-use impacts are often less prominent than for other sectors. The qualitative consideration of the LSR standard is sufficient for this high-level analysis, but quantitative application would require detailed land-use change data linked to specific raw material origins.</w:t>
      </w:r>
    </w:p>
    <w:bookmarkEnd w:id="46"/>
    <w:bookmarkStart w:id="47" w:name="recommendations-for-reduction"/>
    <w:p>
      <w:pPr>
        <w:pStyle w:val="Heading3"/>
      </w:pPr>
      <w:r>
        <w:t xml:space="preserve">5.3. Recommendations for Reduction</w:t>
      </w:r>
    </w:p>
    <w:p>
      <w:pPr>
        <w:pStyle w:val="FirstParagraph"/>
      </w:pPr>
      <w:r>
        <w:t xml:space="preserve">To reduce the carbon footprint of high-end smartphones, the following areas should be prioritized:</w:t>
      </w:r>
    </w:p>
    <w:p>
      <w:pPr>
        <w:numPr>
          <w:ilvl w:val="0"/>
          <w:numId w:val="1006"/>
        </w:numPr>
        <w:pStyle w:val="Compact"/>
      </w:pPr>
      <w:r>
        <w:rPr>
          <w:bCs/>
          <w:b/>
        </w:rPr>
        <w:t xml:space="preserve">Sustainable Material Sourcing:</w:t>
      </w:r>
      <w:r>
        <w:t xml:space="preserve"> </w:t>
      </w:r>
      <w:r>
        <w:t xml:space="preserve">Focus on increasing the use of recycled content (especially for metals and plastics), sourcing materials with lower embedded emissions, and promoting ethical and less impactful mining practices.</w:t>
      </w:r>
    </w:p>
    <w:p>
      <w:pPr>
        <w:numPr>
          <w:ilvl w:val="0"/>
          <w:numId w:val="1006"/>
        </w:numPr>
        <w:pStyle w:val="Compact"/>
      </w:pPr>
      <w:r>
        <w:rPr>
          <w:bCs/>
          <w:b/>
        </w:rPr>
        <w:t xml:space="preserve">Energy Efficiency in Manufacturing:</w:t>
      </w:r>
      <w:r>
        <w:t xml:space="preserve"> </w:t>
      </w:r>
      <w:r>
        <w:t xml:space="preserve">Collaborate with suppliers to promote renewable energy adoption in manufacturing facilities and implement energy-efficient production technologies.</w:t>
      </w:r>
    </w:p>
    <w:p>
      <w:pPr>
        <w:numPr>
          <w:ilvl w:val="0"/>
          <w:numId w:val="1006"/>
        </w:numPr>
        <w:pStyle w:val="Compact"/>
      </w:pPr>
      <w:r>
        <w:rPr>
          <w:bCs/>
          <w:b/>
        </w:rPr>
        <w:t xml:space="preserve">Extend Product Lifespan:</w:t>
      </w:r>
      <w:r>
        <w:t xml:space="preserve"> </w:t>
      </w:r>
      <w:r>
        <w:t xml:space="preserve">Design for durability, repairability, and upgradability to reduce the frequency of new device purchases. Promoting refurbishment and reuse models can significantly lower overall emissions.</w:t>
      </w:r>
    </w:p>
    <w:p>
      <w:pPr>
        <w:numPr>
          <w:ilvl w:val="0"/>
          <w:numId w:val="1006"/>
        </w:numPr>
        <w:pStyle w:val="Compact"/>
      </w:pPr>
      <w:r>
        <w:rPr>
          <w:bCs/>
          <w:b/>
        </w:rPr>
        <w:t xml:space="preserve">Improve End-of-Life Management:</w:t>
      </w:r>
      <w:r>
        <w:t xml:space="preserve"> </w:t>
      </w:r>
      <w:r>
        <w:t xml:space="preserve">Invest in and promote robust take-back schemes, proper recycling infrastructure, and advanced material recovery technologies to increase recycling rates beyond the current 15-22%.</w:t>
      </w:r>
    </w:p>
    <w:p>
      <w:pPr>
        <w:numPr>
          <w:ilvl w:val="0"/>
          <w:numId w:val="1006"/>
        </w:numPr>
        <w:pStyle w:val="Compact"/>
      </w:pPr>
      <w:r>
        <w:rPr>
          <w:bCs/>
          <w:b/>
        </w:rPr>
        <w:t xml:space="preserve">Optimize Logistics:</w:t>
      </w:r>
      <w:r>
        <w:t xml:space="preserve"> </w:t>
      </w:r>
      <w:r>
        <w:t xml:space="preserve">Prioritize slower, less carbon-intensive transportation modes (e.g., ocean freight over air freight) where feasible without compromising market competitiveness.</w:t>
      </w:r>
    </w:p>
    <w:p>
      <w:pPr>
        <w:numPr>
          <w:ilvl w:val="0"/>
          <w:numId w:val="1006"/>
        </w:numPr>
        <w:pStyle w:val="Compact"/>
      </w:pPr>
      <w:r>
        <w:rPr>
          <w:bCs/>
          <w:b/>
        </w:rPr>
        <w:t xml:space="preserve">User Phase Efficiency:</w:t>
      </w:r>
      <w:r>
        <w:t xml:space="preserve"> </w:t>
      </w:r>
      <w:r>
        <w:t xml:space="preserve">While the direct impact is smaller, educating consumers on efficient charging practices (e.g., unplugging chargers when not in use) and the carbon benefits of using renewable energy for home charging can contribute.</w:t>
      </w:r>
    </w:p>
    <w:p>
      <w:r>
        <w:pict>
          <v:rect style="width:0;height:1.5pt" o:hralign="center" o:hrstd="t" o:hr="t"/>
        </w:pict>
      </w:r>
    </w:p>
    <w:p>
      <w:pPr>
        <w:pStyle w:val="FirstParagraph"/>
      </w:pPr>
      <w:r>
        <w:t xml:space="preserve">Confidential - Internal Use Only</w:t>
      </w:r>
    </w:p>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High-End Smartphone</dc:title>
  <dc:creator/>
  <dc:description>High-detail Product Carbon Footprint (PCF) analysis for a high-end smartphone, adhering to GHG Protocol and 2026 LSR Update requirements.</dc:description>
  <dc:language>en</dc:language>
  <cp:keywords/>
  <dcterms:created xsi:type="dcterms:W3CDTF">2026-08-24T02:36:30Z</dcterms:created>
  <dcterms:modified xsi:type="dcterms:W3CDTF">2026-08-24T02:36:30Z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