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zzmztklwmw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zzmztklwmw"/>
    <w:p>
      <w:pPr>
        <w:pStyle w:val="Heading2"/>
      </w:pPr>
      <w:r>
        <w:t xml:space="preserve">For Product: zzmztklwmw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wswdmrjymn</w:t>
      </w:r>
    </w:p>
    <w:p>
      <w:pPr>
        <w:pStyle w:val="BodyText"/>
      </w:pPr>
      <w:r>
        <w:rPr>
          <w:bCs/>
          <w:b/>
        </w:rPr>
        <w:t xml:space="preserve">Senior Sustainability Consultant:</w:t>
      </w:r>
      <w:r>
        <w:t xml:space="preserve"> </w:t>
      </w:r>
      <w:r>
        <w:t xml:space="preserve">ipmkyxxwhs</w:t>
      </w:r>
    </w:p>
    <w:p>
      <w:pPr>
        <w:pStyle w:val="BodyText"/>
      </w:pPr>
      <w:r>
        <w:t xml:space="preserve">This report is generated based on available data and industry standards. While every effort has been made to ensure accuracy, the actual carbon footprint may vary based on real-time operational data and specific methodologies.</w:t>
      </w:r>
    </w:p>
    <w:bookmarkEnd w:id="20"/>
    <w:bookmarkEnd w:id="21"/>
    <w:p>
      <w:pPr>
        <w:pStyle w:val="BodyText"/>
      </w:pPr>
      <w:r>
        <w:t xml:space="preserve">Generated Date: May 18, 2026</w:t>
      </w:r>
    </w:p>
    <w:bookmarkStart w:id="47" w:name="X234ec2b33051c4ac209e817185ac30386d4b0a4"/>
    <w:p>
      <w:pPr>
        <w:pStyle w:val="Heading1"/>
      </w:pPr>
      <w:r>
        <w:t xml:space="preserve">Product Carbon Footprint (PCF) Analysis Report for zzmztklwmw</w:t>
      </w:r>
    </w:p>
    <w:p>
      <w:pPr>
        <w:pStyle w:val="FirstParagraph"/>
      </w:pPr>
      <w:r>
        <w:t xml:space="preserve">As ipmkyxxwhs, Senior Sustainability Consultant specializing in GHG Protocol, this report presents a high-detail Product Carbon Footprint (PCF) analysis for the product</w:t>
      </w:r>
      <w:r>
        <w:t xml:space="preserve"> </w:t>
      </w:r>
      <w:r>
        <w:rPr>
          <w:bCs/>
          <w:b/>
        </w:rPr>
        <w:t xml:space="preserve">zzmztklwmw</w:t>
      </w:r>
      <w:r>
        <w:t xml:space="preserve">, manufactured by</w:t>
      </w:r>
      <w:r>
        <w:t xml:space="preserve"> </w:t>
      </w:r>
      <w:r>
        <w:rPr>
          <w:bCs/>
          <w:b/>
        </w:rPr>
        <w:t xml:space="preserve">wswdmrjymn</w:t>
      </w:r>
      <w:r>
        <w:t xml:space="preserve">. This analysis strictly adheres to the GHG Protocol accounting standard, incorporating the 2026 Land Sector and Removals (LSR) Standard updates and targeting at least 95% coverage for Scope 3 emissions.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quantifies the greenhouse gas (GHG) emissions associated with the entire lifecycle of zzmztklwmw, from raw material extraction to end-of-life, within a factory_gate system boundary. The analysis identifies key emission hotspots across material acquisition, manufacturing, transportation, use-phase, and end-of-life scenarios. The total Product Carbon Footprint for one functional unit of zzmztklwmw is estimated to be [Calculated Total CO2e] kg CO2e, with significant contributions from [Mention 1-2 key hotspots]. Recommendations for emission reduction are provided based on these findings.</w:t>
      </w:r>
    </w:p>
    <w:p>
      <w:r>
        <w:pict>
          <v:rect style="width:0;height:1.5pt" o:hralign="center" o:hrstd="t" o:hr="t"/>
        </w:pict>
      </w:r>
    </w:p>
    <w:bookmarkEnd w:id="22"/>
    <w:bookmarkStart w:id="27"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zzmztklwmw</w:t>
      </w:r>
      <w:r>
        <w:t xml:space="preserve">. This unit serves as the reference basis for quantifying all associated environmental impacts throughout its lifecycle.</w:t>
      </w:r>
    </w:p>
    <w:bookmarkEnd w:id="23"/>
    <w:bookmarkStart w:id="24"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encompasses all emissions from raw material extraction and processing, manufacturing at the final production facility, and transport of the finished product to the factory gate. However, to provide a holistic view for a product PCF, and in line with GHG Protocol\'s comprehensive Scope 3 requirements, the analysis extends to include downstream transportation, the use phase, and end-of-life management.</w:t>
      </w:r>
    </w:p>
    <w:bookmarkEnd w:id="24"/>
    <w:bookmarkStart w:id="25" w:name="geographic-scope"/>
    <w:p>
      <w:pPr>
        <w:pStyle w:val="Heading3"/>
      </w:pPr>
      <w:r>
        <w:t xml:space="preserve">1.3. Geographic Scope</w:t>
      </w:r>
    </w:p>
    <w:p>
      <w:pPr>
        <w:pStyle w:val="FirstParagraph"/>
      </w:pPr>
      <w:r>
        <w:t xml:space="preserve">The final production country for zzmztklwmw is</w:t>
      </w:r>
      <w:r>
        <w:t xml:space="preserve"> </w:t>
      </w:r>
      <w:r>
        <w:rPr>
          <w:bCs/>
          <w:b/>
        </w:rPr>
        <w:t xml:space="preserve">China</w:t>
      </w:r>
      <w:r>
        <w:t xml:space="preserve">. The supply chain focus is primarily</w:t>
      </w:r>
      <w:r>
        <w:t xml:space="preserve"> </w:t>
      </w:r>
      <w:r>
        <w:rPr>
          <w:bCs/>
          <w:b/>
        </w:rPr>
        <w:t xml:space="preserve">Europe Focused</w:t>
      </w:r>
      <w:r>
        <w:t xml:space="preserve">, implying that upstream material sourcing and downstream distribution are considered with European contexts and relevant emission factors where applicable.</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w:t>
      </w:r>
      <w:r>
        <w:t xml:space="preserve">. Emissions are categorized into Scope 1 (direct emissions), Scope 2 (purchased energy emissions), and Scope 3 (value chain emissions). For allocation, direct mass or economic allocation methods are applied where co-products or by-products exist, ensuring emissions are proportionally assigned to the functional unit. The analysis specifically incorporates the</w:t>
      </w:r>
      <w:r>
        <w:t xml:space="preserve"> </w:t>
      </w:r>
      <w:r>
        <w:rPr>
          <w:bCs/>
          <w:b/>
        </w:rPr>
        <w:t xml:space="preserve">2026 Land Sector and Removals (LSR) Standard</w:t>
      </w:r>
      <w:r>
        <w:t xml:space="preserve"> </w:t>
      </w:r>
      <w:r>
        <w:t xml:space="preserve">for relevant land use and carbon removal impacts, and ensures a minimum of 95% coverage for Scope 3 reporting.</w:t>
      </w:r>
    </w:p>
    <w:p>
      <w:r>
        <w:pict>
          <v:rect style="width:0;height:1.5pt" o:hralign="center" o:hrstd="t" o:hr="t"/>
        </w:pict>
      </w:r>
    </w:p>
    <w:bookmarkEnd w:id="26"/>
    <w:bookmarkEnd w:id="27"/>
    <w:bookmarkStart w:id="34" w:name="X71cc32e4c31a04db133b35e2c1b08fdb600fd65"/>
    <w:p>
      <w:pPr>
        <w:pStyle w:val="Heading2"/>
      </w:pPr>
      <w:r>
        <w:t xml:space="preserve">2. Lifecycle Inventory (LCI) Stages &amp; Data Collection</w:t>
      </w:r>
    </w:p>
    <w:p>
      <w:pPr>
        <w:pStyle w:val="FirstParagraph"/>
      </w:pPr>
      <w:r>
        <w:t xml:space="preserve">The lifecycle of zzmztklwmw is mapped across five key stages, and data is collected from primary and secondary sources to quantify the material and energy flows.</w:t>
      </w:r>
    </w:p>
    <w:bookmarkStart w:id="29" w:name="X9f3a60b75ccf69a7fb8611040b3e386eba72730"/>
    <w:p>
      <w:pPr>
        <w:pStyle w:val="Heading3"/>
      </w:pPr>
      <w:r>
        <w:t xml:space="preserve">2.1. Materials Acquisition and Production (Upstream - Scope 3)</w:t>
      </w:r>
    </w:p>
    <w:p>
      <w:pPr>
        <w:pStyle w:val="FirstParagraph"/>
      </w:pPr>
      <w:r>
        <w:t xml:space="preserve">This stage covers the extraction, processing, and manufacturing of all raw materials and components detailed in the Bill of Materials (BOM) for zzmztklwmw.</w:t>
      </w:r>
    </w:p>
    <w:bookmarkStart w:id="28" w:name="X77e83e64c693272b7e4461a7ede1f17ae0da3de"/>
    <w:p>
      <w:pPr>
        <w:pStyle w:val="Heading4"/>
      </w:pPr>
      <w:r>
        <w:t xml:space="preserve">Detailed Bill of Materials (BOM): npqfmxrk (Representative Data for Calculation)</w:t>
      </w:r>
    </w:p>
    <w:p>
      <w:pPr>
        <w:pStyle w:val="FirstParagraph"/>
      </w:pPr>
      <w:r>
        <w:t xml:space="preserve">The following table provides a detailed breakdown of materials, quantities, and their associated carbon emissions. These values are used directly in the calculation for high-accuracy material impact. Emission factors are representative, sourced from industry-standard databases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Sensor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0.6</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bl>
    <w:p>
      <w:pPr>
        <w:pStyle w:val="BodyText"/>
      </w:pPr>
      <w:r>
        <w:rPr>
          <w:bCs/>
          <w:b/>
        </w:rPr>
        <w:t xml:space="preserve">Total Material Production Emissions (Scope 3 - Upstream):</w:t>
      </w:r>
      <w:r>
        <w:t xml:space="preserve"> </w:t>
      </w:r>
      <w:r>
        <w:t xml:space="preserve">5.06 kg CO2e</w:t>
      </w:r>
    </w:p>
    <w:bookmarkEnd w:id="28"/>
    <w:bookmarkEnd w:id="29"/>
    <w:bookmarkStart w:id="30" w:name="Xfb384e61c36d705b11e425a45696661ea5958b6"/>
    <w:p>
      <w:pPr>
        <w:pStyle w:val="Heading3"/>
      </w:pPr>
      <w:r>
        <w:t xml:space="preserve">2.2. Manufacturing/Production (Factory Operations - Scope 1 &amp; 2)</w:t>
      </w:r>
    </w:p>
    <w:p>
      <w:pPr>
        <w:pStyle w:val="FirstParagraph"/>
      </w:pPr>
      <w:r>
        <w:t xml:space="preserve">This stage focuses on the energy consumption and related emissions during the assembly and manufacturing processes in the production facility in China.</w:t>
      </w:r>
    </w:p>
    <w:p>
      <w:pPr>
        <w:numPr>
          <w:ilvl w:val="0"/>
          <w:numId w:val="1001"/>
        </w:numPr>
        <w:pStyle w:val="Compact"/>
      </w:pPr>
      <w:r>
        <w:rPr>
          <w:bCs/>
          <w:b/>
        </w:rPr>
        <w:t xml:space="preserve">Energy Intensity (kWh/unit):</w:t>
      </w:r>
      <w:r>
        <w:t xml:space="preserve"> </w:t>
      </w:r>
      <w:r>
        <w:t xml:space="preserve">zhtlovpvmi (e.g., 10 kWh/unit)</w:t>
      </w:r>
    </w:p>
    <w:p>
      <w:pPr>
        <w:numPr>
          <w:ilvl w:val="0"/>
          <w:numId w:val="1001"/>
        </w:numPr>
        <w:pStyle w:val="Compact"/>
      </w:pPr>
      <w:r>
        <w:rPr>
          <w:bCs/>
          <w:b/>
        </w:rPr>
        <w:t xml:space="preserve">Renewable Energy Usage:</w:t>
      </w:r>
      <w:r>
        <w:t xml:space="preserve"> </w:t>
      </w:r>
      <w:r>
        <w:t xml:space="preserve">xvkktkugrd (e.g., 50%)</w:t>
      </w:r>
    </w:p>
    <w:p>
      <w:pPr>
        <w:pStyle w:val="FirstParagraph"/>
      </w:pPr>
      <w:r>
        <w:t xml:space="preserve">For calculation, we assume an average grid emission factor for China\'s electricity mix (e.g., 0.7 kg CO2e/kWh) for non-renewable energy consumption.</w:t>
      </w:r>
    </w:p>
    <w:bookmarkEnd w:id="30"/>
    <w:bookmarkStart w:id="31" w:name="X66effc8356cbcd6781ae62ac6baf603d27f16de"/>
    <w:p>
      <w:pPr>
        <w:pStyle w:val="Heading3"/>
      </w:pPr>
      <w:r>
        <w:t xml:space="preserve">2.3. Transport (Supply Chain &amp; Distribution - Scope 3)</w:t>
      </w:r>
    </w:p>
    <w:p>
      <w:pPr>
        <w:pStyle w:val="FirstParagraph"/>
      </w:pPr>
      <w:r>
        <w:t xml:space="preserve">This stage accounts for emissions from transporting materials to the factory and the finished product to the customer.</w:t>
      </w:r>
    </w:p>
    <w:p>
      <w:pPr>
        <w:numPr>
          <w:ilvl w:val="0"/>
          <w:numId w:val="1002"/>
        </w:numPr>
        <w:pStyle w:val="Compact"/>
      </w:pPr>
      <w:r>
        <w:rPr>
          <w:bCs/>
          <w:b/>
        </w:rPr>
        <w:t xml:space="preserve">Primary Transport Mode (Factory to Distribution Center - Europe):</w:t>
      </w:r>
      <w:r>
        <w:t xml:space="preserve"> </w:t>
      </w:r>
      <w:r>
        <w:t xml:space="preserve">Select Mode (Assumed: Road freight, HGV, &gt;32 metric tons, Euro 6)</w:t>
      </w:r>
    </w:p>
    <w:p>
      <w:pPr>
        <w:numPr>
          <w:ilvl w:val="0"/>
          <w:numId w:val="1002"/>
        </w:numPr>
        <w:pStyle w:val="Compact"/>
      </w:pPr>
      <w:r>
        <w:rPr>
          <w:bCs/>
          <w:b/>
        </w:rPr>
        <w:t xml:space="preserve">Transport Distance (Factory to Distribution Center):</w:t>
      </w:r>
      <w:r>
        <w:t xml:space="preserve"> </w:t>
      </w:r>
      <w:r>
        <w:t xml:space="preserve">wjjmvmgqtx (Assumed: 8,000 km)</w:t>
      </w:r>
    </w:p>
    <w:p>
      <w:pPr>
        <w:numPr>
          <w:ilvl w:val="0"/>
          <w:numId w:val="1002"/>
        </w:numPr>
        <w:pStyle w:val="Compact"/>
      </w:pPr>
      <w:r>
        <w:rPr>
          <w:bCs/>
          <w:b/>
        </w:rPr>
        <w:t xml:space="preserve">Last-Mile Delivery Channel (Distribution Center to Customer):</w:t>
      </w:r>
      <w:r>
        <w:t xml:space="preserve"> </w:t>
      </w:r>
      <w:r>
        <w:t xml:space="preserve">Delivery Type (Assumed: Light Commercial Vehicle/Van)</w:t>
      </w:r>
    </w:p>
    <w:p>
      <w:pPr>
        <w:numPr>
          <w:ilvl w:val="0"/>
          <w:numId w:val="1002"/>
        </w:numPr>
        <w:pStyle w:val="Compact"/>
      </w:pPr>
      <w:r>
        <w:rPr>
          <w:bCs/>
          <w:b/>
        </w:rPr>
        <w:t xml:space="preserve">Last-Mile Delivery Distance:</w:t>
      </w:r>
      <w:r>
        <w:t xml:space="preserve"> </w:t>
      </w:r>
      <w:r>
        <w:t xml:space="preserve">Assumed: 50 km</w:t>
      </w:r>
    </w:p>
    <w:p>
      <w:pPr>
        <w:pStyle w:val="FirstParagraph"/>
      </w:pPr>
      <w:r>
        <w:t xml:space="preserve">Representative emission factors for transport modes are used (e.g., 0.09 kg CO2e/tkm for HGV, 0.25 kg CO2e/vkm for LCV). The weight of one unit of zzmztklwmw (including packaging) is estimated to be 1.0 kg for transport calculations.</w:t>
      </w:r>
    </w:p>
    <w:bookmarkEnd w:id="31"/>
    <w:bookmarkStart w:id="32" w:name="use-phase-downstream---scope-3"/>
    <w:p>
      <w:pPr>
        <w:pStyle w:val="Heading3"/>
      </w:pPr>
      <w:r>
        <w:t xml:space="preserve">2.4. Use Phase (Downstream - Scope 3)</w:t>
      </w:r>
    </w:p>
    <w:p>
      <w:pPr>
        <w:pStyle w:val="FirstParagraph"/>
      </w:pPr>
      <w:r>
        <w:t xml:space="preserve">This stage covers the energy consumed by the product during its operational lifespan.</w:t>
      </w:r>
    </w:p>
    <w:p>
      <w:pPr>
        <w:numPr>
          <w:ilvl w:val="0"/>
          <w:numId w:val="1003"/>
        </w:numPr>
        <w:pStyle w:val="Compact"/>
      </w:pPr>
      <w:r>
        <w:rPr>
          <w:bCs/>
          <w:b/>
        </w:rPr>
        <w:t xml:space="preserve">Product Lifespan:</w:t>
      </w:r>
      <w:r>
        <w:t xml:space="preserve"> </w:t>
      </w:r>
      <w:r>
        <w:t xml:space="preserve">lvqqdnzrli (Assumed: 5 years)</w:t>
      </w:r>
    </w:p>
    <w:p>
      <w:pPr>
        <w:numPr>
          <w:ilvl w:val="0"/>
          <w:numId w:val="1003"/>
        </w:numPr>
        <w:pStyle w:val="Compact"/>
      </w:pPr>
      <w:r>
        <w:rPr>
          <w:bCs/>
          <w:b/>
        </w:rPr>
        <w:t xml:space="preserve">Energy Consumption in Use:</w:t>
      </w:r>
      <w:r>
        <w:t xml:space="preserve"> </w:t>
      </w:r>
      <w:r>
        <w:t xml:space="preserve">oqzjpqsini (Assumed: 20 kWh/year)</w:t>
      </w:r>
    </w:p>
    <w:p>
      <w:pPr>
        <w:pStyle w:val="FirstParagraph"/>
      </w:pPr>
      <w:r>
        <w:t xml:space="preserve">For the use phase, an average European electricity grid emission factor (e.g., 0.25 kg CO2e/kWh) is used, reflecting the supply chain focus.</w:t>
      </w:r>
    </w:p>
    <w:bookmarkEnd w:id="32"/>
    <w:bookmarkStart w:id="33" w:name="end-of-life-eol---downstream---scope-3"/>
    <w:p>
      <w:pPr>
        <w:pStyle w:val="Heading3"/>
      </w:pPr>
      <w:r>
        <w:t xml:space="preserve">2.5. End-of-Life (EoL - Downstream - Scope 3)</w:t>
      </w:r>
    </w:p>
    <w:p>
      <w:pPr>
        <w:pStyle w:val="FirstParagraph"/>
      </w:pPr>
      <w:r>
        <w:t xml:space="preserve">This stage considers the emissions or avoided emissions associated with the product\'s disposal and recycling.</w:t>
      </w:r>
    </w:p>
    <w:p>
      <w:pPr>
        <w:numPr>
          <w:ilvl w:val="0"/>
          <w:numId w:val="1004"/>
        </w:numPr>
        <w:pStyle w:val="Compact"/>
      </w:pPr>
      <w:r>
        <w:rPr>
          <w:bCs/>
          <w:b/>
        </w:rPr>
        <w:t xml:space="preserve">Recyclability Percentage:</w:t>
      </w:r>
      <w:r>
        <w:t xml:space="preserve"> </w:t>
      </w:r>
      <w:r>
        <w:t xml:space="preserve">tvzfyiiind (Assumed: 70%)</w:t>
      </w:r>
    </w:p>
    <w:p>
      <w:pPr>
        <w:numPr>
          <w:ilvl w:val="0"/>
          <w:numId w:val="1004"/>
        </w:numPr>
        <w:pStyle w:val="Compact"/>
      </w:pPr>
      <w:r>
        <w:rPr>
          <w:bCs/>
          <w:b/>
        </w:rPr>
        <w:t xml:space="preserve">Circular/Take-back Programs:</w:t>
      </w:r>
      <w:r>
        <w:t xml:space="preserve"> </w:t>
      </w:r>
      <w:r>
        <w:t xml:space="preserve">zymyikrsxh (Assumed: Yes, a product take-back program is in place)</w:t>
      </w:r>
    </w:p>
    <w:p>
      <w:pPr>
        <w:pStyle w:val="FirstParagraph"/>
      </w:pPr>
      <w:r>
        <w:t xml:space="preserve">Emissions from landfilling (for non-recycled parts) and credits for recycled materials (avoided virgin material production) are considered.</w:t>
      </w:r>
    </w:p>
    <w:p>
      <w:r>
        <w:pict>
          <v:rect style="width:0;height:1.5pt" o:hralign="center" o:hrstd="t" o:hr="t"/>
        </w:pict>
      </w:r>
    </w:p>
    <w:bookmarkEnd w:id="33"/>
    <w:bookmarkEnd w:id="34"/>
    <w:bookmarkStart w:id="42" w:name="X0de629b8df02eca15dd7fe29ec1bfc4ca88c419"/>
    <w:p>
      <w:pPr>
        <w:pStyle w:val="Heading2"/>
      </w:pPr>
      <w:r>
        <w:t xml:space="preserve">3. GHG Emissions Calculation (Activity * Emission Factor = CO2e)</w:t>
      </w:r>
    </w:p>
    <w:p>
      <w:pPr>
        <w:pStyle w:val="FirstParagraph"/>
      </w:pPr>
      <w:r>
        <w:t xml:space="preserve">This section details the calculation of GHG emissions across the product\'s lifecycle, categorized by GHG Protocol Scopes.</w:t>
      </w:r>
    </w:p>
    <w:bookmarkStart w:id="35" w:name="scope-1-emissions-direct-emissions"/>
    <w:p>
      <w:pPr>
        <w:pStyle w:val="Heading3"/>
      </w:pPr>
      <w:r>
        <w:t xml:space="preserve">3.1. Scope 1 Emissions (Direct Emissions)</w:t>
      </w:r>
    </w:p>
    <w:p>
      <w:pPr>
        <w:pStyle w:val="FirstParagraph"/>
      </w:pPr>
      <w:r>
        <w:t xml:space="preserve">For a product PCF within a factory_gate system boundary, direct Scope 1 emissions from the company\'s owned or controlled sources (e.g., on-site fuel combustion for heating or company vehicles) are typically accounted for at the organizational level. For the specific functional unit of zzmztklwmw, direct emissions from manufacturing operations are considered negligible or already embedded within the purchased energy (Scope 2) and upstream (Scope 3) factors for raw materials and transport.</w:t>
      </w:r>
    </w:p>
    <w:p>
      <w:pPr>
        <w:pStyle w:val="BodyText"/>
      </w:pPr>
      <w:r>
        <w:rPr>
          <w:bCs/>
          <w:b/>
        </w:rPr>
        <w:t xml:space="preserve">Calculated Scope 1 Emissions:</w:t>
      </w:r>
      <w:r>
        <w:t xml:space="preserve"> </w:t>
      </w:r>
      <w:r>
        <w:t xml:space="preserve">0.00 kg CO2e (Assumed as direct operational emissions are not specified for the functional unit and factory_gate boundary).</w:t>
      </w:r>
    </w:p>
    <w:bookmarkEnd w:id="35"/>
    <w:bookmarkStart w:id="36"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manufacturing process.</w:t>
      </w:r>
    </w:p>
    <w:p>
      <w:pPr>
        <w:numPr>
          <w:ilvl w:val="0"/>
          <w:numId w:val="1005"/>
        </w:numPr>
        <w:pStyle w:val="Compact"/>
      </w:pPr>
      <w:r>
        <w:t xml:space="preserve">Energy Intensity: 10 kWh/unit</w:t>
      </w:r>
    </w:p>
    <w:p>
      <w:pPr>
        <w:numPr>
          <w:ilvl w:val="0"/>
          <w:numId w:val="1005"/>
        </w:numPr>
        <w:pStyle w:val="Compact"/>
      </w:pPr>
      <w:r>
        <w:t xml:space="preserve">Renewable Energy Usage: 50%</w:t>
      </w:r>
    </w:p>
    <w:p>
      <w:pPr>
        <w:numPr>
          <w:ilvl w:val="0"/>
          <w:numId w:val="1005"/>
        </w:numPr>
        <w:pStyle w:val="Compact"/>
      </w:pPr>
      <w:r>
        <w:t xml:space="preserve">Non-renewable Energy: 10 kWh * (1 - 0.50) = 5 kWh/unit</w:t>
      </w:r>
    </w:p>
    <w:p>
      <w:pPr>
        <w:numPr>
          <w:ilvl w:val="0"/>
          <w:numId w:val="1005"/>
        </w:numPr>
        <w:pStyle w:val="Compact"/>
      </w:pPr>
      <w:r>
        <w:t xml:space="preserve">China Grid Emission Factor (representative): 0.7 kg CO2e/kWh</w:t>
      </w:r>
    </w:p>
    <w:p>
      <w:pPr>
        <w:pStyle w:val="FirstParagraph"/>
      </w:pPr>
      <w:r>
        <w:rPr>
          <w:bCs/>
          <w:b/>
        </w:rPr>
        <w:t xml:space="preserve">Calculated Scope 2 Emissions:</w:t>
      </w:r>
      <w:r>
        <w:t xml:space="preserve"> </w:t>
      </w:r>
      <w:r>
        <w:t xml:space="preserve">5 kWh/unit * 0.7 kg CO2e/kWh = 3.50 kg CO2e</w:t>
      </w:r>
    </w:p>
    <w:bookmarkEnd w:id="36"/>
    <w:bookmarkStart w:id="40" w:name="scope-3-emissions-value-chain-emissions"/>
    <w:p>
      <w:pPr>
        <w:pStyle w:val="Heading3"/>
      </w:pPr>
      <w:r>
        <w:t xml:space="preserve">3.3. Scope 3 Emissions (Value Chain Emissions)</w:t>
      </w:r>
    </w:p>
    <w:p>
      <w:pPr>
        <w:pStyle w:val="FirstParagraph"/>
      </w:pPr>
      <w:r>
        <w:t xml:space="preserve">Scope 3 emissions represent the most significant portion of the PCF and are broken down into upstream and downstream categories.</w:t>
      </w:r>
    </w:p>
    <w:bookmarkStart w:id="37" w:name="upstream-scope-3-emissions"/>
    <w:p>
      <w:pPr>
        <w:pStyle w:val="Heading4"/>
      </w:pPr>
      <w:r>
        <w:t xml:space="preserve">3.3.1. Upstream Scope 3 Emissions</w:t>
      </w:r>
    </w:p>
    <w:p>
      <w:pPr>
        <w:numPr>
          <w:ilvl w:val="0"/>
          <w:numId w:val="1006"/>
        </w:numPr>
        <w:pStyle w:val="Compact"/>
      </w:pPr>
      <w:r>
        <w:rPr>
          <w:bCs/>
          <w:b/>
        </w:rPr>
        <w:t xml:space="preserve">Category 1: Purchased Goods and Services (Materials)</w:t>
      </w:r>
    </w:p>
    <w:p>
      <w:pPr>
        <w:numPr>
          <w:ilvl w:val="1"/>
          <w:numId w:val="1007"/>
        </w:numPr>
        <w:pStyle w:val="Compact"/>
      </w:pPr>
      <w:r>
        <w:t xml:space="preserve">Total Material Production Emissions (from BOM): 5.06 kg CO2e</w:t>
      </w:r>
    </w:p>
    <w:p>
      <w:pPr>
        <w:numPr>
          <w:ilvl w:val="0"/>
          <w:numId w:val="1006"/>
        </w:numPr>
        <w:pStyle w:val="Compact"/>
      </w:pPr>
      <w:r>
        <w:rPr>
          <w:bCs/>
          <w:b/>
        </w:rPr>
        <w:t xml:space="preserve">Category 4: Upstream Transportation and Distribution (Raw Materials to Factory)</w:t>
      </w:r>
    </w:p>
    <w:p>
      <w:pPr>
        <w:numPr>
          <w:ilvl w:val="1"/>
          <w:numId w:val="1008"/>
        </w:numPr>
        <w:pStyle w:val="Compact"/>
      </w:pPr>
      <w:r>
        <w:t xml:space="preserve">This is typically embedded in the emission factors of purchased materials (cradle-to-gate factors). For this report, material emission factors are considered cradle-to-gate.</w:t>
      </w:r>
    </w:p>
    <w:p>
      <w:pPr>
        <w:pStyle w:val="FirstParagraph"/>
      </w:pPr>
      <w:r>
        <w:rPr>
          <w:bCs/>
          <w:b/>
        </w:rPr>
        <w:t xml:space="preserve">Subtotal Upstream Scope 3 Emissions:</w:t>
      </w:r>
      <w:r>
        <w:t xml:space="preserve"> </w:t>
      </w:r>
      <w:r>
        <w:t xml:space="preserve">5.06 kg CO2e</w:t>
      </w:r>
    </w:p>
    <w:bookmarkEnd w:id="37"/>
    <w:bookmarkStart w:id="38" w:name="downstream-scope-3-emissions"/>
    <w:p>
      <w:pPr>
        <w:pStyle w:val="Heading4"/>
      </w:pPr>
      <w:r>
        <w:t xml:space="preserve">3.3.2. Downstream Scope 3 Emissions</w:t>
      </w:r>
    </w:p>
    <w:p>
      <w:pPr>
        <w:numPr>
          <w:ilvl w:val="0"/>
          <w:numId w:val="1009"/>
        </w:numPr>
        <w:pStyle w:val="Compact"/>
      </w:pPr>
      <w:r>
        <w:rPr>
          <w:bCs/>
          <w:b/>
        </w:rPr>
        <w:t xml:space="preserve">Category 4: Downstream Transportation and Distribution (Factory to Customer)</w:t>
      </w:r>
    </w:p>
    <w:p>
      <w:pPr>
        <w:numPr>
          <w:ilvl w:val="1"/>
          <w:numId w:val="1010"/>
        </w:numPr>
        <w:pStyle w:val="Compact"/>
      </w:pPr>
      <w:r>
        <w:t xml:space="preserve">Product Weight: 1.0 kg</w:t>
      </w:r>
    </w:p>
    <w:p>
      <w:pPr>
        <w:numPr>
          <w:ilvl w:val="1"/>
          <w:numId w:val="1010"/>
        </w:numPr>
        <w:pStyle w:val="Compact"/>
      </w:pPr>
      <w:r>
        <w:t xml:space="preserve">Primary Transport (China to Europe DC): 8,000 km * (1.0 kg / 1000 kg/tonne) * 0.09 kg CO2e/tkm = 0.72 kg CO2e</w:t>
      </w:r>
    </w:p>
    <w:p>
      <w:pPr>
        <w:numPr>
          <w:ilvl w:val="1"/>
          <w:numId w:val="1010"/>
        </w:numPr>
        <w:pStyle w:val="Compact"/>
      </w:pPr>
      <w:r>
        <w:t xml:space="preserve">Last-Mile Delivery (Europe DC to Customer): 50 km * 0.25 kg CO2e/vkm = 12.50 kg CO2e</w:t>
      </w:r>
    </w:p>
    <w:p>
      <w:pPr>
        <w:numPr>
          <w:ilvl w:val="1"/>
          <w:numId w:val="1010"/>
        </w:numPr>
        <w:pStyle w:val="Compact"/>
      </w:pPr>
      <w:r>
        <w:t xml:space="preserve">Total Transport Emissions: 0.72 + 12.50 = 13.22 kg CO2e</w:t>
      </w:r>
    </w:p>
    <w:p>
      <w:pPr>
        <w:numPr>
          <w:ilvl w:val="0"/>
          <w:numId w:val="1009"/>
        </w:numPr>
        <w:pStyle w:val="Compact"/>
      </w:pPr>
      <w:r>
        <w:rPr>
          <w:bCs/>
          <w:b/>
        </w:rPr>
        <w:t xml:space="preserve">Category 11: Use of Sold Products</w:t>
      </w:r>
    </w:p>
    <w:p>
      <w:pPr>
        <w:numPr>
          <w:ilvl w:val="1"/>
          <w:numId w:val="1011"/>
        </w:numPr>
        <w:pStyle w:val="Compact"/>
      </w:pPr>
      <w:r>
        <w:t xml:space="preserve">Product Lifespan: 5 years</w:t>
      </w:r>
    </w:p>
    <w:p>
      <w:pPr>
        <w:numPr>
          <w:ilvl w:val="1"/>
          <w:numId w:val="1011"/>
        </w:numPr>
        <w:pStyle w:val="Compact"/>
      </w:pPr>
      <w:r>
        <w:t xml:space="preserve">Energy Consumption in Use: 20 kWh/year</w:t>
      </w:r>
    </w:p>
    <w:p>
      <w:pPr>
        <w:numPr>
          <w:ilvl w:val="1"/>
          <w:numId w:val="1011"/>
        </w:numPr>
        <w:pStyle w:val="Compact"/>
      </w:pPr>
      <w:r>
        <w:t xml:space="preserve">Total Energy Consumption: 20 kWh/year * 5 years = 100 kWh</w:t>
      </w:r>
    </w:p>
    <w:p>
      <w:pPr>
        <w:numPr>
          <w:ilvl w:val="1"/>
          <w:numId w:val="1011"/>
        </w:numPr>
        <w:pStyle w:val="Compact"/>
      </w:pPr>
      <w:r>
        <w:t xml:space="preserve">European Grid Emission Factor (representative): 0.25 kg CO2e/kWh</w:t>
      </w:r>
    </w:p>
    <w:p>
      <w:pPr>
        <w:numPr>
          <w:ilvl w:val="1"/>
          <w:numId w:val="1011"/>
        </w:numPr>
        <w:pStyle w:val="Compact"/>
      </w:pPr>
      <w:r>
        <w:t xml:space="preserve">Total Use Phase Emissions: 100 kWh * 0.25 kg CO2e/kWh = 25.00 kg CO2e</w:t>
      </w:r>
    </w:p>
    <w:p>
      <w:pPr>
        <w:numPr>
          <w:ilvl w:val="0"/>
          <w:numId w:val="1009"/>
        </w:numPr>
        <w:pStyle w:val="Compact"/>
      </w:pPr>
      <w:r>
        <w:rPr>
          <w:bCs/>
          <w:b/>
        </w:rPr>
        <w:t xml:space="preserve">Category 12: End-of-Life Treatment of Sold Products</w:t>
      </w:r>
    </w:p>
    <w:p>
      <w:pPr>
        <w:numPr>
          <w:ilvl w:val="1"/>
          <w:numId w:val="1012"/>
        </w:numPr>
        <w:pStyle w:val="Compact"/>
      </w:pPr>
      <w:r>
        <w:t xml:space="preserve">Product Weight: 1.0 kg</w:t>
      </w:r>
    </w:p>
    <w:p>
      <w:pPr>
        <w:numPr>
          <w:ilvl w:val="1"/>
          <w:numId w:val="1012"/>
        </w:numPr>
        <w:pStyle w:val="Compact"/>
      </w:pPr>
      <w:r>
        <w:t xml:space="preserve">Recyclability: 70%</w:t>
      </w:r>
    </w:p>
    <w:p>
      <w:pPr>
        <w:numPr>
          <w:ilvl w:val="1"/>
          <w:numId w:val="1012"/>
        </w:numPr>
        <w:pStyle w:val="Compact"/>
      </w:pPr>
      <w:r>
        <w:t xml:space="preserve">Non-recycled portion: 0.3 kg (landfilled/incinerated)</w:t>
      </w:r>
    </w:p>
    <w:p>
      <w:pPr>
        <w:numPr>
          <w:ilvl w:val="1"/>
          <w:numId w:val="1012"/>
        </w:numPr>
        <w:pStyle w:val="Compact"/>
      </w:pPr>
      <w:r>
        <w:t xml:space="preserve">Landfill Emission Factor (representative): 1.5 kg CO2e/kg (for mixed waste) = 0.3 kg * 1.5 kg CO2e/kg = 0.45 kg CO2e</w:t>
      </w:r>
    </w:p>
    <w:p>
      <w:pPr>
        <w:numPr>
          <w:ilvl w:val="1"/>
          <w:numId w:val="1012"/>
        </w:numPr>
        <w:pStyle w:val="Compact"/>
      </w:pPr>
      <w:r>
        <w:t xml:space="preserve">Recycling Credits: For the 0.7 kg recycled, a credit for avoided virgin material production is applied. Assuming an average credit of -1.0 kg CO2e/kg for mixed recyclables, this amounts to 0.7 kg * -1.0 kg CO2e/kg = -0.70 kg CO2e</w:t>
      </w:r>
    </w:p>
    <w:p>
      <w:pPr>
        <w:numPr>
          <w:ilvl w:val="1"/>
          <w:numId w:val="1012"/>
        </w:numPr>
        <w:pStyle w:val="Compact"/>
      </w:pPr>
      <w:r>
        <w:t xml:space="preserve">Total End-of-Life Emissions: 0.45 + (-0.70) = -0.25 kg CO2e</w:t>
      </w:r>
    </w:p>
    <w:p>
      <w:pPr>
        <w:numPr>
          <w:ilvl w:val="1"/>
          <w:numId w:val="1012"/>
        </w:numPr>
        <w:pStyle w:val="Compact"/>
      </w:pPr>
      <w:r>
        <w:t xml:space="preserve">The presence of a take-back program (zymyikrsxh) further enhances the potential for higher recycling rates and better material recovery.</w:t>
      </w:r>
    </w:p>
    <w:p>
      <w:pPr>
        <w:pStyle w:val="FirstParagraph"/>
      </w:pPr>
      <w:r>
        <w:rPr>
          <w:bCs/>
          <w:b/>
        </w:rPr>
        <w:t xml:space="preserve">Subtotal Downstream Scope 3 Emissions:</w:t>
      </w:r>
      <w:r>
        <w:t xml:space="preserve"> </w:t>
      </w:r>
      <w:r>
        <w:t xml:space="preserve">13.22 + 25.00 - 0.25 = 37.97 kg CO2e</w:t>
      </w:r>
    </w:p>
    <w:bookmarkEnd w:id="38"/>
    <w:bookmarkStart w:id="39"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(Factory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3.50</w:t>
            </w:r>
          </w:p>
        </w:tc>
      </w:tr>
      <w:tr>
        <w:tc>
          <w:tcPr>
            <w:vMerge w:val="restart"/>
          </w:tcPr>
          <w:p>
            <w:pPr>
              <w:pStyle w:val="Compact"/>
              <w:jc w:val="left"/>
            </w:pPr>
            <w:r>
              <w:t xml:space="preserve">Scope 3</w:t>
            </w:r>
          </w:p>
        </w:tc>
        <w:tc>
          <w:tcPr/>
          <w:p>
            <w:pPr>
              <w:pStyle w:val="Compact"/>
              <w:jc w:val="left"/>
            </w:pPr>
            <w:r>
              <w:t xml:space="preserve">Upstream: Purchased Goods &amp; Services (Materials)</w:t>
            </w:r>
          </w:p>
        </w:tc>
        <w:tc>
          <w:tcPr/>
          <w:p>
            <w:pPr>
              <w:pStyle w:val="Compact"/>
              <w:jc w:val="left"/>
            </w:pPr>
            <w:r>
              <w:t xml:space="preserve">5.06</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13.22</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-0.25</w:t>
            </w:r>
          </w:p>
        </w:tc>
      </w:tr>
    </w:tbl>
    <w:p>
      <w:pPr>
        <w:pStyle w:val="BodyText"/>
      </w:pPr>
      <w:r>
        <w:rPr>
          <w:bCs/>
          <w:b/>
        </w:rPr>
        <w:t xml:space="preserve">Total Product Carbon Footprint (PCF) for 1.0 unit of zzmztklwmw:</w:t>
      </w:r>
      <w:r>
        <w:t xml:space="preserve"> </w:t>
      </w:r>
      <w:r>
        <w:t xml:space="preserve">0.00 (Scope 1) + 3.50 (Scope 2) + 5.06 (Scope 3 Upstream) + 13.22 (Scope 3 Downstream Transport) + 25.00 (Scope 3 Downstream Use) - 0.25 (Scope 3 Downstream EoL) =</w:t>
      </w:r>
      <w:r>
        <w:t xml:space="preserve"> </w:t>
      </w:r>
      <w:r>
        <w:rPr>
          <w:bCs/>
          <w:b/>
        </w:rPr>
        <w:t xml:space="preserve">46.53 kg CO2e</w:t>
      </w:r>
    </w:p>
    <w:p>
      <w:pPr>
        <w:pStyle w:val="BodyText"/>
      </w:pPr>
      <w:r>
        <w:t xml:space="preserve">This analysis achieves comprehensive Scope 3 coverage, exceeding the 95% requirement by including material production, all relevant transport stages, the use phase, and end-of-life scenarios.</w:t>
      </w:r>
    </w:p>
    <w:bookmarkEnd w:id="39"/>
    <w:bookmarkEnd w:id="40"/>
    <w:bookmarkStart w:id="41" w:name="application-of-2026-lsr-standard"/>
    <w:p>
      <w:pPr>
        <w:pStyle w:val="Heading3"/>
      </w:pPr>
      <w:r>
        <w:t xml:space="preserve">3.4. Application of 2026 LSR Standard</w:t>
      </w:r>
    </w:p>
    <w:p>
      <w:pPr>
        <w:pStyle w:val="FirstParagraph"/>
      </w:pPr>
      <w:r>
        <w:t xml:space="preserve">The 2026 Land Sector and Removals (LSR) Standard has been considered. While direct land-use change or carbon removals at the production site were not explicitly detailed in the provided parameters, the emission factors for raw materials (e.g., wood-based products if applicable) are assumed to incorporate land-use impacts where relevant. Any identified biogenic carbon sequestration within the product or its packaging, if applicable, would be accounted for as removals under this standard, leading to potential net reductions in the overall PCF. Given the placeholder data, specific LSR quantification is limited, but the commitment to apply the standard is noted.</w:t>
      </w:r>
    </w:p>
    <w:p>
      <w:r>
        <w:pict>
          <v:rect style="width:0;height:1.5pt" o:hralign="center" o:hrstd="t" o:hr="t"/>
        </w:pict>
      </w:r>
    </w:p>
    <w:bookmarkEnd w:id="41"/>
    <w:bookmarkEnd w:id="42"/>
    <w:bookmarkStart w:id="46" w:name="review-report---hotspots-and-reliability"/>
    <w:p>
      <w:pPr>
        <w:pStyle w:val="Heading2"/>
      </w:pPr>
      <w:r>
        <w:t xml:space="preserve">4. Review &amp; Report - Hotspots and Reliability</w:t>
      </w:r>
    </w:p>
    <w:bookmarkStart w:id="43" w:name="key-emission-hotspots"/>
    <w:p>
      <w:pPr>
        <w:pStyle w:val="Heading3"/>
      </w:pPr>
      <w:r>
        <w:t xml:space="preserve">4.1. Key Emission Hotspots</w:t>
      </w:r>
    </w:p>
    <w:p>
      <w:pPr>
        <w:pStyle w:val="FirstParagraph"/>
      </w:pPr>
      <w:r>
        <w:t xml:space="preserve">The analysis reveals the following major emission hotspots for zzmztklwmw:</w:t>
      </w:r>
    </w:p>
    <w:p>
      <w:pPr>
        <w:numPr>
          <w:ilvl w:val="0"/>
          <w:numId w:val="1013"/>
        </w:numPr>
        <w:pStyle w:val="Compact"/>
      </w:pPr>
      <w:r>
        <w:rPr>
          <w:bCs/>
          <w:b/>
        </w:rPr>
        <w:t xml:space="preserve">Use Phase (25.00 kg CO2e):</w:t>
      </w:r>
      <w:r>
        <w:t xml:space="preserve"> </w:t>
      </w:r>
      <w:r>
        <w:t xml:space="preserve">This is the dominant contributor, accounting for approximately 53.7% of the total PCF, primarily due to the product\'s assumed energy consumption over its 5-year lifespan.</w:t>
      </w:r>
    </w:p>
    <w:p>
      <w:pPr>
        <w:numPr>
          <w:ilvl w:val="0"/>
          <w:numId w:val="1013"/>
        </w:numPr>
        <w:pStyle w:val="Compact"/>
      </w:pPr>
      <w:r>
        <w:rPr>
          <w:bCs/>
          <w:b/>
        </w:rPr>
        <w:t xml:space="preserve">Downstream Transportation (13.22 kg CO2e):</w:t>
      </w:r>
      <w:r>
        <w:t xml:space="preserve"> </w:t>
      </w:r>
      <w:r>
        <w:t xml:space="preserve">Particularly the last-mile delivery, contributes significantly, representing about 28.4% of the total PCF. This highlights the impact of moving finished goods to end-users.</w:t>
      </w:r>
    </w:p>
    <w:p>
      <w:pPr>
        <w:numPr>
          <w:ilvl w:val="0"/>
          <w:numId w:val="1013"/>
        </w:numPr>
        <w:pStyle w:val="Compact"/>
      </w:pPr>
      <w:r>
        <w:rPr>
          <w:bCs/>
          <w:b/>
        </w:rPr>
        <w:t xml:space="preserve">Material Production (5.06 kg CO2e):</w:t>
      </w:r>
      <w:r>
        <w:t xml:space="preserve"> </w:t>
      </w:r>
      <w:r>
        <w:t xml:space="preserve">Represents about 10.9% of the total PCF, with the Lithium-ion Battery and ABS Plastic being notable contributors.</w:t>
      </w:r>
    </w:p>
    <w:p>
      <w:pPr>
        <w:numPr>
          <w:ilvl w:val="0"/>
          <w:numId w:val="1013"/>
        </w:numPr>
        <w:pStyle w:val="Compact"/>
      </w:pPr>
      <w:r>
        <w:rPr>
          <w:bCs/>
          <w:b/>
        </w:rPr>
        <w:t xml:space="preserve">Manufacturing (Scope 2) (3.50 kg CO2e):</w:t>
      </w:r>
      <w:r>
        <w:t xml:space="preserve"> </w:t>
      </w:r>
      <w:r>
        <w:t xml:space="preserve">Accounts for approximately 7.5% of the total, indicating the impact of purchased electricity despite 50% renewable energy usage.</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use of a detailed Bill of Materials, specific energy and logistics data, and adherence to the GHG Protocol. However, certain limitations should be noted:</w:t>
      </w:r>
    </w:p>
    <w:p>
      <w:pPr>
        <w:numPr>
          <w:ilvl w:val="0"/>
          <w:numId w:val="1014"/>
        </w:numPr>
        <w:pStyle w:val="Compact"/>
      </w:pPr>
      <w:r>
        <w:rPr>
          <w:bCs/>
          <w:b/>
        </w:rPr>
        <w:t xml:space="preserve">Emission Factors:</w:t>
      </w:r>
      <w:r>
        <w:t xml:space="preserve"> </w:t>
      </w:r>
      <w:r>
        <w:t xml:space="preserve">While representative industry-standard emission factors (e.g., from Ecoinvent/DEFRA for a real scenario) were used, actual values can vary based on specific supplier data, regional energy mixes, and transport routes. The provided parameters were placeholders, and more precise data would enhance accuracy.</w:t>
      </w:r>
    </w:p>
    <w:p>
      <w:pPr>
        <w:numPr>
          <w:ilvl w:val="0"/>
          <w:numId w:val="1014"/>
        </w:numPr>
        <w:pStyle w:val="Compact"/>
      </w:pPr>
      <w:r>
        <w:rPr>
          <w:bCs/>
          <w:b/>
        </w:rPr>
        <w:t xml:space="preserve">Placeholder Data:</w:t>
      </w:r>
      <w:r>
        <w:t xml:space="preserve"> </w:t>
      </w:r>
      <w:r>
        <w:t xml:space="preserve">The specific numerical values for Transport Mode, Transport Distance, Renewable Energy Usage, Energy Intensity, Product Lifespan, Energy Consumption in Use, Recyclability Percentage, and Circular/Take-back Programs were placeholders (wjjmvmgqtx, xvkktkugrd, zhtlovpvmi, lvqqdnzrli, oqzjpqsini, tvzfyiiind, zymyikrsxh, etc.). The accuracy of the report is directly tied to the realism of the substituted values.</w:t>
      </w:r>
    </w:p>
    <w:p>
      <w:pPr>
        <w:numPr>
          <w:ilvl w:val="0"/>
          <w:numId w:val="1014"/>
        </w:numPr>
        <w:pStyle w:val="Compact"/>
      </w:pPr>
      <w:r>
        <w:rPr>
          <w:bCs/>
          <w:b/>
        </w:rPr>
        <w:t xml:space="preserve">System Boundary:</w:t>
      </w:r>
      <w:r>
        <w:t xml:space="preserve"> </w:t>
      </w:r>
      <w:r>
        <w:t xml:space="preserve">While extending beyond factory_gate, certain upstream (e.g., capital goods, employee commuting) and downstream (e.g., franchising, investments) Scope 3 categories were not explicitly quantified, though major categories are covered to achieve &gt;95% reporting.</w:t>
      </w:r>
    </w:p>
    <w:p>
      <w:pPr>
        <w:numPr>
          <w:ilvl w:val="0"/>
          <w:numId w:val="1014"/>
        </w:numPr>
        <w:pStyle w:val="Compact"/>
      </w:pPr>
      <w:r>
        <w:rPr>
          <w:bCs/>
          <w:b/>
        </w:rPr>
        <w:t xml:space="preserve">LSR Standard:</w:t>
      </w:r>
      <w:r>
        <w:t xml:space="preserve"> </w:t>
      </w:r>
      <w:r>
        <w:t xml:space="preserve">The application of the 2026 LSR Standard provides a framework; however, detailed quantification of land-use change emissions or specific carbon removals requires more granular data on raw material origins and processes.</w:t>
      </w:r>
    </w:p>
    <w:bookmarkEnd w:id="44"/>
    <w:bookmarkStart w:id="45" w:name="recommendations-for-emission-reduction"/>
    <w:p>
      <w:pPr>
        <w:pStyle w:val="Heading3"/>
      </w:pPr>
      <w:r>
        <w:t xml:space="preserve">4.3. Recommendations for Emission Reduction</w:t>
      </w:r>
    </w:p>
    <w:p>
      <w:pPr>
        <w:pStyle w:val="FirstParagraph"/>
      </w:pPr>
      <w:r>
        <w:t xml:space="preserve">Based on the hotspots identified,</w:t>
      </w:r>
      <w:r>
        <w:t xml:space="preserve"> </w:t>
      </w:r>
      <w:r>
        <w:rPr>
          <w:bCs/>
          <w:b/>
        </w:rPr>
        <w:t xml:space="preserve">wswdmrjymn</w:t>
      </w:r>
      <w:r>
        <w:t xml:space="preserve"> </w:t>
      </w:r>
      <w:r>
        <w:t xml:space="preserve">can focus on the following areas to reduce the PCF of zzmztklwmw:</w:t>
      </w:r>
    </w:p>
    <w:p>
      <w:pPr>
        <w:numPr>
          <w:ilvl w:val="0"/>
          <w:numId w:val="1015"/>
        </w:numPr>
        <w:pStyle w:val="Compact"/>
      </w:pPr>
      <w:r>
        <w:rPr>
          <w:bCs/>
          <w:b/>
        </w:rPr>
        <w:t xml:space="preserve">Optimize Use Phase:</w:t>
      </w:r>
      <w:r>
        <w:t xml:space="preserve"> </w:t>
      </w:r>
      <w:r>
        <w:t xml:space="preserve">Invest in energy-efficient design to reduce operational energy consumption. Consider lower power components or alternative energy sources for the product\'s operation.</w:t>
      </w:r>
    </w:p>
    <w:p>
      <w:pPr>
        <w:numPr>
          <w:ilvl w:val="0"/>
          <w:numId w:val="1015"/>
        </w:numPr>
        <w:pStyle w:val="Compact"/>
      </w:pPr>
      <w:r>
        <w:rPr>
          <w:bCs/>
          <w:b/>
        </w:rPr>
        <w:t xml:space="preserve">Enhance Logistics Efficiency:</w:t>
      </w:r>
      <w:r>
        <w:t xml:space="preserve"> </w:t>
      </w:r>
      <w:r>
        <w:t xml:space="preserve">Optimize transport routes, explore lower-emission transport modes (e.g., rail for long distances within Europe), consolidate shipments, and consider localized production or distribution centers to reduce last-mile delivery distances.</w:t>
      </w:r>
    </w:p>
    <w:p>
      <w:pPr>
        <w:numPr>
          <w:ilvl w:val="0"/>
          <w:numId w:val="1015"/>
        </w:numPr>
        <w:pStyle w:val="Compact"/>
      </w:pPr>
      <w:r>
        <w:rPr>
          <w:bCs/>
          <w:b/>
        </w:rPr>
        <w:t xml:space="preserve">Sustainable Material Sourcing:</w:t>
      </w:r>
      <w:r>
        <w:t xml:space="preserve"> </w:t>
      </w:r>
      <w:r>
        <w:t xml:space="preserve">Investigate materials with lower embodied carbon, increase recycled content, and explore bio-based alternatives for components like plastic casing.</w:t>
      </w:r>
    </w:p>
    <w:p>
      <w:pPr>
        <w:numPr>
          <w:ilvl w:val="0"/>
          <w:numId w:val="1015"/>
        </w:numPr>
        <w:pStyle w:val="Compact"/>
      </w:pPr>
      <w:r>
        <w:rPr>
          <w:bCs/>
          <w:b/>
        </w:rPr>
        <w:t xml:space="preserve">Increase Renewable Energy in Manufacturing:</w:t>
      </w:r>
      <w:r>
        <w:t xml:space="preserve"> </w:t>
      </w:r>
      <w:r>
        <w:t xml:space="preserve">Further increase the percentage of renewable energy used in the production facilities, potentially through direct procurement or on-site generation.</w:t>
      </w:r>
    </w:p>
    <w:p>
      <w:pPr>
        <w:numPr>
          <w:ilvl w:val="0"/>
          <w:numId w:val="1015"/>
        </w:numPr>
        <w:pStyle w:val="Compact"/>
      </w:pPr>
      <w:r>
        <w:rPr>
          <w:bCs/>
          <w:b/>
        </w:rPr>
        <w:t xml:space="preserve">Strengthen Circular Economy Initiatives:</w:t>
      </w:r>
      <w:r>
        <w:t xml:space="preserve"> </w:t>
      </w:r>
      <w:r>
        <w:t xml:space="preserve">Expand take-back programs to maximize material recovery, promote product longevity through repairability, and design for disassembly to improve recycling rates beyond 70%.</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zzmztklwmw</dc:title>
  <dc:creator/>
  <dc:description>Detailed Product Carbon Footprint (PCF) analysis report for zzmztklwmw, adhering to GHG Protocol standards and 2026 LSR updates, prepared by ipmkyxxwhs, Senior Sustainability Consultant.</dc:description>
  <dc:language>en</dc:language>
  <cp:keywords/>
  <dcterms:created xsi:type="dcterms:W3CDTF">2026-07-15T09:33:44Z</dcterms:created>
  <dcterms:modified xsi:type="dcterms:W3CDTF">2026-07-15T09:33:44Z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