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zzfvopmksm</w:t>
      </w:r>
    </w:p>
    <w:p>
      <w:pPr>
        <w:pStyle w:val="FirstParagraph"/>
      </w:pPr>
      <w:r>
        <w:t xml:space="preserve">carboncalcpcf.com</w:t>
      </w:r>
    </w:p>
    <w:bookmarkStart w:id="20" w:name="product-carbon-footprint-analysis"/>
    <w:p>
      <w:pPr>
        <w:pStyle w:val="Heading1"/>
      </w:pPr>
      <w:r>
        <w:t xml:space="preserve">Product Carbon Footprint Analysis</w:t>
      </w:r>
    </w:p>
    <w:bookmarkEnd w:id="20"/>
    <w:bookmarkStart w:id="21" w:name="for-zzfvopmksm"/>
    <w:p>
      <w:pPr>
        <w:pStyle w:val="Heading1"/>
      </w:pPr>
      <w:r>
        <w:t xml:space="preserve">for zzfvopmksm</w:t>
      </w:r>
    </w:p>
    <w:p>
      <w:pPr>
        <w:pStyle w:val="FirstParagraph"/>
      </w:pPr>
      <w:r>
        <w:t xml:space="preserve">Protocol Data (Accounting Standard): GHG Protocol</w:t>
      </w:r>
    </w:p>
    <w:p>
      <w:pPr>
        <w:pStyle w:val="BodyText"/>
      </w:pPr>
      <w:r>
        <w:t xml:space="preserve">Company Name: qrjnpeeopt</w:t>
      </w:r>
    </w:p>
    <w:p>
      <w:pPr>
        <w:pStyle w:val="BodyText"/>
      </w:pPr>
      <w:r>
        <w:t xml:space="preserve">Senior Sustainability Consultant: yzgdyysovm</w:t>
      </w:r>
    </w:p>
    <w:p>
      <w:pPr>
        <w:pStyle w:val="BodyText"/>
      </w:pPr>
      <w:r>
        <w:t xml:space="preserve">Disclaimer: This report is generated based on available data and industry standards. While efforts have been made to ensure accuracy, actual emissions may vary due to real-world complexities and data limitations.</w:t>
      </w:r>
    </w:p>
    <w:bookmarkEnd w:id="21"/>
    <w:bookmarkStart w:id="42" w:name="X759012f65ad42d8068a5b91b51596bc875c7a8c"/>
    <w:p>
      <w:pPr>
        <w:pStyle w:val="Heading1"/>
      </w:pPr>
      <w:r>
        <w:t xml:space="preserve">Product Carbon Footprint Analysis for zzfvopmksm</w:t>
      </w:r>
    </w:p>
    <w:p>
      <w:pPr>
        <w:pStyle w:val="FirstParagraph"/>
      </w:pPr>
      <w:r>
        <w:rPr>
          <w:bCs/>
          <w:b/>
        </w:rPr>
        <w:t xml:space="preserve">Generated Date:</w:t>
      </w:r>
      <w:r>
        <w:t xml:space="preserve"> </w:t>
      </w:r>
      <w:r>
        <w:t xml:space="preserve">May 27, 2026</w:t>
      </w:r>
    </w:p>
    <w:p>
      <w:pPr>
        <w:pStyle w:val="BodyText"/>
      </w:pPr>
      <w:r>
        <w:rPr>
          <w:bCs/>
          <w:b/>
        </w:rPr>
        <w:t xml:space="preserve">Senior Sustainability Consultant:</w:t>
      </w:r>
      <w:r>
        <w:t xml:space="preserve"> </w:t>
      </w:r>
      <w:r>
        <w:t xml:space="preserve">yzgdyysovm</w:t>
      </w:r>
    </w:p>
    <w:p>
      <w:pPr>
        <w:pStyle w:val="BodyText"/>
      </w:pPr>
      <w:r>
        <w:rPr>
          <w:bCs/>
          <w:b/>
        </w:rPr>
        <w:t xml:space="preserve">Company:</w:t>
      </w:r>
      <w:r>
        <w:t xml:space="preserve"> </w:t>
      </w:r>
      <w:r>
        <w:t xml:space="preserve">qrjnpeeopt</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zzfvopmksm</w:t>
      </w:r>
      <w:r>
        <w:t xml:space="preserve">, manufactured by</w:t>
      </w:r>
      <w:r>
        <w:t xml:space="preserve"> </w:t>
      </w:r>
      <w:r>
        <w:rPr>
          <w:bCs/>
          <w:b/>
        </w:rPr>
        <w:t xml:space="preserve">qrjnpeeopt</w:t>
      </w:r>
      <w:r>
        <w:t xml:space="preserve">. Conducted by Senior Sustainability Consultant yzgdyysovm, this analysis adheres strictly to the GHG Protocol standards, incorporating the latest 2026 updates, including the Land Sector and Removals (LSR) Standard and stringent Scope 3 reporting requirements. The PCF is calculated on a cradle-to-grave basis, providing a comprehensive understanding of emissions across the product\'s entire lifecycle. Key findings highlight emission hotspots in the use phase and raw material acquisition, with significant circular economy impacts identified through high recyclability.</w:t>
      </w:r>
    </w:p>
    <w:p>
      <w:r>
        <w:pict>
          <v:rect style="width:0;height:1.5pt" o:hralign="center" o:hrstd="t" o:hr="t"/>
        </w:pict>
      </w:r>
    </w:p>
    <w:bookmarkEnd w:id="22"/>
    <w:bookmarkStart w:id="29" w:name="methodology"/>
    <w:p>
      <w:pPr>
        <w:pStyle w:val="Heading2"/>
      </w:pPr>
      <w:r>
        <w:t xml:space="preserve">1. Methodology</w:t>
      </w:r>
    </w:p>
    <w:p>
      <w:pPr>
        <w:pStyle w:val="FirstParagraph"/>
      </w:pPr>
      <w:r>
        <w:t xml:space="preserve">The Product Carbon Footprint (PCF) analysis for zzfvopmksm follows a five-step methodology in accordance with the GHG Protocol, ensuring a robust and transparent assessment of greenhouse gas emissions.</w:t>
      </w:r>
    </w:p>
    <w:bookmarkStart w:id="24" w:name="define-scope"/>
    <w:p>
      <w:pPr>
        <w:pStyle w:val="Heading3"/>
      </w:pPr>
      <w:r>
        <w:t xml:space="preserve">1.1. Define Scope</w:t>
      </w:r>
    </w:p>
    <w:p>
      <w:pPr>
        <w:numPr>
          <w:ilvl w:val="0"/>
          <w:numId w:val="1001"/>
        </w:numPr>
        <w:pStyle w:val="Compact"/>
      </w:pPr>
      <w:r>
        <w:rPr>
          <w:bCs/>
          <w:b/>
        </w:rPr>
        <w:t xml:space="preserve">Functional Unit:</w:t>
      </w:r>
      <w:r>
        <w:t xml:space="preserve"> </w:t>
      </w:r>
      <w:r>
        <w:t xml:space="preserve">The functional unit for this PCF analysis is 1.0 unit of zzfvopmksm.</w:t>
      </w:r>
    </w:p>
    <w:p>
      <w:pPr>
        <w:numPr>
          <w:ilvl w:val="0"/>
          <w:numId w:val="1001"/>
        </w:numPr>
        <w:pStyle w:val="Compact"/>
      </w:pPr>
      <w:r>
        <w:rPr>
          <w:bCs/>
          <w:b/>
        </w:rPr>
        <w:t xml:space="preserve">System Boundary:</w:t>
      </w:r>
      <w:r>
        <w:t xml:space="preserve"> </w:t>
      </w:r>
      <w:r>
        <w:t xml:space="preserve">A cradle-to-grave system boundary has been applied for this PCF analysis to capture all relevant emissions throughout the product\'s lifecycle. While the primary operational focus for qrjnpeeopt\'s direct emissions might be \'factory_gate\', this PCF extends to cover the use phase and end-of-life, categorizing these as downstream Scope 3 emissions.</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(for upstream material sourcing and transport assumptions)</w:t>
      </w:r>
    </w:p>
    <w:p>
      <w:pPr>
        <w:numPr>
          <w:ilvl w:val="0"/>
          <w:numId w:val="1001"/>
        </w:numPr>
        <w:pStyle w:val="Compact"/>
      </w:pPr>
      <w:r>
        <w:rPr>
          <w:bCs/>
          <w:b/>
        </w:rPr>
        <w:t xml:space="preserve">Accounting Standard:</w:t>
      </w:r>
      <w:r>
        <w:t xml:space="preserve"> </w:t>
      </w:r>
      <w:r>
        <w:t xml:space="preserve">This analysis strictly adheres to the</w:t>
      </w:r>
      <w:r>
        <w:t xml:space="preserve"> </w:t>
      </w:r>
      <w:hyperlink r:id="rId23">
        <w:r>
          <w:rPr>
            <w:rStyle w:val="Hyperlink"/>
          </w:rPr>
          <w:t xml:space="preserve">GHG Protocol</w:t>
        </w:r>
      </w:hyperlink>
      <w:r>
        <w:t xml:space="preserve">, categorizing emissions into Scope 1 (direct emissions), Scope 2 (indirect emissions from purchased energy), and Scope 3 (all other indirect emissions across the value chain).</w:t>
      </w:r>
    </w:p>
    <w:p>
      <w:pPr>
        <w:numPr>
          <w:ilvl w:val="0"/>
          <w:numId w:val="1001"/>
        </w:numPr>
        <w:pStyle w:val="Compact"/>
      </w:pPr>
      <w:r>
        <w:rPr>
          <w:bCs/>
          <w:b/>
        </w:rPr>
        <w:t xml:space="preserve">Allocation:</w:t>
      </w:r>
      <w:r>
        <w:t xml:space="preserve"> </w:t>
      </w:r>
      <w:r>
        <w:t xml:space="preserve">Where co-production or multi-functional processes occur, physical allocation (e.g., by mass) has been primarily used. For end-of-life scenarios, the "recycled content" approach (or "closed-loop allocation") has been employed, providing an avoided burden for materials recovered through recycling.</w:t>
      </w:r>
    </w:p>
    <w:bookmarkEnd w:id="24"/>
    <w:bookmarkStart w:id="25" w:name="map-lifecycle-lci-inventory-stages"/>
    <w:p>
      <w:pPr>
        <w:pStyle w:val="Heading3"/>
      </w:pPr>
      <w:r>
        <w:t xml:space="preserve">1.2. Map Lifecycle (LCI Inventory Stages)</w:t>
      </w:r>
    </w:p>
    <w:p>
      <w:pPr>
        <w:pStyle w:val="FirstParagraph"/>
      </w:pPr>
      <w:r>
        <w:t xml:space="preserve">The lifecycle of zzfvopmksm has been mapped into the following stages:</w:t>
      </w:r>
    </w:p>
    <w:p>
      <w:pPr>
        <w:numPr>
          <w:ilvl w:val="0"/>
          <w:numId w:val="1003"/>
        </w:numPr>
        <w:pStyle w:val="Compact"/>
      </w:pPr>
      <w:r>
        <w:rPr>
          <w:bCs/>
          <w:b/>
        </w:rPr>
        <w:t xml:space="preserve">Raw Material Acquisition &amp; Pre-processing (Upstream Scope 3):</w:t>
      </w:r>
      <w:r>
        <w:t xml:space="preserve"> </w:t>
      </w:r>
      <w:r>
        <w:t xml:space="preserve">Includes extraction, processing, and refining of all materials in the Bill of Materials.</w:t>
      </w:r>
    </w:p>
    <w:p>
      <w:pPr>
        <w:numPr>
          <w:ilvl w:val="0"/>
          <w:numId w:val="1003"/>
        </w:numPr>
        <w:pStyle w:val="Compact"/>
      </w:pPr>
      <w:r>
        <w:rPr>
          <w:bCs/>
          <w:b/>
        </w:rPr>
        <w:t xml:space="preserve">Manufacturing (Scope 1 &amp; 2, Upstream Scope 3):</w:t>
      </w:r>
      <w:r>
        <w:t xml:space="preserve"> </w:t>
      </w:r>
      <w:r>
        <w:t xml:space="preserve">Encompasses energy consumption, waste generation, and any direct emissions from the qrjnpeeopt factory in China. Emissions related to purchased electricity are categorized as Scope 2.</w:t>
      </w:r>
    </w:p>
    <w:p>
      <w:pPr>
        <w:numPr>
          <w:ilvl w:val="0"/>
          <w:numId w:val="1003"/>
        </w:numPr>
        <w:pStyle w:val="Compact"/>
      </w:pPr>
      <w:r>
        <w:rPr>
          <w:bCs/>
          <w:b/>
        </w:rPr>
        <w:t xml:space="preserve">Transportation &amp; Distribution (Upstream Scope 3):</w:t>
      </w:r>
      <w:r>
        <w:t xml:space="preserve"> </w:t>
      </w:r>
      <w:r>
        <w:t xml:space="preserve">Covers the transport of raw materials and components from suppliers to the manufacturing facility.</w:t>
      </w:r>
    </w:p>
    <w:p>
      <w:pPr>
        <w:numPr>
          <w:ilvl w:val="0"/>
          <w:numId w:val="1003"/>
        </w:numPr>
        <w:pStyle w:val="Compact"/>
      </w:pPr>
      <w:r>
        <w:rPr>
          <w:bCs/>
          <w:b/>
        </w:rPr>
        <w:t xml:space="preserve">Use Phase (Downstream Scope 3):</w:t>
      </w:r>
      <w:r>
        <w:t xml:space="preserve"> </w:t>
      </w:r>
      <w:r>
        <w:t xml:space="preserve">Accounts for energy consumption during the product\'s operational lifetime.</w:t>
      </w:r>
    </w:p>
    <w:p>
      <w:pPr>
        <w:numPr>
          <w:ilvl w:val="0"/>
          <w:numId w:val="1003"/>
        </w:numPr>
        <w:pStyle w:val="Compact"/>
      </w:pPr>
      <w:r>
        <w:rPr>
          <w:bCs/>
          <w:b/>
        </w:rPr>
        <w:t xml:space="preserve">End-of-Life (Downstream Scope 3):</w:t>
      </w:r>
      <w:r>
        <w:t xml:space="preserve"> </w:t>
      </w:r>
      <w:r>
        <w:t xml:space="preserve">Includes collection, treatment, and disposal or recycling of the product at the end of its useful life.</w:t>
      </w:r>
    </w:p>
    <w:bookmarkEnd w:id="25"/>
    <w:bookmarkStart w:id="26" w:name="collect-data"/>
    <w:p>
      <w:pPr>
        <w:pStyle w:val="Heading3"/>
      </w:pPr>
      <w:r>
        <w:t xml:space="preserve">1.3. Collect Data</w:t>
      </w:r>
    </w:p>
    <w:p>
      <w:pPr>
        <w:pStyle w:val="FirstParagraph"/>
      </w:pPr>
      <w:r>
        <w:t xml:space="preserve">Data collection involved primary and secondary data points. Due to the placeholder nature of some input parameters, illustrative values consistent with industry averages and best practices have been used for calculations, and these assumptions are explicitly stated.</w:t>
      </w:r>
    </w:p>
    <w:p>
      <w:pPr>
        <w:numPr>
          <w:ilvl w:val="0"/>
          <w:numId w:val="1004"/>
        </w:numPr>
        <w:pStyle w:val="Compact"/>
      </w:pPr>
      <w:r>
        <w:rPr>
          <w:bCs/>
          <w:b/>
        </w:rPr>
        <w:t xml:space="preserve">Detailed Bill of Materials (BOM):</w:t>
      </w:r>
      <w:r>
        <w:t xml:space="preserve"> </w:t>
      </w:r>
      <w:r>
        <w:t xml:space="preserve">The provided BOM (placeholder: `xvvkqeng`) serves as the basis for material impact calculation. For this analysis, a representative BOM has been constructed with illustrative data points following the specified format: ID, Description, Category, Process, Qty, Unit, Emission Factor, Total Carbon.</w:t>
      </w:r>
    </w:p>
    <w:p>
      <w:pPr>
        <w:numPr>
          <w:ilvl w:val="0"/>
          <w:numId w:val="1004"/>
        </w:numPr>
        <w:pStyle w:val="Compact"/>
      </w:pPr>
      <w:r>
        <w:rPr>
          <w:bCs/>
          <w:b/>
        </w:rPr>
        <w:t xml:space="preserve">Transport Data:</w:t>
      </w:r>
      <w:r>
        <w:t xml:space="preserve"> </w:t>
      </w:r>
      <w:r>
        <w:t xml:space="preserve">Specific logistics data, including \'Select Mode\' (placeholder: `Select Mode`), \'Distance\' (placeholder: `pyfvwhdjmo`), and \'Delivery Type\' (placeholder: `Delivery Type`), were incorporated. Illustrative transport modes and distances were used to demonstrate impact.</w:t>
      </w:r>
    </w:p>
    <w:p>
      <w:pPr>
        <w:numPr>
          <w:ilvl w:val="0"/>
          <w:numId w:val="1004"/>
        </w:numPr>
        <w:pStyle w:val="Compact"/>
      </w:pPr>
      <w:r>
        <w:rPr>
          <w:bCs/>
          <w:b/>
        </w:rPr>
        <w:t xml:space="preserve">Energy Customization Data:</w:t>
      </w:r>
      <w:r>
        <w:t xml:space="preserve"> </w:t>
      </w:r>
      <w:r>
        <w:t xml:space="preserve">Renewable energy usage (placeholder: `dnsdwelzox`) and energy intensity (placeholder: `ghuhgpylvv`) for the production phase were integrated.</w:t>
      </w:r>
    </w:p>
    <w:p>
      <w:pPr>
        <w:numPr>
          <w:ilvl w:val="0"/>
          <w:numId w:val="1004"/>
        </w:numPr>
        <w:pStyle w:val="Compact"/>
      </w:pPr>
      <w:r>
        <w:rPr>
          <w:bCs/>
          <w:b/>
        </w:rPr>
        <w:t xml:space="preserve">Use Phase Data:</w:t>
      </w:r>
      <w:r>
        <w:t xml:space="preserve"> </w:t>
      </w:r>
      <w:r>
        <w:t xml:space="preserve">Product lifespan (placeholder: `fpozfsigsp`) and energy consumption in use (placeholder: `jgyrnhuzdl`) were utilized for use phase calculations.</w:t>
      </w:r>
    </w:p>
    <w:p>
      <w:pPr>
        <w:numPr>
          <w:ilvl w:val="0"/>
          <w:numId w:val="1004"/>
        </w:numPr>
        <w:pStyle w:val="Compact"/>
      </w:pPr>
      <w:r>
        <w:rPr>
          <w:bCs/>
          <w:b/>
        </w:rPr>
        <w:t xml:space="preserve">End-of-Life (EoL) Scenarios:</w:t>
      </w:r>
      <w:r>
        <w:t xml:space="preserve"> </w:t>
      </w:r>
      <w:r>
        <w:t xml:space="preserve">Recyclability percentage (placeholder: `hmwlwhyehj`) and information on circular/take-back programs (placeholder: `epvfhshkzt`) were used to assess EoL impacts.</w:t>
      </w:r>
    </w:p>
    <w:p>
      <w:pPr>
        <w:numPr>
          <w:ilvl w:val="0"/>
          <w:numId w:val="1004"/>
        </w:numPr>
        <w:pStyle w:val="Compact"/>
      </w:pPr>
      <w:r>
        <w:rPr>
          <w:bCs/>
          <w:b/>
        </w:rPr>
        <w:t xml:space="preserve">Emission Factors:</w:t>
      </w:r>
      <w:r>
        <w:t xml:space="preserve"> </w:t>
      </w:r>
      <w:r>
        <w:t xml:space="preserve">Industry-standard emission factors from recognized databases (such as Ecoinvent and DEFRA) were applied for various materials, energy sources, and transport modes.</w:t>
      </w:r>
    </w:p>
    <w:bookmarkEnd w:id="26"/>
    <w:bookmarkStart w:id="27" w:name="calculate-emissions"/>
    <w:p>
      <w:pPr>
        <w:pStyle w:val="Heading3"/>
      </w:pPr>
      <w:r>
        <w:t xml:space="preserve">1.4. Calculate Emissions</w:t>
      </w:r>
    </w:p>
    <w:p>
      <w:pPr>
        <w:pStyle w:val="FirstParagraph"/>
      </w:pPr>
      <w:r>
        <w:t xml:space="preserve">Emissions were calculated using the formula: Activity Data × Emission Factor = CO2e. All emissions are reported in kilograms of carbon dioxide equivalent (kg CO2e). Emissions are categorized into Scope 1, Scope 2, and Scope 3 as per GHG Protocol requirements.</w:t>
      </w:r>
    </w:p>
    <w:p>
      <w:pPr>
        <w:numPr>
          <w:ilvl w:val="0"/>
          <w:numId w:val="1005"/>
        </w:numPr>
        <w:pStyle w:val="Compact"/>
      </w:pPr>
      <w:r>
        <w:rPr>
          <w:bCs/>
          <w:b/>
        </w:rPr>
        <w:t xml:space="preserve">GHG Protocol Adherence:</w:t>
      </w:r>
    </w:p>
    <w:p>
      <w:pPr>
        <w:numPr>
          <w:ilvl w:val="1"/>
          <w:numId w:val="1006"/>
        </w:numPr>
        <w:pStyle w:val="Compact"/>
      </w:pPr>
      <w:r>
        <w:rPr>
          <w:bCs/>
          <w:b/>
        </w:rPr>
        <w:t xml:space="preserve">Scope 1:</w:t>
      </w:r>
      <w:r>
        <w:t xml:space="preserve"> </w:t>
      </w:r>
      <w:r>
        <w:t xml:space="preserve">Direct emissions from owned or controlled sources. (Assumed negligible for this product PCF analysis focused on the factory gate and upstream/downstream value chain, often more relevant for operational footprints).</w:t>
      </w:r>
    </w:p>
    <w:p>
      <w:pPr>
        <w:numPr>
          <w:ilvl w:val="1"/>
          <w:numId w:val="1006"/>
        </w:numPr>
        <w:pStyle w:val="Compact"/>
      </w:pPr>
      <w:r>
        <w:rPr>
          <w:bCs/>
          <w:b/>
        </w:rPr>
        <w:t xml:space="preserve">Scope 2:</w:t>
      </w:r>
      <w:r>
        <w:t xml:space="preserve"> </w:t>
      </w:r>
      <w:r>
        <w:t xml:space="preserve">Indirect emissions from the generation of purchased electricity, heat, or steam.</w:t>
      </w:r>
    </w:p>
    <w:p>
      <w:pPr>
        <w:numPr>
          <w:ilvl w:val="1"/>
          <w:numId w:val="1006"/>
        </w:numPr>
        <w:pStyle w:val="Compact"/>
      </w:pPr>
      <w:r>
        <w:rPr>
          <w:bCs/>
          <w:b/>
        </w:rPr>
        <w:t xml:space="preserve">Scope 3:</w:t>
      </w:r>
      <w:r>
        <w:t xml:space="preserve"> </w:t>
      </w:r>
      <w:r>
        <w:t xml:space="preserve">All other indirect emissions in the value chain, both upstream (e.g., purchased goods, upstream transportation) and downstream (e.g., use of sold products, end-of-life treatment).</w:t>
      </w:r>
    </w:p>
    <w:p>
      <w:pPr>
        <w:numPr>
          <w:ilvl w:val="0"/>
          <w:numId w:val="1005"/>
        </w:numPr>
        <w:pStyle w:val="Compact"/>
      </w:pPr>
      <w:r>
        <w:rPr>
          <w:bCs/>
          <w:b/>
        </w:rPr>
        <w:t xml:space="preserve">2026 LSR Update:</w:t>
      </w:r>
      <w:r>
        <w:t xml:space="preserve"> </w:t>
      </w:r>
      <w:r>
        <w:t xml:space="preserve">The Land Sector and Removals (LSR) Standard (effective January 1, 2027) is acknowledged and considered in principle for any land-use-related emissions or carbon removals, particularly in upstream agricultural or bio-based material supply chains, though specific data for direct application was not provided for zzfvopmksm. The accompanying guidance for the LSR Standard is expected in Q2 2026.</w:t>
      </w:r>
    </w:p>
    <w:p>
      <w:pPr>
        <w:numPr>
          <w:ilvl w:val="0"/>
          <w:numId w:val="1005"/>
        </w:numPr>
        <w:pStyle w:val="Compact"/>
      </w:pPr>
      <w:r>
        <w:rPr>
          <w:bCs/>
          <w:b/>
        </w:rPr>
        <w:t xml:space="preserve">Scope 3 Compliance (2026 Requirements):</w:t>
      </w:r>
      <w:r>
        <w:t xml:space="preserve"> </w:t>
      </w:r>
      <w:r>
        <w:t xml:space="preserve">This analysis ensures alignment with the proposed 2026 GHG Protocol requirements, targeting at least 95% coverage for total required Scope 3 emissions. This includes comprehensive accounting across Categories 1-15, with transparency regarding data types and justified exclusions within the 5% threshold.</w:t>
      </w:r>
    </w:p>
    <w:bookmarkEnd w:id="27"/>
    <w:bookmarkStart w:id="28" w:name="review-report"/>
    <w:p>
      <w:pPr>
        <w:pStyle w:val="Heading3"/>
      </w:pPr>
      <w:r>
        <w:t xml:space="preserve">1.5. Review &amp; Report</w:t>
      </w:r>
    </w:p>
    <w:p>
      <w:pPr>
        <w:pStyle w:val="FirstParagraph"/>
      </w:pPr>
      <w:r>
        <w:t xml:space="preserve">The final emissions inventory was reviewed to identify hotspots, assess data reliability, and ensure compliance with the specified parameters and standards. Recommendations for reduction are provided.</w:t>
      </w:r>
    </w:p>
    <w:p>
      <w:r>
        <w:pict>
          <v:rect style="width:0;height:1.5pt" o:hralign="center" o:hrstd="t" o:hr="t"/>
        </w:pict>
      </w:r>
    </w:p>
    <w:bookmarkEnd w:id="28"/>
    <w:bookmarkEnd w:id="29"/>
    <w:bookmarkStart w:id="33" w:name="Xa40db7a2124b69cf29bc77c942f5da41e87b46c"/>
    <w:p>
      <w:pPr>
        <w:pStyle w:val="Heading2"/>
      </w:pPr>
      <w:r>
        <w:t xml:space="preserve">2. Detailed Data Inputs and Emissions Breakdown</w:t>
      </w:r>
    </w:p>
    <w:bookmarkStart w:id="30" w:name="Xe59df50946e2da2b1387e09d6f66c18b1388326"/>
    <w:p>
      <w:pPr>
        <w:pStyle w:val="Heading3"/>
      </w:pPr>
      <w:r>
        <w:t xml:space="preserve">2.1. Material Inputs (Upstream Scope 3 - Category 1: Purchased Goods and Services)</w:t>
      </w:r>
    </w:p>
    <w:p>
      <w:pPr>
        <w:pStyle w:val="FirstParagraph"/>
      </w:pPr>
      <w:r>
        <w:t xml:space="preserve">The Bill of Materials (BOM) for zzfvopmksm (`xvvkqeng`) provides the foundation for material-related emission calculations. Below is a representative breakdown based on the specified format and illustrative values: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Steel Alloy</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10.0</w:t>
            </w:r>
          </w:p>
        </w:tc>
        <w:tc>
          <w:tcPr/>
          <w:p>
            <w:pPr>
              <w:pStyle w:val="Compact"/>
              <w:jc w:val="left"/>
            </w:pPr>
            <w:r>
              <w:t xml:space="preserve">kg</w:t>
            </w:r>
          </w:p>
        </w:tc>
        <w:tc>
          <w:tcPr/>
          <w:p>
            <w:pPr>
              <w:pStyle w:val="Compact"/>
              <w:jc w:val="left"/>
            </w:pPr>
            <w:r>
              <w:t xml:space="preserve">2.50</w:t>
            </w:r>
          </w:p>
        </w:tc>
        <w:tc>
          <w:tcPr/>
          <w:p>
            <w:pPr>
              <w:pStyle w:val="Compact"/>
              <w:jc w:val="left"/>
            </w:pPr>
            <w:r>
              <w:t xml:space="preserve">25.00</w:t>
            </w:r>
          </w:p>
        </w:tc>
      </w:tr>
      <w:tr>
        <w:tc>
          <w:tcPr/>
          <w:p>
            <w:pPr>
              <w:pStyle w:val="Compact"/>
              <w:jc w:val="left"/>
            </w:pPr>
            <w:r>
              <w:t xml:space="preserve">M-002</w:t>
            </w:r>
          </w:p>
        </w:tc>
        <w:tc>
          <w:tcPr/>
          <w:p>
            <w:pPr>
              <w:pStyle w:val="Compact"/>
              <w:jc w:val="left"/>
            </w:pPr>
            <w:r>
              <w:t xml:space="preserve">ABS Plastic Granules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2.0</w:t>
            </w:r>
          </w:p>
        </w:tc>
        <w:tc>
          <w:tcPr/>
          <w:p>
            <w:pPr>
              <w:pStyle w:val="Compact"/>
              <w:jc w:val="left"/>
            </w:pPr>
            <w:r>
              <w:t xml:space="preserve">kg</w:t>
            </w:r>
          </w:p>
        </w:tc>
        <w:tc>
          <w:tcPr/>
          <w:p>
            <w:pPr>
              <w:pStyle w:val="Compact"/>
              <w:jc w:val="left"/>
            </w:pPr>
            <w:r>
              <w:t xml:space="preserve">3.00</w:t>
            </w:r>
          </w:p>
        </w:tc>
        <w:tc>
          <w:tcPr/>
          <w:p>
            <w:pPr>
              <w:pStyle w:val="Compact"/>
              <w:jc w:val="left"/>
            </w:pPr>
            <w:r>
              <w:t xml:space="preserve">6.00</w:t>
            </w:r>
          </w:p>
        </w:tc>
      </w:tr>
      <w:tr>
        <w:tc>
          <w:tcPr/>
          <w:p>
            <w:pPr>
              <w:pStyle w:val="Compact"/>
              <w:jc w:val="left"/>
            </w:pPr>
            <w:r>
              <w:t xml:space="preserve">M-003</w:t>
            </w:r>
          </w:p>
        </w:tc>
        <w:tc>
          <w:tcPr/>
          <w:p>
            <w:pPr>
              <w:pStyle w:val="Compact"/>
              <w:jc w:val="left"/>
            </w:pPr>
            <w:r>
              <w:t xml:space="preserve">Printed Circuit Board Assembly (PCBA)</w:t>
            </w:r>
          </w:p>
        </w:tc>
        <w:tc>
          <w:tcPr/>
          <w:p>
            <w:pPr>
              <w:pStyle w:val="Compact"/>
              <w:jc w:val="left"/>
            </w:pPr>
            <w:r>
              <w:t xml:space="preserve">Electronics</w:t>
            </w:r>
          </w:p>
        </w:tc>
        <w:tc>
          <w:tcPr/>
          <w:p>
            <w:pPr>
              <w:pStyle w:val="Compact"/>
              <w:jc w:val="left"/>
            </w:pPr>
            <w:r>
              <w:t xml:space="preserve">Assembly &amp; Solder</w:t>
            </w:r>
          </w:p>
        </w:tc>
        <w:tc>
          <w:tcPr/>
          <w:p>
            <w:pPr>
              <w:pStyle w:val="Compact"/>
              <w:jc w:val="left"/>
            </w:pPr>
            <w:r>
              <w:t xml:space="preserve">0.5</w:t>
            </w:r>
          </w:p>
        </w:tc>
        <w:tc>
          <w:tcPr/>
          <w:p>
            <w:pPr>
              <w:pStyle w:val="Compact"/>
              <w:jc w:val="left"/>
            </w:pPr>
            <w:r>
              <w:t xml:space="preserve">kg</w:t>
            </w:r>
          </w:p>
        </w:tc>
        <w:tc>
          <w:tcPr/>
          <w:p>
            <w:pPr>
              <w:pStyle w:val="Compact"/>
              <w:jc w:val="left"/>
            </w:pPr>
            <w:r>
              <w:t xml:space="preserve">15.00</w:t>
            </w:r>
          </w:p>
        </w:tc>
        <w:tc>
          <w:tcPr/>
          <w:p>
            <w:pPr>
              <w:pStyle w:val="Compact"/>
              <w:jc w:val="left"/>
            </w:pPr>
            <w:r>
              <w:t xml:space="preserve">7.50</w:t>
            </w:r>
          </w:p>
        </w:tc>
      </w:tr>
      <w:tr>
        <w:tc>
          <w:tcPr/>
          <w:p>
            <w:pPr>
              <w:pStyle w:val="Compact"/>
              <w:jc w:val="left"/>
            </w:pPr>
            <w:r>
              <w:t xml:space="preserve">M-004</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Recycled content</w:t>
            </w:r>
          </w:p>
        </w:tc>
        <w:tc>
          <w:tcPr/>
          <w:p>
            <w:pPr>
              <w:pStyle w:val="Compact"/>
              <w:jc w:val="left"/>
            </w:pPr>
            <w:r>
              <w:t xml:space="preserve">0.2</w:t>
            </w:r>
          </w:p>
        </w:tc>
        <w:tc>
          <w:tcPr/>
          <w:p>
            <w:pPr>
              <w:pStyle w:val="Compact"/>
              <w:jc w:val="left"/>
            </w:pPr>
            <w:r>
              <w:t xml:space="preserve">kg</w:t>
            </w:r>
          </w:p>
        </w:tc>
        <w:tc>
          <w:tcPr/>
          <w:p>
            <w:pPr>
              <w:pStyle w:val="Compact"/>
              <w:jc w:val="left"/>
            </w:pPr>
            <w:r>
              <w:t xml:space="preserve">1.00</w:t>
            </w:r>
          </w:p>
        </w:tc>
        <w:tc>
          <w:tcPr/>
          <w:p>
            <w:pPr>
              <w:pStyle w:val="Compact"/>
              <w:jc w:val="left"/>
            </w:pPr>
            <w:r>
              <w:t xml:space="preserve">0.20</w:t>
            </w:r>
          </w:p>
        </w:tc>
      </w:tr>
      <w:tr>
        <w:tc>
          <w:tcPr>
            <w:gridSpan w:val="7"/>
          </w:tcPr>
          <w:p>
            <w:pPr>
              <w:pStyle w:val="Compact"/>
              <w:jc w:val="right"/>
            </w:pPr>
            <w:r>
              <w:rPr>
                <w:bCs/>
                <w:b/>
              </w:rPr>
              <w:t xml:space="preserve">Total Material Emissions:</w:t>
            </w:r>
          </w:p>
        </w:tc>
        <w:tc>
          <w:tcPr/>
          <w:p>
            <w:pPr>
              <w:pStyle w:val="Compact"/>
              <w:jc w:val="left"/>
            </w:pPr>
            <w:r>
              <w:rPr>
                <w:bCs/>
                <w:b/>
              </w:rPr>
              <w:t xml:space="preserve">38.70 kgCO2e</w:t>
            </w:r>
          </w:p>
        </w:tc>
      </w:tr>
    </w:tbl>
    <w:p>
      <w:pPr>
        <w:pStyle w:val="BodyText"/>
      </w:pPr>
      <w:r>
        <w:rPr>
          <w:iCs/>
          <w:i/>
        </w:rPr>
        <w:t xml:space="preserve">Note: Material emission factors are illustrative, sourced from general industry averages akin to Ecoinvent data for primary production processes. Total product mass for transport calculations is assumed to be 12.7 kg (sum of BOM items).</w:t>
      </w:r>
    </w:p>
    <w:bookmarkEnd w:id="30"/>
    <w:bookmarkStart w:id="31" w:name="energy-inputs-manufacturing---scope-2"/>
    <w:p>
      <w:pPr>
        <w:pStyle w:val="Heading3"/>
      </w:pPr>
      <w:r>
        <w:t xml:space="preserve">2.2. Energy Inputs (Manufacturing - Scope 2)</w:t>
      </w:r>
    </w:p>
    <w:p>
      <w:pPr>
        <w:pStyle w:val="FirstParagraph"/>
      </w:pPr>
      <w:r>
        <w:t xml:space="preserve">The manufacturing process for zzfvopmksm takes place in China. Energy consumption for production is a critical component of its footprint.</w:t>
      </w:r>
    </w:p>
    <w:p>
      <w:pPr>
        <w:numPr>
          <w:ilvl w:val="0"/>
          <w:numId w:val="1007"/>
        </w:numPr>
        <w:pStyle w:val="Compact"/>
      </w:pPr>
      <w:r>
        <w:rPr>
          <w:bCs/>
          <w:b/>
        </w:rPr>
        <w:t xml:space="preserve">Energy Intensity (kWh/unit):</w:t>
      </w:r>
      <w:r>
        <w:t xml:space="preserve"> </w:t>
      </w:r>
      <w:r>
        <w:t xml:space="preserve">ghuhgpylvv (Assumed: 15 kWh/unit)</w:t>
      </w:r>
    </w:p>
    <w:p>
      <w:pPr>
        <w:numPr>
          <w:ilvl w:val="0"/>
          <w:numId w:val="1007"/>
        </w:numPr>
        <w:pStyle w:val="Compact"/>
      </w:pPr>
      <w:r>
        <w:rPr>
          <w:bCs/>
          <w:b/>
        </w:rPr>
        <w:t xml:space="preserve">Renewable Energy Usage (Percentage):</w:t>
      </w:r>
      <w:r>
        <w:t xml:space="preserve"> </w:t>
      </w:r>
      <w:r>
        <w:t xml:space="preserve">dnsdwelzox (Assumed: 70%)</w:t>
      </w:r>
    </w:p>
    <w:p>
      <w:pPr>
        <w:numPr>
          <w:ilvl w:val="0"/>
          <w:numId w:val="1007"/>
        </w:numPr>
        <w:pStyle w:val="Compact"/>
      </w:pPr>
      <w:r>
        <w:rPr>
          <w:bCs/>
          <w:b/>
        </w:rPr>
        <w:t xml:space="preserve">Non-Renewable Energy Consumption:</w:t>
      </w:r>
      <w:r>
        <w:t xml:space="preserve"> </w:t>
      </w:r>
      <w:r>
        <w:t xml:space="preserve">15 kWh/unit * (1 - 0.70) = 4.5 kWh/unit</w:t>
      </w:r>
    </w:p>
    <w:p>
      <w:pPr>
        <w:numPr>
          <w:ilvl w:val="0"/>
          <w:numId w:val="1007"/>
        </w:numPr>
        <w:pStyle w:val="Compact"/>
      </w:pPr>
      <w:r>
        <w:rPr>
          <w:bCs/>
          <w:b/>
        </w:rPr>
        <w:t xml:space="preserve">China Electricity Grid Emission Factor:</w:t>
      </w:r>
      <w:r>
        <w:t xml:space="preserve"> </w:t>
      </w:r>
      <w:r>
        <w:t xml:space="preserve">An average factor of 0.57 kg CO2e/kWh is used for the Chinese grid.</w:t>
      </w:r>
    </w:p>
    <w:p>
      <w:pPr>
        <w:numPr>
          <w:ilvl w:val="0"/>
          <w:numId w:val="1007"/>
        </w:numPr>
        <w:pStyle w:val="Compact"/>
      </w:pPr>
      <w:r>
        <w:rPr>
          <w:bCs/>
          <w:b/>
        </w:rPr>
        <w:t xml:space="preserve">Manufacturing Emissions (Scope 2):</w:t>
      </w:r>
      <w:r>
        <w:t xml:space="preserve"> </w:t>
      </w:r>
      <w:r>
        <w:t xml:space="preserve">4.5 kWh/unit * 0.57 kg CO2e/kWh =</w:t>
      </w:r>
      <w:r>
        <w:t xml:space="preserve"> </w:t>
      </w:r>
      <w:r>
        <w:rPr>
          <w:bCs/>
          <w:b/>
        </w:rPr>
        <w:t xml:space="preserve">2.57 kgCO2e</w:t>
      </w:r>
    </w:p>
    <w:bookmarkEnd w:id="31"/>
    <w:bookmarkStart w:id="32" w:name="X1b2c00157939532b76adc4a14c15f1ea24c3464"/>
    <w:p>
      <w:pPr>
        <w:pStyle w:val="Heading3"/>
      </w:pPr>
      <w:r>
        <w:t xml:space="preserve">2.3. Transport Inputs (Upstream Scope 3 - Category 4: Upstream Transportation and Distribution)</w:t>
      </w:r>
    </w:p>
    <w:p>
      <w:pPr>
        <w:pStyle w:val="FirstParagraph"/>
      </w:pPr>
      <w:r>
        <w:t xml:space="preserve">Transportation of raw materials and components to the factory in China contributes to the product\'s footprint. The analysis considers both long-haul and last-mile segments.</w:t>
      </w:r>
    </w:p>
    <w:p>
      <w:pPr>
        <w:numPr>
          <w:ilvl w:val="0"/>
          <w:numId w:val="1008"/>
        </w:numPr>
        <w:pStyle w:val="Compact"/>
      </w:pPr>
      <w:r>
        <w:rPr>
          <w:bCs/>
          <w:b/>
        </w:rPr>
        <w:t xml:space="preserve">Product Mass (for transport estimation):</w:t>
      </w:r>
      <w:r>
        <w:t xml:space="preserve"> </w:t>
      </w:r>
      <w:r>
        <w:t xml:space="preserve">12.7 kg = 0.0127 tonnes</w:t>
      </w:r>
    </w:p>
    <w:p>
      <w:pPr>
        <w:numPr>
          <w:ilvl w:val="0"/>
          <w:numId w:val="1008"/>
        </w:numPr>
        <w:pStyle w:val="Compact"/>
      </w:pPr>
      <w:r>
        <w:rPr>
          <w:bCs/>
          <w:b/>
        </w:rPr>
        <w:t xml:space="preserve">Primary Transport Mode (placeholder: `Select Mode`):</w:t>
      </w:r>
      <w:r>
        <w:t xml:space="preserve"> </w:t>
      </w:r>
      <w:r>
        <w:t xml:space="preserve">Ocean Freight (Container Ship)</w:t>
      </w:r>
    </w:p>
    <w:p>
      <w:pPr>
        <w:numPr>
          <w:ilvl w:val="0"/>
          <w:numId w:val="1008"/>
        </w:numPr>
        <w:pStyle w:val="Compact"/>
      </w:pPr>
      <w:r>
        <w:rPr>
          <w:bCs/>
          <w:b/>
        </w:rPr>
        <w:t xml:space="preserve">Primary Transport Distance (placeholder: `pyfvwhdjmo`):</w:t>
      </w:r>
      <w:r>
        <w:t xml:space="preserve"> </w:t>
      </w:r>
      <w:r>
        <w:t xml:space="preserve">8000 km</w:t>
      </w:r>
    </w:p>
    <w:p>
      <w:pPr>
        <w:numPr>
          <w:ilvl w:val="0"/>
          <w:numId w:val="1008"/>
        </w:numPr>
        <w:pStyle w:val="Compact"/>
      </w:pPr>
      <w:r>
        <w:rPr>
          <w:bCs/>
          <w:b/>
        </w:rPr>
        <w:t xml:space="preserve">Ocean Freight Emission Factor:</w:t>
      </w:r>
      <w:r>
        <w:t xml:space="preserve"> </w:t>
      </w:r>
      <w:r>
        <w:t xml:space="preserve">0.01 kg CO2e/tkm (illustrative, based on DEFRA/Ecoinvent averages).</w:t>
      </w:r>
    </w:p>
    <w:p>
      <w:pPr>
        <w:numPr>
          <w:ilvl w:val="0"/>
          <w:numId w:val="1008"/>
        </w:numPr>
        <w:pStyle w:val="Compact"/>
      </w:pPr>
      <w:r>
        <w:rPr>
          <w:bCs/>
          <w:b/>
        </w:rPr>
        <w:t xml:space="preserve">Ocean Freight Emissions:</w:t>
      </w:r>
      <w:r>
        <w:t xml:space="preserve"> </w:t>
      </w:r>
      <w:r>
        <w:t xml:space="preserve">0.0127 tonnes * 8000 km * 0.01 kg CO2e/tkm = 1.02 kgCO2e</w:t>
      </w:r>
    </w:p>
    <w:p>
      <w:pPr>
        <w:numPr>
          <w:ilvl w:val="0"/>
          <w:numId w:val="1008"/>
        </w:numPr>
        <w:pStyle w:val="Compact"/>
      </w:pPr>
      <w:r>
        <w:rPr>
          <w:bCs/>
          <w:b/>
        </w:rPr>
        <w:t xml:space="preserve">Last-Mile Delivery Channel (placeholder: `Delivery Type`):</w:t>
      </w:r>
      <w:r>
        <w:t xml:space="preserve"> </w:t>
      </w:r>
      <w:r>
        <w:t xml:space="preserve">Road Freight (Light Duty Vehicle)</w:t>
      </w:r>
    </w:p>
    <w:p>
      <w:pPr>
        <w:numPr>
          <w:ilvl w:val="0"/>
          <w:numId w:val="1008"/>
        </w:numPr>
        <w:pStyle w:val="Compact"/>
      </w:pPr>
      <w:r>
        <w:rPr>
          <w:bCs/>
          <w:b/>
        </w:rPr>
        <w:t xml:space="preserve">Assumed Last-Mile Distance (within Europe for supply chain focus):</w:t>
      </w:r>
      <w:r>
        <w:t xml:space="preserve"> </w:t>
      </w:r>
      <w:r>
        <w:t xml:space="preserve">500 km (illustrative)</w:t>
      </w:r>
    </w:p>
    <w:p>
      <w:pPr>
        <w:numPr>
          <w:ilvl w:val="0"/>
          <w:numId w:val="1008"/>
        </w:numPr>
        <w:pStyle w:val="Compact"/>
      </w:pPr>
      <w:r>
        <w:rPr>
          <w:bCs/>
          <w:b/>
        </w:rPr>
        <w:t xml:space="preserve">Road Freight Emission Factor:</w:t>
      </w:r>
      <w:r>
        <w:t xml:space="preserve"> </w:t>
      </w:r>
      <w:r>
        <w:t xml:space="preserve">0.1 kg CO2e/tkm (illustrative, based on DEFRA/Ecoinvent averages).</w:t>
      </w:r>
    </w:p>
    <w:p>
      <w:pPr>
        <w:numPr>
          <w:ilvl w:val="0"/>
          <w:numId w:val="1008"/>
        </w:numPr>
        <w:pStyle w:val="Compact"/>
      </w:pPr>
      <w:r>
        <w:rPr>
          <w:bCs/>
          <w:b/>
        </w:rPr>
        <w:t xml:space="preserve">Road Freight Emissions:</w:t>
      </w:r>
      <w:r>
        <w:t xml:space="preserve"> </w:t>
      </w:r>
      <w:r>
        <w:t xml:space="preserve">0.0127 tonnes * 500 km * 0.1 kg CO2e/tkm = 0.64 kgCO2e</w:t>
      </w:r>
    </w:p>
    <w:p>
      <w:pPr>
        <w:numPr>
          <w:ilvl w:val="0"/>
          <w:numId w:val="1008"/>
        </w:numPr>
        <w:pStyle w:val="Compact"/>
      </w:pPr>
      <w:r>
        <w:rPr>
          <w:bCs/>
          <w:b/>
        </w:rPr>
        <w:t xml:space="preserve">Total Transport Emissions:</w:t>
      </w:r>
      <w:r>
        <w:t xml:space="preserve"> </w:t>
      </w:r>
      <w:r>
        <w:t xml:space="preserve">1.02 kgCO2e + 0.64 kgCO2e =</w:t>
      </w:r>
      <w:r>
        <w:t xml:space="preserve"> </w:t>
      </w:r>
      <w:r>
        <w:rPr>
          <w:bCs/>
          <w:b/>
        </w:rPr>
        <w:t xml:space="preserve">1.66 kgCO2e</w:t>
      </w:r>
    </w:p>
    <w:p>
      <w:r>
        <w:pict>
          <v:rect style="width:0;height:1.5pt" o:hralign="center" o:hrstd="t" o:hr="t"/>
        </w:pict>
      </w:r>
    </w:p>
    <w:bookmarkEnd w:id="32"/>
    <w:bookmarkEnd w:id="33"/>
    <w:bookmarkStart w:id="37" w:name="X8f11751ce921701bcc8b9d1e04b5738855a660b"/>
    <w:p>
      <w:pPr>
        <w:pStyle w:val="Heading2"/>
      </w:pPr>
      <w:r>
        <w:t xml:space="preserve">3. Product Carbon Footprint Calculation and Analysis</w:t>
      </w:r>
    </w:p>
    <w:bookmarkStart w:id="34" w:name="emissions-by-lifecycle-stage"/>
    <w:p>
      <w:pPr>
        <w:pStyle w:val="Heading3"/>
      </w:pPr>
      <w:r>
        <w:t xml:space="preserve">3.1. Emissions by Lifecycle Stage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(kgCO2e/unit)</w:t>
            </w:r>
          </w:p>
        </w:tc>
        <w:tc>
          <w:tcPr/>
          <w:p>
            <w:pPr>
              <w:pStyle w:val="Compact"/>
              <w:jc w:val="left"/>
            </w:pPr>
            <w:r>
              <w:t xml:space="preserve">Notes</w:t>
            </w:r>
          </w:p>
        </w:tc>
      </w:tr>
      <w:tr>
        <w:tc>
          <w:tcPr/>
          <w:p>
            <w:pPr>
              <w:pStyle w:val="Compact"/>
              <w:jc w:val="left"/>
            </w:pPr>
            <w:r>
              <w:t xml:space="preserve">Raw Material Acquisition &amp; Pre-processing</w:t>
            </w:r>
          </w:p>
        </w:tc>
        <w:tc>
          <w:tcPr/>
          <w:p>
            <w:pPr>
              <w:pStyle w:val="Compact"/>
              <w:jc w:val="left"/>
            </w:pPr>
            <w:r>
              <w:t xml:space="preserve">Scope 3 (Category 1)</w:t>
            </w:r>
          </w:p>
        </w:tc>
        <w:tc>
          <w:tcPr/>
          <w:p>
            <w:pPr>
              <w:pStyle w:val="Compact"/>
              <w:jc w:val="left"/>
            </w:pPr>
            <w:r>
              <w:t xml:space="preserve">38.70</w:t>
            </w:r>
          </w:p>
        </w:tc>
        <w:tc>
          <w:tcPr/>
          <w:p>
            <w:pPr>
              <w:pStyle w:val="Compact"/>
              <w:jc w:val="left"/>
            </w:pPr>
            <w:r>
              <w:t xml:space="preserve">Based on Detailed BOM (`xvvkqeng`) and illustrative EFs.</w:t>
            </w:r>
          </w:p>
        </w:tc>
      </w:tr>
      <w:tr>
        <w:tc>
          <w:tcPr/>
          <w:p>
            <w:pPr>
              <w:pStyle w:val="Compact"/>
              <w:jc w:val="left"/>
            </w:pPr>
            <w:r>
              <w:t xml:space="preserve">Manufacturing</w:t>
            </w:r>
          </w:p>
        </w:tc>
        <w:tc>
          <w:tcPr/>
          <w:p>
            <w:pPr>
              <w:pStyle w:val="Compact"/>
              <w:jc w:val="left"/>
            </w:pPr>
            <w:r>
              <w:t xml:space="preserve">Scope 2</w:t>
            </w:r>
          </w:p>
        </w:tc>
        <w:tc>
          <w:tcPr/>
          <w:p>
            <w:pPr>
              <w:pStyle w:val="Compact"/>
              <w:jc w:val="left"/>
            </w:pPr>
            <w:r>
              <w:t xml:space="preserve">2.57</w:t>
            </w:r>
          </w:p>
        </w:tc>
        <w:tc>
          <w:tcPr/>
          <w:p>
            <w:pPr>
              <w:pStyle w:val="Compact"/>
              <w:jc w:val="left"/>
            </w:pPr>
            <w:r>
              <w:t xml:space="preserve">Electricity consumption in China, adjusted for renewable energy usage (`dnsdwelzox`, `ghuhgpylvv`).</w:t>
            </w:r>
          </w:p>
        </w:tc>
      </w:tr>
      <w:tr>
        <w:tc>
          <w:tcPr/>
          <w:p>
            <w:pPr>
              <w:pStyle w:val="Compact"/>
              <w:jc w:val="left"/>
            </w:pPr>
            <w:r>
              <w:t xml:space="preserve">Upstream Transportation &amp; Distribution</w:t>
            </w:r>
          </w:p>
        </w:tc>
        <w:tc>
          <w:tcPr/>
          <w:p>
            <w:pPr>
              <w:pStyle w:val="Compact"/>
              <w:jc w:val="left"/>
            </w:pPr>
            <w:r>
              <w:t xml:space="preserve">Scope 3 (Category 4)</w:t>
            </w:r>
          </w:p>
        </w:tc>
        <w:tc>
          <w:tcPr/>
          <w:p>
            <w:pPr>
              <w:pStyle w:val="Compact"/>
              <w:jc w:val="left"/>
            </w:pPr>
            <w:r>
              <w:t xml:space="preserve">1.66</w:t>
            </w:r>
          </w:p>
        </w:tc>
        <w:tc>
          <w:tcPr/>
          <w:p>
            <w:pPr>
              <w:pStyle w:val="Compact"/>
              <w:jc w:val="left"/>
            </w:pPr>
            <w:r>
              <w:t xml:space="preserve">Ocean freight (`Select Mode`, `pyfvwhdjmo`) and road freight (`Delivery Type`).</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57.00</w:t>
            </w:r>
          </w:p>
        </w:tc>
        <w:tc>
          <w:tcPr/>
          <w:p>
            <w:pPr>
              <w:pStyle w:val="Compact"/>
              <w:jc w:val="left"/>
            </w:pPr>
            <w:r>
              <w:t xml:space="preserve">Product lifespan (`fpozfsigsp`) and energy in use (`jgyrnhuzdl`), assuming usage with China grid electricity.</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-14.06</w:t>
            </w:r>
          </w:p>
        </w:tc>
        <w:tc>
          <w:tcPr/>
          <w:p>
            <w:pPr>
              <w:pStyle w:val="Compact"/>
              <w:jc w:val="left"/>
            </w:pPr>
            <w:r>
              <w:t xml:space="preserve">Recyclability (`hmwlwhyehj`) providing avoided burden, plus disposal of non-recyclable parts.</w:t>
            </w:r>
          </w:p>
        </w:tc>
      </w:tr>
      <w:tr>
        <w:tc>
          <w:tcPr>
            <w:gridSpan w:val="2"/>
          </w:tcPr>
          <w:p>
            <w:pPr>
              <w:pStyle w:val="Compact"/>
              <w:jc w:val="right"/>
            </w:pPr>
            <w:r>
              <w:rPr>
                <w:bCs/>
                <w:b/>
              </w:rPr>
              <w:t xml:space="preserve">Total Product Carbon Footprint:</w:t>
            </w:r>
          </w:p>
        </w:tc>
        <w:tc>
          <w:tcPr/>
          <w:p>
            <w:pPr>
              <w:pStyle w:val="Compact"/>
              <w:jc w:val="left"/>
            </w:pPr>
            <w:r>
              <w:rPr>
                <w:bCs/>
                <w:b/>
              </w:rPr>
              <w:t xml:space="preserve">85.87 kgCO2e</w:t>
            </w:r>
          </w:p>
        </w:tc>
        <w:tc>
          <w:tcPr/>
          <w:p>
            <w:pPr>
              <w:pStyle w:val="Compact"/>
            </w:pPr>
          </w:p>
        </w:tc>
      </w:tr>
    </w:tbl>
    <w:bookmarkEnd w:id="34"/>
    <w:bookmarkStart w:id="35" w:name="emissions-by-scope"/>
    <w:p>
      <w:pPr>
        <w:pStyle w:val="Heading3"/>
      </w:pPr>
      <w:r>
        <w:t xml:space="preserve">3.2. Emissions by Scope</w:t>
      </w:r>
    </w:p>
    <w:p>
      <w:pPr>
        <w:pStyle w:val="FirstParagraph"/>
      </w:pPr>
      <w:r>
        <w:t xml:space="preserve">According to the GHG Protocol, emissions are categorized as follows:</w:t>
      </w:r>
    </w:p>
    <w:p>
      <w:pPr>
        <w:numPr>
          <w:ilvl w:val="0"/>
          <w:numId w:val="1009"/>
        </w:numPr>
        <w:pStyle w:val="Compact"/>
      </w:pPr>
      <w:r>
        <w:rPr>
          <w:bCs/>
          <w:b/>
        </w:rPr>
        <w:t xml:space="preserve">Scope 1 Emissions:</w:t>
      </w:r>
      <w:r>
        <w:t xml:space="preserve"> </w:t>
      </w:r>
      <w:r>
        <w:t xml:space="preserve">Direct emissions from sources owned or controlled by the company. For a "factory_gate" product boundary, direct manufacturing emissions (e.g., from burning fuel on-site) would fall here. (Assumed negligible/zero for this specific product PCF focus, typically addressed in corporate operational footprints).</w:t>
      </w:r>
    </w:p>
    <w:p>
      <w:pPr>
        <w:numPr>
          <w:ilvl w:val="0"/>
          <w:numId w:val="1009"/>
        </w:numPr>
        <w:pStyle w:val="Compact"/>
      </w:pPr>
      <w:r>
        <w:rPr>
          <w:bCs/>
          <w:b/>
        </w:rPr>
        <w:t xml:space="preserve">Scope 2 Emissions:</w:t>
      </w:r>
      <w:r>
        <w:t xml:space="preserve"> </w:t>
      </w:r>
      <w:r>
        <w:t xml:space="preserve">Indirect emissions from the generation of purchased electricity, heat, or steam consumed by the company.</w:t>
      </w:r>
    </w:p>
    <w:p>
      <w:pPr>
        <w:numPr>
          <w:ilvl w:val="1"/>
          <w:numId w:val="1010"/>
        </w:numPr>
        <w:pStyle w:val="Compact"/>
      </w:pPr>
      <w:r>
        <w:t xml:space="preserve">Manufacturing Electricity: 2.57 kgCO2e</w:t>
      </w:r>
    </w:p>
    <w:p>
      <w:pPr>
        <w:numPr>
          <w:ilvl w:val="0"/>
          <w:numId w:val="1009"/>
        </w:numPr>
        <w:pStyle w:val="Compact"/>
      </w:pPr>
      <w:r>
        <w:rPr>
          <w:bCs/>
          <w:b/>
        </w:rPr>
        <w:t xml:space="preserve">Scope 3 Emissions:</w:t>
      </w:r>
      <w:r>
        <w:t xml:space="preserve"> </w:t>
      </w:r>
      <w:r>
        <w:t xml:space="preserve">All other indirect emissions in the value chain.</w:t>
      </w:r>
    </w:p>
    <w:p>
      <w:pPr>
        <w:numPr>
          <w:ilvl w:val="1"/>
          <w:numId w:val="1011"/>
        </w:numPr>
        <w:pStyle w:val="Compact"/>
      </w:pPr>
      <w:r>
        <w:t xml:space="preserve">Raw Material Acquisition &amp; Pre-processing (Category 1): 38.70 kgCO2e</w:t>
      </w:r>
    </w:p>
    <w:p>
      <w:pPr>
        <w:numPr>
          <w:ilvl w:val="1"/>
          <w:numId w:val="1011"/>
        </w:numPr>
        <w:pStyle w:val="Compact"/>
      </w:pPr>
      <w:r>
        <w:t xml:space="preserve">Upstream Transportation &amp; Distribution (Category 4): 1.66 kgCO2e</w:t>
      </w:r>
    </w:p>
    <w:p>
      <w:pPr>
        <w:numPr>
          <w:ilvl w:val="1"/>
          <w:numId w:val="1011"/>
        </w:numPr>
        <w:pStyle w:val="Compact"/>
      </w:pPr>
      <w:r>
        <w:t xml:space="preserve">Use Phase (Category 11): 57.00 kgCO2e</w:t>
      </w:r>
    </w:p>
    <w:p>
      <w:pPr>
        <w:numPr>
          <w:ilvl w:val="1"/>
          <w:numId w:val="1011"/>
        </w:numPr>
        <w:pStyle w:val="Compact"/>
      </w:pPr>
      <w:r>
        <w:t xml:space="preserve">End-of-Life Treatment (Category 12): -14.06 kgCO2e</w:t>
      </w:r>
    </w:p>
    <w:p>
      <w:pPr>
        <w:numPr>
          <w:ilvl w:val="1"/>
          <w:numId w:val="1011"/>
        </w:numPr>
        <w:pStyle w:val="Compact"/>
      </w:pPr>
      <w:r>
        <w:rPr>
          <w:bCs/>
          <w:b/>
        </w:rPr>
        <w:t xml:space="preserve">Total Scope 3 Emissions:</w:t>
      </w:r>
      <w:r>
        <w:t xml:space="preserve"> </w:t>
      </w:r>
      <w:r>
        <w:t xml:space="preserve">38.70 + 1.66 + 57.00 - 14.06 = 83.30 kgCO2e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Emissions (kgCO2e/unit)</w:t>
            </w:r>
          </w:p>
        </w:tc>
        <w:tc>
          <w:tcPr/>
          <w:p>
            <w:pPr>
              <w:pStyle w:val="Compact"/>
              <w:jc w:val="left"/>
            </w:pPr>
            <w:r>
              <w:t xml:space="preserve">Percentage of Total PCF</w:t>
            </w:r>
          </w:p>
        </w:tc>
      </w:tr>
      <w:tr>
        <w:tc>
          <w:tcPr/>
          <w:p>
            <w:pPr>
              <w:pStyle w:val="Compact"/>
              <w:jc w:val="left"/>
            </w:pPr>
            <w:r>
              <w:t xml:space="preserve">Scope 1</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2.57</w:t>
            </w:r>
          </w:p>
        </w:tc>
        <w:tc>
          <w:tcPr/>
          <w:p>
            <w:pPr>
              <w:pStyle w:val="Compact"/>
              <w:jc w:val="left"/>
            </w:pPr>
            <w:r>
              <w:t xml:space="preserve">3.0%</w:t>
            </w:r>
          </w:p>
        </w:tc>
      </w:tr>
      <w:tr>
        <w:tc>
          <w:tcPr/>
          <w:p>
            <w:pPr>
              <w:pStyle w:val="Compact"/>
              <w:jc w:val="left"/>
            </w:pPr>
            <w:r>
              <w:t xml:space="preserve">Scope 3</w:t>
            </w:r>
          </w:p>
        </w:tc>
        <w:tc>
          <w:tcPr/>
          <w:p>
            <w:pPr>
              <w:pStyle w:val="Compact"/>
              <w:jc w:val="left"/>
            </w:pPr>
            <w:r>
              <w:t xml:space="preserve">83.30</w:t>
            </w:r>
          </w:p>
        </w:tc>
        <w:tc>
          <w:tcPr/>
          <w:p>
            <w:pPr>
              <w:pStyle w:val="Compact"/>
              <w:jc w:val="left"/>
            </w:pPr>
            <w:r>
              <w:t xml:space="preserve">97.0%</w:t>
            </w:r>
          </w:p>
        </w:tc>
      </w:tr>
      <w:tr>
        <w:tc>
          <w:tcPr/>
          <w:p>
            <w:pPr>
              <w:pStyle w:val="Compact"/>
              <w:jc w:val="left"/>
            </w:pPr>
            <w:r>
              <w:rPr>
                <w:bCs/>
                <w:b/>
              </w:rPr>
              <w:t xml:space="preserve">Total PCF</w:t>
            </w:r>
          </w:p>
        </w:tc>
        <w:tc>
          <w:tcPr/>
          <w:p>
            <w:pPr>
              <w:pStyle w:val="Compact"/>
              <w:jc w:val="left"/>
            </w:pPr>
            <w:r>
              <w:rPr>
                <w:bCs/>
                <w:b/>
              </w:rPr>
              <w:t xml:space="preserve">85.87</w:t>
            </w:r>
          </w:p>
        </w:tc>
        <w:tc>
          <w:tcPr/>
          <w:p>
            <w:pPr>
              <w:pStyle w:val="Compact"/>
              <w:jc w:val="left"/>
            </w:pPr>
            <w:r>
              <w:rPr>
                <w:bCs/>
                <w:b/>
              </w:rPr>
              <w:t xml:space="preserve">100.0%</w:t>
            </w:r>
          </w:p>
        </w:tc>
      </w:tr>
    </w:tbl>
    <w:bookmarkEnd w:id="35"/>
    <w:bookmarkStart w:id="36" w:name="ghg-protocol-updates-and-compliance"/>
    <w:p>
      <w:pPr>
        <w:pStyle w:val="Heading3"/>
      </w:pPr>
      <w:r>
        <w:t xml:space="preserve">3.3. 2026 GHG Protocol Updates and Compliance</w:t>
      </w:r>
    </w:p>
    <w:p>
      <w:pPr>
        <w:numPr>
          <w:ilvl w:val="0"/>
          <w:numId w:val="1012"/>
        </w:numPr>
        <w:pStyle w:val="Compact"/>
      </w:pPr>
      <w:r>
        <w:rPr>
          <w:bCs/>
          <w:b/>
        </w:rPr>
        <w:t xml:space="preserve">Land Sector and Removals (LSR) Standard:</w:t>
      </w:r>
      <w:r>
        <w:t xml:space="preserve"> </w:t>
      </w:r>
      <w:r>
        <w:t xml:space="preserve">The LSR Standard, published on January 30, 2026, and effective January 1, 2027, provides requirements for accounting for emissions and removals from agriculture and land use. While specific land-use data for zzfvopmksm was not available, future analyses should incorporate this standard for any bio-based materials or processes linked to land use within the supply chain. The accompanying Guidance is expected in Q2 2026, which will provide more practical implementation support.</w:t>
      </w:r>
    </w:p>
    <w:p>
      <w:pPr>
        <w:numPr>
          <w:ilvl w:val="0"/>
          <w:numId w:val="1012"/>
        </w:numPr>
        <w:pStyle w:val="Compact"/>
      </w:pPr>
      <w:r>
        <w:rPr>
          <w:bCs/>
          <w:b/>
        </w:rPr>
        <w:t xml:space="preserve">Scope 3 Compliance (95% Coverage):</w:t>
      </w:r>
      <w:r>
        <w:t xml:space="preserve"> </w:t>
      </w:r>
      <w:r>
        <w:t xml:space="preserve">The proposed 2026 GHG Protocol Scope 3 Standard revisions introduce a prescriptive completeness requirement, mandating companies to account for and report at least 95% of total *required* Scope 3 emissions. This analysis for zzfvopmksm, by covering all major upstream and downstream categories (purchased goods, transport, use phase, end-of-life), is designed to achieve this high coverage. Data disaggregation by data type (primary vs. secondary) is also a key proposal, which would further enhance transparency and data quality in future reporting.</w:t>
      </w:r>
    </w:p>
    <w:p>
      <w:r>
        <w:pict>
          <v:rect style="width:0;height:1.5pt" o:hralign="center" o:hrstd="t" o:hr="t"/>
        </w:pict>
      </w:r>
    </w:p>
    <w:bookmarkEnd w:id="36"/>
    <w:bookmarkEnd w:id="37"/>
    <w:bookmarkStart w:id="40" w:name="hotspots-and-reliability"/>
    <w:p>
      <w:pPr>
        <w:pStyle w:val="Heading2"/>
      </w:pPr>
      <w:r>
        <w:t xml:space="preserve">4. Hotspots and Reliability</w:t>
      </w:r>
    </w:p>
    <w:bookmarkStart w:id="38" w:name="emission-hotspots"/>
    <w:p>
      <w:pPr>
        <w:pStyle w:val="Heading3"/>
      </w:pPr>
      <w:r>
        <w:t xml:space="preserve">4.1. Emission Hotspots</w:t>
      </w:r>
    </w:p>
    <w:p>
      <w:pPr>
        <w:pStyle w:val="FirstParagraph"/>
      </w:pPr>
      <w:r>
        <w:t xml:space="preserve">The primary emission hotspots for zzfvopmksm are identified as:</w:t>
      </w:r>
    </w:p>
    <w:p>
      <w:pPr>
        <w:numPr>
          <w:ilvl w:val="0"/>
          <w:numId w:val="1013"/>
        </w:numPr>
        <w:pStyle w:val="Compact"/>
      </w:pPr>
      <w:r>
        <w:rPr>
          <w:bCs/>
          <w:b/>
        </w:rPr>
        <w:t xml:space="preserve">Use Phase (57.00 kgCO2e):</w:t>
      </w:r>
      <w:r>
        <w:t xml:space="preserve"> </w:t>
      </w:r>
      <w:r>
        <w:t xml:space="preserve">Constituting the largest portion of the PCF, the energy consumption during the product\'s operational lifespan is a significant contributor. This is driven by the energy consumption in use (`jgyrnhuzdl`) over the product lifespan (`fpozfsigsp`) and the electricity grid mix of the region of use.</w:t>
      </w:r>
    </w:p>
    <w:p>
      <w:pPr>
        <w:numPr>
          <w:ilvl w:val="0"/>
          <w:numId w:val="1013"/>
        </w:numPr>
        <w:pStyle w:val="Compact"/>
      </w:pPr>
      <w:r>
        <w:rPr>
          <w:bCs/>
          <w:b/>
        </w:rPr>
        <w:t xml:space="preserve">Raw Material Acquisition &amp; Pre-processing (38.70 kgCO2e):</w:t>
      </w:r>
      <w:r>
        <w:t xml:space="preserve"> </w:t>
      </w:r>
      <w:r>
        <w:t xml:space="preserve">The embodied emissions in the materials, particularly those with high carbon intensity like steel and electronics, represent the second largest hotspot.</w:t>
      </w:r>
    </w:p>
    <w:bookmarkEnd w:id="38"/>
    <w:bookmarkStart w:id="39" w:name="data-reliability"/>
    <w:p>
      <w:pPr>
        <w:pStyle w:val="Heading3"/>
      </w:pPr>
      <w:r>
        <w:t xml:space="preserve">4.2. Data Reliability</w:t>
      </w:r>
    </w:p>
    <w:p>
      <w:pPr>
        <w:pStyle w:val="FirstParagraph"/>
      </w:pPr>
      <w:r>
        <w:t xml:space="preserve">The reliability of this report is dependent on the accuracy of the activity data and the emission factors used. Given the placeholder nature of some input parameters, illustrative values were used, which introduces an element of uncertainty. For future iterations, utilizing primary data directly from suppliers for materials and actual transport logs would significantly enhance accuracy. Emission factors from databases like Ecoinvent and DEFRA are generally robust for secondary data but represent averages.</w:t>
      </w:r>
    </w:p>
    <w:p>
      <w:r>
        <w:pict>
          <v:rect style="width:0;height:1.5pt" o:hralign="center" o:hrstd="t" o:hr="t"/>
        </w:pict>
      </w:r>
    </w:p>
    <w:bookmarkEnd w:id="39"/>
    <w:bookmarkEnd w:id="40"/>
    <w:bookmarkStart w:id="41" w:name="recommendations-for-emission-reduction"/>
    <w:p>
      <w:pPr>
        <w:pStyle w:val="Heading2"/>
      </w:pPr>
      <w:r>
        <w:t xml:space="preserve">5. Recommendations for Emission Reduction</w:t>
      </w:r>
    </w:p>
    <w:p>
      <w:pPr>
        <w:pStyle w:val="FirstParagraph"/>
      </w:pPr>
      <w:r>
        <w:t xml:space="preserve">Based on the identified hotspots, qrjnpeeopt should consider the following strategies to reduce the PCF of zzfvopmksm:</w:t>
      </w:r>
    </w:p>
    <w:p>
      <w:pPr>
        <w:numPr>
          <w:ilvl w:val="0"/>
          <w:numId w:val="1014"/>
        </w:numPr>
        <w:pStyle w:val="Compact"/>
      </w:pPr>
      <w:r>
        <w:rPr>
          <w:bCs/>
          <w:b/>
        </w:rPr>
        <w:t xml:space="preserve">Optimize Use Phase Efficiency:</w:t>
      </w:r>
    </w:p>
    <w:p>
      <w:pPr>
        <w:numPr>
          <w:ilvl w:val="1"/>
          <w:numId w:val="1015"/>
        </w:numPr>
        <w:pStyle w:val="Compact"/>
      </w:pPr>
      <w:r>
        <w:t xml:space="preserve">Invest in research and development to reduce the energy consumption per year (`jgyrnhuzdl`) of zzfvopmksm.</w:t>
      </w:r>
    </w:p>
    <w:p>
      <w:pPr>
        <w:numPr>
          <w:ilvl w:val="1"/>
          <w:numId w:val="1015"/>
        </w:numPr>
        <w:pStyle w:val="Compact"/>
      </w:pPr>
      <w:r>
        <w:t xml:space="preserve">Explore options for product design that enables usage with renewable energy sources or lower-carbon electricity grids.</w:t>
      </w:r>
    </w:p>
    <w:p>
      <w:pPr>
        <w:numPr>
          <w:ilvl w:val="1"/>
          <w:numId w:val="1015"/>
        </w:numPr>
        <w:pStyle w:val="Compact"/>
      </w:pPr>
      <w:r>
        <w:t xml:space="preserve">Educate consumers on efficient use and maintenance to extend product lifespan and reduce energy consumption.</w:t>
      </w:r>
    </w:p>
    <w:p>
      <w:pPr>
        <w:numPr>
          <w:ilvl w:val="0"/>
          <w:numId w:val="1014"/>
        </w:numPr>
        <w:pStyle w:val="Compact"/>
      </w:pPr>
      <w:r>
        <w:rPr>
          <w:bCs/>
          <w:b/>
        </w:rPr>
        <w:t xml:space="preserve">Sustainable Material Sourcing:</w:t>
      </w:r>
    </w:p>
    <w:p>
      <w:pPr>
        <w:numPr>
          <w:ilvl w:val="1"/>
          <w:numId w:val="1016"/>
        </w:numPr>
        <w:pStyle w:val="Compact"/>
      </w:pPr>
      <w:r>
        <w:t xml:space="preserve">Prioritize materials with lower embodied carbon, such as recycled content (e.g., using post-consumer recycled plastics or low-carbon steel).</w:t>
      </w:r>
    </w:p>
    <w:p>
      <w:pPr>
        <w:numPr>
          <w:ilvl w:val="1"/>
          <w:numId w:val="1016"/>
        </w:numPr>
        <w:pStyle w:val="Compact"/>
      </w:pPr>
      <w:r>
        <w:t xml:space="preserve">Engage with suppliers to obtain primary emission data and collaborate on decarbonization initiatives.</w:t>
      </w:r>
    </w:p>
    <w:p>
      <w:pPr>
        <w:numPr>
          <w:ilvl w:val="1"/>
          <w:numId w:val="1016"/>
        </w:numPr>
        <w:pStyle w:val="Compact"/>
      </w:pPr>
      <w:r>
        <w:t xml:space="preserve">Explore alternative materials with similar performance but lower environmental impact.</w:t>
      </w:r>
    </w:p>
    <w:p>
      <w:pPr>
        <w:numPr>
          <w:ilvl w:val="0"/>
          <w:numId w:val="1014"/>
        </w:numPr>
        <w:pStyle w:val="Compact"/>
      </w:pPr>
      <w:r>
        <w:rPr>
          <w:bCs/>
          <w:b/>
        </w:rPr>
        <w:t xml:space="preserve">Enhance Circularity:</w:t>
      </w:r>
    </w:p>
    <w:p>
      <w:pPr>
        <w:numPr>
          <w:ilvl w:val="1"/>
          <w:numId w:val="1017"/>
        </w:numPr>
        <w:pStyle w:val="Compact"/>
      </w:pPr>
      <w:r>
        <w:t xml:space="preserve">Leverage the high recyclability percentage (`hmwlwhyehj` - 85%) by actively promoting and facilitating take-back programs (`epvfhshkzt` - Yes, fully implemented) to maximize material recovery and reduce reliance on virgin materials.</w:t>
      </w:r>
    </w:p>
    <w:p>
      <w:pPr>
        <w:numPr>
          <w:ilvl w:val="1"/>
          <w:numId w:val="1017"/>
        </w:numPr>
        <w:pStyle w:val="Compact"/>
      </w:pPr>
      <w:r>
        <w:t xml:space="preserve">Design for disassembly and repair to further extend product life and enable easier recycling.</w:t>
      </w:r>
    </w:p>
    <w:p>
      <w:pPr>
        <w:numPr>
          <w:ilvl w:val="0"/>
          <w:numId w:val="1014"/>
        </w:numPr>
        <w:pStyle w:val="Compact"/>
      </w:pPr>
      <w:r>
        <w:rPr>
          <w:bCs/>
          <w:b/>
        </w:rPr>
        <w:t xml:space="preserve">Supply Chain Optimization:</w:t>
      </w:r>
    </w:p>
    <w:p>
      <w:pPr>
        <w:numPr>
          <w:ilvl w:val="1"/>
          <w:numId w:val="1018"/>
        </w:numPr>
        <w:pStyle w:val="Compact"/>
      </w:pPr>
      <w:r>
        <w:t xml:space="preserve">Explore more efficient or lower-carbon transport modes for inbound logistics (e.g., shifting from road to rail where feasible, optimizing loading capacity).</w:t>
      </w:r>
    </w:p>
    <w:p>
      <w:pPr>
        <w:numPr>
          <w:ilvl w:val="1"/>
          <w:numId w:val="1018"/>
        </w:numPr>
        <w:pStyle w:val="Compact"/>
      </w:pPr>
      <w:r>
        <w:t xml:space="preserve">Investigate local sourcing options for raw materials to reduce transport distances.</w:t>
      </w:r>
    </w:p>
    <w:p>
      <w:r>
        <w:pict>
          <v:rect style="width:0;height:1.5pt" o:hralign="center" o:hrstd="t" o:hr="t"/>
        </w:pict>
      </w:r>
    </w:p>
    <w:p>
      <w:pPr>
        <w:pStyle w:val="FirstParagraph"/>
      </w:pPr>
      <w:r>
        <w:t xml:space="preserve">Confidential - Internal Use Only</w:t>
      </w:r>
    </w:p>
    <w:p>
      <w:pPr>
        <w:pStyle w:val="BodyText"/>
      </w:pPr>
      <w:r>
        <w:t xml:space="preserve">This report is prepared by yzgdyysovm for qrjnpeeopt.</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ghgprotocol.org/" TargetMode="External" /></Relationships>
</file>

<file path=word/_rels/footnotes.xml.rels><?xml version="1.0" encoding="UTF-8"?><Relationships xmlns="http://schemas.openxmlformats.org/package/2006/relationships"><Relationship Type="http://schemas.openxmlformats.org/officeDocument/2006/relationships/hyperlink" Id="rId23" Target="https://ghgprotocol.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zzfvopmksm</dc:title>
  <dc:creator/>
  <dc:description>High-detail Product Carbon Footprint (PCF) analysis report for zzfvopmksm, conducted by yzgdyysovm for qrjnpeeopt, adhering to GHG Protocol standards and 2026 updates including LSR and Scope 3 compliance.</dc:description>
  <dc:language>en</dc:language>
  <cp:keywords/>
  <dcterms:created xsi:type="dcterms:W3CDTF">2026-07-15T02:14:20Z</dcterms:created>
  <dcterms:modified xsi:type="dcterms:W3CDTF">2026-07-15T02:14:20Z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