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zyjygzxlip</w:t>
      </w:r>
      <w:r>
        <w:t xml:space="preserve"> </w:t>
      </w:r>
      <w:r>
        <w:t xml:space="preserve">-</w:t>
      </w:r>
      <w:r>
        <w:t xml:space="preserve"> </w:t>
      </w:r>
      <w:r>
        <w:t xml:space="preserve">imjyngtnvt</w:t>
      </w:r>
    </w:p>
    <w:bookmarkStart w:id="20" w:name="carboncalcpcf.com"/>
    <w:p>
      <w:pPr>
        <w:pStyle w:val="Heading1"/>
      </w:pPr>
      <w:r>
        <w:t xml:space="preserve">carboncalcpcf.com</w:t>
      </w:r>
    </w:p>
    <w:bookmarkEnd w:id="20"/>
    <w:bookmarkStart w:id="21" w:name="Xf2e6ab5be446359d80f42f50d41e46314dfe19d"/>
    <w:p>
      <w:pPr>
        <w:pStyle w:val="Heading2"/>
      </w:pPr>
      <w:r>
        <w:t xml:space="preserve">Product Carbon Footprint (PCF) Analysis Report</w:t>
      </w:r>
    </w:p>
    <w:bookmarkEnd w:id="21"/>
    <w:bookmarkStart w:id="22" w:name="product-zyjygzxlip"/>
    <w:p>
      <w:pPr>
        <w:pStyle w:val="Heading1"/>
      </w:pPr>
      <w:r>
        <w:t xml:space="preserve">Product: zyjygzxlip</w:t>
      </w:r>
    </w:p>
    <w:p>
      <w:pPr>
        <w:pStyle w:val="FirstParagraph"/>
      </w:pPr>
      <w:r>
        <w:rPr>
          <w:bCs/>
          <w:b/>
        </w:rPr>
        <w:t xml:space="preserve">Company Name:</w:t>
      </w:r>
      <w:r>
        <w:t xml:space="preserve"> </w:t>
      </w:r>
      <w:r>
        <w:t xml:space="preserve">imjyngtnvt</w:t>
      </w:r>
    </w:p>
    <w:p>
      <w:pPr>
        <w:pStyle w:val="BodyText"/>
      </w:pPr>
      <w:r>
        <w:rPr>
          <w:bCs/>
          <w:b/>
        </w:rPr>
        <w:t xml:space="preserve">Senior Sustainability Consultant:</w:t>
      </w:r>
      <w:r>
        <w:t xml:space="preserve"> </w:t>
      </w:r>
      <w:r>
        <w:t xml:space="preserve">ttzndjffnf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w:t>
      </w:r>
      <w:r>
        <w:t xml:space="preserve"> </w:t>
      </w:r>
      <w:r>
        <w:t xml:space="preserve">the calculations rely on illustrative data where specific primary data was not provided in a parseable format, and on generalized emission factors.</w:t>
      </w:r>
      <w:r>
        <w:t xml:space="preserve"> </w:t>
      </w:r>
      <w:r>
        <w:t xml:space="preserve">Actual emissions may vary.</w:t>
      </w:r>
    </w:p>
    <w:bookmarkEnd w:id="22"/>
    <w:bookmarkStart w:id="23"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zyjygzxlip</w:t>
      </w:r>
    </w:p>
    <w:p>
      <w:pPr>
        <w:pStyle w:val="BodyText"/>
      </w:pPr>
      <w:r>
        <w:rPr>
          <w:bCs/>
          <w:b/>
        </w:rPr>
        <w:t xml:space="preserve">Company:</w:t>
      </w:r>
      <w:r>
        <w:t xml:space="preserve"> </w:t>
      </w:r>
      <w:r>
        <w:t xml:space="preserve">imjyngtnvt</w:t>
      </w:r>
    </w:p>
    <w:p>
      <w:pPr>
        <w:pStyle w:val="BodyText"/>
      </w:pPr>
      <w:r>
        <w:rPr>
          <w:bCs/>
          <w:b/>
        </w:rPr>
        <w:t xml:space="preserve">Senior Sustainability Consultant:</w:t>
      </w:r>
      <w:r>
        <w:t xml:space="preserve"> </w:t>
      </w:r>
      <w:r>
        <w:t xml:space="preserve">ttzndjffnf</w:t>
      </w:r>
    </w:p>
    <w:p>
      <w:pPr>
        <w:pStyle w:val="BodyText"/>
      </w:pPr>
      <w:r>
        <w:rPr>
          <w:bCs/>
          <w:b/>
        </w:rPr>
        <w:t xml:space="preserve">Generated Date:</w:t>
      </w:r>
      <w:r>
        <w:t xml:space="preserve"> </w:t>
      </w:r>
      <w:r>
        <w:t xml:space="preserve">May 25, 2026</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 zyjygzxlip, manufactured by imjyngtnvt. The analysis adheres strictly to the GHG Protocol accounting standard, incorporating the latest 2026 Land Sector and Removals (LSR) Standard updates and targeting at least 95% Scope 3 coverage. The assessment covers the entire lifecycle from raw material acquisition (cradle-to-gate) through manufacturing, transportation, use phase, and end-of-life scenarios. Key insights identify major emission hotspots across the supply chain, production, and end-of-life stages, providing a foundation for strategic decarbonization efforts.</w:t>
      </w:r>
    </w:p>
    <w:p>
      <w:r>
        <w:pict>
          <v:rect style="width:0;height:1.5pt" o:hralign="center" o:hrstd="t" o:hr="t"/>
        </w:pict>
      </w:r>
    </w:p>
    <w:bookmarkEnd w:id="24"/>
    <w:bookmarkStart w:id="30" w:name="methodology-and-scope-definition"/>
    <w:p>
      <w:pPr>
        <w:pStyle w:val="Heading2"/>
      </w:pPr>
      <w:r>
        <w:t xml:space="preserve">1. Methodology and Scope Definition</w:t>
      </w:r>
    </w:p>
    <w:p>
      <w:pPr>
        <w:pStyle w:val="FirstParagraph"/>
      </w:pPr>
      <w:r>
        <w:t xml:space="preserve">The Product Carbon Footprint (PCF) for zyjygzxlip is calculated following the five-step methodology prescribed by the GHG Protocol Product Standard, ensuring a comprehensive and robust assessment.</w:t>
      </w:r>
    </w:p>
    <w:bookmarkStart w:id="25"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zyjygzxlip</w:t>
      </w:r>
      <w:r>
        <w:t xml:space="preserve">. This unit serves as the reference basis for quantifying all relevant inputs and outputs throughout the product\'s lifecycle.</w:t>
      </w:r>
    </w:p>
    <w:bookmarkEnd w:id="25"/>
    <w:bookmarkStart w:id="26"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which implies a cradle-to-gate scope encompassing all processes from raw material extraction to the point the finished product leaves the manufacturing facility. However, per the detailed requirements, this report expands beyond \'factory_gate\' to include transportation, the product use phase, and end-of-life scenarios, effectively covering a cradle-to-grave perspective to provide a holistic PCF. This includes:</w:t>
      </w:r>
    </w:p>
    <w:p>
      <w:pPr>
        <w:numPr>
          <w:ilvl w:val="0"/>
          <w:numId w:val="1001"/>
        </w:numPr>
        <w:pStyle w:val="Compact"/>
      </w:pPr>
      <w:r>
        <w:rPr>
          <w:bCs/>
          <w:b/>
        </w:rPr>
        <w:t xml:space="preserve">Raw Material Acquisition:</w:t>
      </w:r>
      <w:r>
        <w:t xml:space="preserve"> </w:t>
      </w:r>
      <w:r>
        <w:t xml:space="preserve">Extraction, processing, and initial production of all materials listed in the Bill of Materials.</w:t>
      </w:r>
    </w:p>
    <w:p>
      <w:pPr>
        <w:numPr>
          <w:ilvl w:val="0"/>
          <w:numId w:val="1001"/>
        </w:numPr>
        <w:pStyle w:val="Compact"/>
      </w:pPr>
      <w:r>
        <w:rPr>
          <w:bCs/>
          <w:b/>
        </w:rPr>
        <w:t xml:space="preserve">Manufacturing:</w:t>
      </w:r>
      <w:r>
        <w:t xml:space="preserve"> </w:t>
      </w:r>
      <w:r>
        <w:t xml:space="preserve">All processes occurring at the production facility, including energy consumption, waste generation, and direct emissions.</w:t>
      </w:r>
    </w:p>
    <w:p>
      <w:pPr>
        <w:numPr>
          <w:ilvl w:val="0"/>
          <w:numId w:val="1001"/>
        </w:numPr>
        <w:pStyle w:val="Compact"/>
      </w:pPr>
      <w:r>
        <w:rPr>
          <w:bCs/>
          <w:b/>
        </w:rPr>
        <w:t xml:space="preserve">Transportation:</w:t>
      </w:r>
      <w:r>
        <w:t xml:space="preserve"> </w:t>
      </w:r>
      <w:r>
        <w:t xml:space="preserve">Inbound logistics of raw materials to the factory and outbound logistics of the finished product to the market (Europe Focused).</w:t>
      </w:r>
    </w:p>
    <w:p>
      <w:pPr>
        <w:numPr>
          <w:ilvl w:val="0"/>
          <w:numId w:val="1001"/>
        </w:numPr>
        <w:pStyle w:val="Compact"/>
      </w:pPr>
      <w:r>
        <w:rPr>
          <w:bCs/>
          <w:b/>
        </w:rPr>
        <w:t xml:space="preserve">Use Phase:</w:t>
      </w:r>
      <w:r>
        <w:t xml:space="preserve"> </w:t>
      </w:r>
      <w:r>
        <w:t xml:space="preserve">Energy consumption and related emissions during the product\'s estimated lifespan.</w:t>
      </w:r>
    </w:p>
    <w:p>
      <w:pPr>
        <w:numPr>
          <w:ilvl w:val="0"/>
          <w:numId w:val="1001"/>
        </w:numPr>
        <w:pStyle w:val="Compact"/>
      </w:pPr>
      <w:r>
        <w:rPr>
          <w:bCs/>
          <w:b/>
        </w:rPr>
        <w:t xml:space="preserve">End-of-Life:</w:t>
      </w:r>
      <w:r>
        <w:t xml:space="preserve"> </w:t>
      </w:r>
      <w:r>
        <w:t xml:space="preserve">Scenarios including recycling and disposal, accounting for potential circular economy impacts.</w:t>
      </w:r>
    </w:p>
    <w:bookmarkEnd w:id="26"/>
    <w:bookmarkStart w:id="27"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inbound and outbound logistics. This dual focus allows for the application of relevant regional emission factors for electricity grids and transportation networks.</w:t>
      </w:r>
    </w:p>
    <w:bookmarkEnd w:id="27"/>
    <w:bookmarkStart w:id="28" w:name="allocation"/>
    <w:p>
      <w:pPr>
        <w:pStyle w:val="Heading3"/>
      </w:pPr>
      <w:r>
        <w:t xml:space="preserve">1.4. Allocation</w:t>
      </w:r>
    </w:p>
    <w:p>
      <w:pPr>
        <w:pStyle w:val="FirstParagraph"/>
      </w:pPr>
      <w:r>
        <w:t xml:space="preserve">Emissions are allocated directly to the functional unit (1.0 unit of zyjygzxlip). For shared processes or co-products, economic allocation is prioritized where relevant data is available, otherwise mass allocation is applied. For recycling, the "cut-off" approach (or "cradle-to-grave with recycled content" approach) is generally applied where emissions from primary production of virgin material are allocated to the first user, and emissions from recycling processes are allocated to the product using the recycled material. Avoided emissions credits for end-of-life recycling are considered to reflect circularity impacts.</w:t>
      </w:r>
    </w:p>
    <w:bookmarkEnd w:id="28"/>
    <w:bookmarkStart w:id="29"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 Product Standard</w:t>
      </w:r>
      <w:r>
        <w:t xml:space="preserve"> </w:t>
      </w:r>
      <w:r>
        <w:t xml:space="preserve">for calculating and reporting greenhouse gas emissions.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rPr>
          <w:bCs/>
          <w:b/>
        </w:rPr>
        <w:t xml:space="preserve">2026 LSR Update:</w:t>
      </w:r>
      <w:r>
        <w:t xml:space="preserve"> </w:t>
      </w:r>
      <w:r>
        <w:t xml:space="preserve">The Land Sector and Removals (LSR) Standard, effective from 2026, is applied. This involves accounting for land use change emissions and carbon removals associated with biomass and land-based activities within the product\'s lifecycle. While specific land use data for zyjygzxlip\'s components is illustrative, the framework for integration is established.</w:t>
      </w:r>
    </w:p>
    <w:p>
      <w:pPr>
        <w:pStyle w:val="BodyText"/>
      </w:pPr>
      <w:r>
        <w:rPr>
          <w:bCs/>
          <w:b/>
        </w:rPr>
        <w:t xml:space="preserve">Scope 3 Compliance:</w:t>
      </w:r>
      <w:r>
        <w:t xml:space="preserve"> </w:t>
      </w:r>
      <w:r>
        <w:t xml:space="preserve">As per 2026 requirements, efforts have been made to ensure at least</w:t>
      </w:r>
      <w:r>
        <w:t xml:space="preserve"> </w:t>
      </w:r>
      <w:r>
        <w:rPr>
          <w:bCs/>
          <w:b/>
        </w:rPr>
        <w:t xml:space="preserve">95% coverage for Scope 3 reporting</w:t>
      </w:r>
      <w:r>
        <w:t xml:space="preserve">, encompassing upstream and downstream activities such as purchased goods and services, transportation, use of sold products, and end-of-life treatment of sold products. This comprehensive approach ensures a more accurate and complete representation of the product\'s total carbon footprint.</w:t>
      </w:r>
    </w:p>
    <w:p>
      <w:r>
        <w:pict>
          <v:rect style="width:0;height:1.5pt" o:hralign="center" o:hrstd="t" o:hr="t"/>
        </w:pict>
      </w:r>
    </w:p>
    <w:bookmarkEnd w:id="29"/>
    <w:bookmarkEnd w:id="30"/>
    <w:bookmarkStart w:id="36" w:name="lifecycle-mapping-and-data-collection"/>
    <w:p>
      <w:pPr>
        <w:pStyle w:val="Heading2"/>
      </w:pPr>
      <w:r>
        <w:t xml:space="preserve">2. Lifecycle Mapping and Data Collection</w:t>
      </w:r>
    </w:p>
    <w:p>
      <w:pPr>
        <w:pStyle w:val="FirstParagraph"/>
      </w:pPr>
      <w:r>
        <w:t xml:space="preserve">The lifecycle of zyjygzxlip is mapped across five key stages, and data is collected for each, prioritizing primary data where available, and using secondary industry-average data for illustrative purposes where specific data was not provided in a parseable format. The data points used for this analysis are illustrative, based on the provided parameters.</w:t>
      </w:r>
    </w:p>
    <w:bookmarkStart w:id="31" w:name="X9c91aa1eb6449ac1eeb73cf8073f19950667bc5"/>
    <w:p>
      <w:pPr>
        <w:pStyle w:val="Heading3"/>
      </w:pPr>
      <w:r>
        <w:t xml:space="preserve">2.1. Detailed Bill of Materials (BOM) - Raw Material Acquisition and Processing (Scope 3, Category 1)</w:t>
      </w:r>
    </w:p>
    <w:p>
      <w:pPr>
        <w:pStyle w:val="FirstParagraph"/>
      </w:pPr>
      <w:r>
        <w:t xml:space="preserve">The following illustrative Bill of Materials (BOM) is used for high-accuracy material impact calculation, following the format: ID, Description, Category, Process, Qty, Unit, Emission Factor (kg CO2e/unit), Total Carbon (kg CO2e). The \'Total Carbon\' value is calculated as Qty * Emission Factor. Emission factors are drawn from industry standards (e.g., Ecoinvent, DEFRA, Climatiq) and are illustrative.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14.8</w:t>
            </w:r>
          </w:p>
        </w:tc>
        <w:tc>
          <w:tcPr/>
          <w:p>
            <w:pPr>
              <w:pStyle w:val="Compact"/>
              <w:jc w:val="left"/>
            </w:pPr>
            <w:r>
              <w:t xml:space="preserve">11.84</w:t>
            </w:r>
          </w:p>
        </w:tc>
      </w:tr>
      <w:tr>
        <w:tc>
          <w:tcPr/>
          <w:p>
            <w:pPr>
              <w:pStyle w:val="Compact"/>
              <w:jc w:val="left"/>
            </w:pPr>
            <w:r>
              <w:t xml:space="preserve">2</w:t>
            </w:r>
          </w:p>
        </w:tc>
        <w:tc>
          <w:tcPr/>
          <w:p>
            <w:pPr>
              <w:pStyle w:val="Compact"/>
              <w:jc w:val="left"/>
            </w:pPr>
            <w:r>
              <w:t xml:space="preserve">Injection Molded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6.68</w:t>
            </w:r>
          </w:p>
        </w:tc>
        <w:tc>
          <w:tcPr/>
          <w:p>
            <w:pPr>
              <w:pStyle w:val="Compact"/>
              <w:jc w:val="left"/>
            </w:pPr>
            <w:r>
              <w:t xml:space="preserve">4.01</w:t>
            </w:r>
          </w:p>
        </w:tc>
      </w:tr>
      <w:tr>
        <w:tc>
          <w:tcPr/>
          <w:p>
            <w:pPr>
              <w:pStyle w:val="Compact"/>
              <w:jc w:val="left"/>
            </w:pPr>
            <w:r>
              <w:t xml:space="preserve">3</w:t>
            </w:r>
          </w:p>
        </w:tc>
        <w:tc>
          <w:tcPr/>
          <w:p>
            <w:pPr>
              <w:pStyle w:val="Compact"/>
              <w:jc w:val="left"/>
            </w:pPr>
            <w:r>
              <w:t xml:space="preserve">Steel Internal Frame</w:t>
            </w:r>
          </w:p>
        </w:tc>
        <w:tc>
          <w:tcPr/>
          <w:p>
            <w:pPr>
              <w:pStyle w:val="Compact"/>
              <w:jc w:val="left"/>
            </w:pPr>
            <w:r>
              <w:t xml:space="preserve">Metal</w:t>
            </w:r>
          </w:p>
        </w:tc>
        <w:tc>
          <w:tcPr/>
          <w:p>
            <w:pPr>
              <w:pStyle w:val="Compact"/>
              <w:jc w:val="left"/>
            </w:pPr>
            <w:r>
              <w:t xml:space="preserve">Steel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1.85</w:t>
            </w:r>
          </w:p>
        </w:tc>
        <w:tc>
          <w:tcPr/>
          <w:p>
            <w:pPr>
              <w:pStyle w:val="Compact"/>
              <w:jc w:val="left"/>
            </w:pPr>
            <w:r>
              <w:t xml:space="preserve">0.56</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Virgin 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0.801</w:t>
            </w:r>
          </w:p>
        </w:tc>
        <w:tc>
          <w:tcPr/>
          <w:p>
            <w:pPr>
              <w:pStyle w:val="Compact"/>
              <w:jc w:val="left"/>
            </w:pPr>
            <w:r>
              <w:t xml:space="preserve">0.16</w:t>
            </w:r>
          </w:p>
        </w:tc>
      </w:tr>
    </w:tbl>
    <w:p>
      <w:pPr>
        <w:pStyle w:val="BodyText"/>
      </w:pPr>
      <w:r>
        <w:rPr>
          <w:bCs/>
          <w:b/>
        </w:rPr>
        <w:t xml:space="preserve">Note:</w:t>
      </w:r>
      <w:r>
        <w:t xml:space="preserve"> </w:t>
      </w:r>
      <w:r>
        <w:t xml:space="preserve">Emission factors used: Aluminum (primary production): 14.8 kg CO2e/kg. Injection Molded Plastic (HDPE): 6.68 kg CO2e/kg. Steel (average production): 1.85 kg CO2e/kg. Printed Circuit Board: An illustrative estimate of 15.0 kg CO2e/unit (based on electronics manufacturing factors). Electronic Components: Illustrative estimate of 10.0 kg CO2e/kg. Virgin Cardboard: 0.801 kg CO2e/kg. These are based on "cradle-to-gate" or similar scopes.</w:t>
      </w:r>
    </w:p>
    <w:bookmarkEnd w:id="31"/>
    <w:bookmarkStart w:id="32" w:name="manufacturing-scope-1-2"/>
    <w:p>
      <w:pPr>
        <w:pStyle w:val="Heading3"/>
      </w:pPr>
      <w:r>
        <w:t xml:space="preserve">2.2. Manufacturing (Scope 1 &amp; 2)</w:t>
      </w:r>
    </w:p>
    <w:p>
      <w:pPr>
        <w:numPr>
          <w:ilvl w:val="0"/>
          <w:numId w:val="1002"/>
        </w:numPr>
        <w:pStyle w:val="Compact"/>
      </w:pPr>
      <w:r>
        <w:rPr>
          <w:bCs/>
          <w:b/>
        </w:rPr>
        <w:t xml:space="preserve">Energy Intensity (kWh/unit):</w:t>
      </w:r>
      <w:r>
        <w:t xml:space="preserve"> </w:t>
      </w:r>
      <w:r>
        <w:t xml:space="preserve">rurkxrgpjd (Illustrative: 10 kWh/unit).</w:t>
      </w:r>
    </w:p>
    <w:p>
      <w:pPr>
        <w:numPr>
          <w:ilvl w:val="0"/>
          <w:numId w:val="1002"/>
        </w:numPr>
        <w:pStyle w:val="Compact"/>
      </w:pPr>
      <w:r>
        <w:rPr>
          <w:bCs/>
          <w:b/>
        </w:rPr>
        <w:t xml:space="preserve">Renewable Energy Usage:</w:t>
      </w:r>
      <w:r>
        <w:t xml:space="preserve"> </w:t>
      </w:r>
      <w:r>
        <w:t xml:space="preserve">wutthzpylm (Illustrative: 50%).</w:t>
      </w:r>
    </w:p>
    <w:p>
      <w:pPr>
        <w:numPr>
          <w:ilvl w:val="0"/>
          <w:numId w:val="1002"/>
        </w:numPr>
        <w:pStyle w:val="Compact"/>
      </w:pPr>
      <w:r>
        <w:rPr>
          <w:bCs/>
          <w:b/>
        </w:rPr>
        <w:t xml:space="preserve">Geographic Scope for Electricity:</w:t>
      </w:r>
      <w:r>
        <w:t xml:space="preserve"> </w:t>
      </w:r>
      <w:r>
        <w:t xml:space="preserve">China. The national average electricity carbon footprint factor for China is approximately 0.6205 kg CO2e/kWh in 2023. Assuming this value for the non-renewable portion.</w:t>
      </w:r>
    </w:p>
    <w:bookmarkEnd w:id="32"/>
    <w:bookmarkStart w:id="33" w:name="transportation-scope-3-category-4-9"/>
    <w:p>
      <w:pPr>
        <w:pStyle w:val="Heading3"/>
      </w:pPr>
      <w:r>
        <w:t xml:space="preserve">2.3. Transportation (Scope 3, Category 4 &amp; 9)</w:t>
      </w:r>
    </w:p>
    <w:p>
      <w:pPr>
        <w:pStyle w:val="FirstParagraph"/>
      </w:pPr>
      <w:r>
        <w:t xml:space="preserve">Logistics data for inbound raw materials and outbound finished products are incorporated. The product is assumed to weigh approximately 2.15 kg (sum of BOM material quantities).</w:t>
      </w:r>
    </w:p>
    <w:p>
      <w:pPr>
        <w:numPr>
          <w:ilvl w:val="0"/>
          <w:numId w:val="1003"/>
        </w:numPr>
        <w:pStyle w:val="Compact"/>
      </w:pPr>
      <w:r>
        <w:rPr>
          <w:bCs/>
          <w:b/>
        </w:rPr>
        <w:t xml:space="preserve">Transport Mode:</w:t>
      </w:r>
      <w:r>
        <w:t xml:space="preserve"> </w:t>
      </w:r>
      <w:r>
        <w:t xml:space="preserve">Select Mode (Illustrative: Road Freight for European supply chain, Sea Freight for raw materials to China).</w:t>
      </w:r>
    </w:p>
    <w:p>
      <w:pPr>
        <w:numPr>
          <w:ilvl w:val="0"/>
          <w:numId w:val="1003"/>
        </w:numPr>
        <w:pStyle w:val="Compact"/>
      </w:pPr>
      <w:r>
        <w:rPr>
          <w:bCs/>
          <w:b/>
        </w:rPr>
        <w:t xml:space="preserve">Transport Distance:</w:t>
      </w:r>
      <w:r>
        <w:t xml:space="preserve"> </w:t>
      </w:r>
      <w:r>
        <w:t xml:space="preserve">frpfonvheh (Illustrative: Inbound Sea Freight 10,000 km, Inbound Road Freight Europe 500 km, Outbound Road Freight Europe 1,000 km).</w:t>
      </w:r>
    </w:p>
    <w:p>
      <w:pPr>
        <w:numPr>
          <w:ilvl w:val="0"/>
          <w:numId w:val="1003"/>
        </w:numPr>
        <w:pStyle w:val="Compact"/>
      </w:pPr>
      <w:r>
        <w:rPr>
          <w:bCs/>
          <w:b/>
        </w:rPr>
        <w:t xml:space="preserve">Last-Mile Delivery Channel:</w:t>
      </w:r>
      <w:r>
        <w:t xml:space="preserve"> </w:t>
      </w:r>
      <w:r>
        <w:t xml:space="preserve">Delivery Type (Illustrative: Parcel Service for final distribution).</w:t>
      </w:r>
    </w:p>
    <w:p>
      <w:pPr>
        <w:pStyle w:val="FirstParagraph"/>
      </w:pPr>
      <w:r>
        <w:t xml:space="preserve">Emission factors for transportation: Sea freight averages 0.016 kg CO2e/tonne-km. Road freight (heavy duty truck) averages about 0.062 kg CO2e/tonne-km (based on various sources, often cited in DEFRA/GLEC frameworks). Parcel service last-mile can be estimated based on road freight.</w:t>
      </w:r>
    </w:p>
    <w:bookmarkEnd w:id="33"/>
    <w:bookmarkStart w:id="34" w:name="use-phase-scope-3-category-11"/>
    <w:p>
      <w:pPr>
        <w:pStyle w:val="Heading3"/>
      </w:pPr>
      <w:r>
        <w:t xml:space="preserve">2.4. Use Phase (Scope 3, Category 11)</w:t>
      </w:r>
    </w:p>
    <w:p>
      <w:pPr>
        <w:numPr>
          <w:ilvl w:val="0"/>
          <w:numId w:val="1004"/>
        </w:numPr>
        <w:pStyle w:val="Compact"/>
      </w:pPr>
      <w:r>
        <w:rPr>
          <w:bCs/>
          <w:b/>
        </w:rPr>
        <w:t xml:space="preserve">Product Lifespan:</w:t>
      </w:r>
      <w:r>
        <w:t xml:space="preserve"> </w:t>
      </w:r>
      <w:r>
        <w:t xml:space="preserve">tgfswexurg (Illustrative: 5 years).</w:t>
      </w:r>
    </w:p>
    <w:p>
      <w:pPr>
        <w:numPr>
          <w:ilvl w:val="0"/>
          <w:numId w:val="1004"/>
        </w:numPr>
        <w:pStyle w:val="Compact"/>
      </w:pPr>
      <w:r>
        <w:rPr>
          <w:bCs/>
          <w:b/>
        </w:rPr>
        <w:t xml:space="preserve">Energy Consumption in Use:</w:t>
      </w:r>
      <w:r>
        <w:t xml:space="preserve"> </w:t>
      </w:r>
      <w:r>
        <w:t xml:space="preserve">wzsgknollx (Illustrative: 5 kWh/year).</w:t>
      </w:r>
    </w:p>
    <w:p>
      <w:pPr>
        <w:numPr>
          <w:ilvl w:val="0"/>
          <w:numId w:val="1004"/>
        </w:numPr>
        <w:pStyle w:val="Compact"/>
      </w:pPr>
      <w:r>
        <w:rPr>
          <w:bCs/>
          <w:b/>
        </w:rPr>
        <w:t xml:space="preserve">Geographic Scope for Use Phase Electricity:</w:t>
      </w:r>
      <w:r>
        <w:t xml:space="preserve"> </w:t>
      </w:r>
      <w:r>
        <w:t xml:space="preserve">Europe (average grid mix for calculation). Assumed average EU grid factor for illustrative purposes: 0.27 kg CO2e/kWh (approximation based on various EU country mixes).</w:t>
      </w:r>
    </w:p>
    <w:bookmarkEnd w:id="34"/>
    <w:bookmarkStart w:id="35" w:name="end-of-life-eol-scope-3-category-12"/>
    <w:p>
      <w:pPr>
        <w:pStyle w:val="Heading3"/>
      </w:pPr>
      <w:r>
        <w:t xml:space="preserve">2.5. End-of-Life (EoL) (Scope 3, Category 12)</w:t>
      </w:r>
    </w:p>
    <w:p>
      <w:pPr>
        <w:numPr>
          <w:ilvl w:val="0"/>
          <w:numId w:val="1005"/>
        </w:numPr>
        <w:pStyle w:val="Compact"/>
      </w:pPr>
      <w:r>
        <w:rPr>
          <w:bCs/>
          <w:b/>
        </w:rPr>
        <w:t xml:space="preserve">Recyclability Percentage:</w:t>
      </w:r>
      <w:r>
        <w:t xml:space="preserve"> </w:t>
      </w:r>
      <w:r>
        <w:t xml:space="preserve">nyjptlmtrd (Illustrative: 70%).</w:t>
      </w:r>
    </w:p>
    <w:p>
      <w:pPr>
        <w:numPr>
          <w:ilvl w:val="0"/>
          <w:numId w:val="1005"/>
        </w:numPr>
        <w:pStyle w:val="Compact"/>
      </w:pPr>
      <w:r>
        <w:rPr>
          <w:bCs/>
          <w:b/>
        </w:rPr>
        <w:t xml:space="preserve">Circular/Take-back Programs:</w:t>
      </w:r>
      <w:r>
        <w:t xml:space="preserve"> </w:t>
      </w:r>
      <w:r>
        <w:t xml:space="preserve">pkktsidsqv (Illustrative: Yes, established).</w:t>
      </w:r>
    </w:p>
    <w:p>
      <w:pPr>
        <w:pStyle w:val="FirstParagraph"/>
      </w:pPr>
      <w:r>
        <w:t xml:space="preserve">Emission factors for End-of-Life: Recycling processes have associated emissions, e.g., for mixed recyclables, 90 kg CO2e/short ton (approx. 0.09 kg CO2e/kg). Landfilling mixed recyclables is about 680 kg CO2e/short ton (approx. 0.68 kg CO2e/kg). For plastics, landfilling can be around 0.033 kg CO2e/kg, and recycling around 0.202 kg CO2e/kg, but these can vary significantly based on technology and region. For metals, recycling activities produce about 0.022 kg CO2e/kg of waste but reduce raw material use emissions by a larger amount. Avoided emissions from recycling are accounted for, reflecting the benefits of circularity.</w:t>
      </w:r>
    </w:p>
    <w:p>
      <w:r>
        <w:pict>
          <v:rect style="width:0;height:1.5pt" o:hralign="center" o:hrstd="t" o:hr="t"/>
        </w:pict>
      </w:r>
    </w:p>
    <w:bookmarkEnd w:id="35"/>
    <w:bookmarkEnd w:id="36"/>
    <w:bookmarkStart w:id="44" w:name="emission-calculations"/>
    <w:p>
      <w:pPr>
        <w:pStyle w:val="Heading2"/>
      </w:pPr>
      <w:r>
        <w:t xml:space="preserve">3. Emission Calculations</w:t>
      </w:r>
    </w:p>
    <w:p>
      <w:pPr>
        <w:pStyle w:val="FirstParagraph"/>
      </w:pPr>
      <w:r>
        <w:t xml:space="preserve">Emissions are calculated by multiplying activity data by appropriate emission factors (Activity * Emission Factor = CO2e) and categorized according to the GHG Protocol. All calculations are illustrative based on the assumed values for parameters.</w:t>
      </w:r>
    </w:p>
    <w:bookmarkStart w:id="37" w:name="scope-1-emissions-direct-emissions"/>
    <w:p>
      <w:pPr>
        <w:pStyle w:val="Heading3"/>
      </w:pPr>
      <w:r>
        <w:t xml:space="preserve">3.1. Scope 1 Emissions (Direct Emissions)</w:t>
      </w:r>
    </w:p>
    <w:p>
      <w:pPr>
        <w:pStyle w:val="FirstParagraph"/>
      </w:pPr>
      <w:r>
        <w:t xml:space="preserve">Given the "factory_gate" system boundary and the nature of product manufacturing, direct (Scope 1) emissions are typically minimal for this product unless there are direct fuel combustions on-site not covered by purchased electricity. For this analysis, significant Scope 1 emissions are assumed to be negligible or covered within the energy intensity if self-generated electricity is fueled by non-renewable sources, or within upstream material processes. No specific direct fuel combustion data for imjyngtnvt\'s operations was provided, therefore, Scope 1 is considered 0 kg CO2e for the immediate production of zyjygzxlip for illustrative purposes. Any such emissions would typically arise from on-site fuel consumption for heating, cooling, or process-specific operations.</w:t>
      </w:r>
    </w:p>
    <w:bookmarkEnd w:id="37"/>
    <w:bookmarkStart w:id="38" w:name="scope-2-emissions-purchased-energy"/>
    <w:p>
      <w:pPr>
        <w:pStyle w:val="Heading3"/>
      </w:pPr>
      <w:r>
        <w:t xml:space="preserve">3.2. Scope 2 Emissions (Purchased Energy)</w:t>
      </w:r>
    </w:p>
    <w:p>
      <w:pPr>
        <w:pStyle w:val="FirstParagraph"/>
      </w:pPr>
      <w:r>
        <w:t xml:space="preserve">These emissions arise from purchased electricity for manufacturing in China.</w:t>
      </w:r>
    </w:p>
    <w:p>
      <w:pPr>
        <w:numPr>
          <w:ilvl w:val="0"/>
          <w:numId w:val="1006"/>
        </w:numPr>
        <w:pStyle w:val="Compact"/>
      </w:pPr>
      <w:r>
        <w:t xml:space="preserve">Total Energy Intensity: 10 kWh/unit (rurkxrgpjd)</w:t>
      </w:r>
    </w:p>
    <w:p>
      <w:pPr>
        <w:numPr>
          <w:ilvl w:val="0"/>
          <w:numId w:val="1006"/>
        </w:numPr>
        <w:pStyle w:val="Compact"/>
      </w:pPr>
      <w:r>
        <w:t xml:space="preserve">Renewable Energy Usage: 50% (wutthzpylm)</w:t>
      </w:r>
    </w:p>
    <w:p>
      <w:pPr>
        <w:numPr>
          <w:ilvl w:val="0"/>
          <w:numId w:val="1006"/>
        </w:numPr>
        <w:pStyle w:val="Compact"/>
      </w:pPr>
      <w:r>
        <w:t xml:space="preserve">Non-Renewable Electricity Used: 10 kWh/unit * (1 - 0.50) = 5 kWh/unit</w:t>
      </w:r>
    </w:p>
    <w:p>
      <w:pPr>
        <w:numPr>
          <w:ilvl w:val="0"/>
          <w:numId w:val="1006"/>
        </w:numPr>
        <w:pStyle w:val="Compact"/>
      </w:pPr>
      <w:r>
        <w:t xml:space="preserve">China Grid Emission Factor: 0.6205 kg CO2e/kWh (2023 national average)</w:t>
      </w:r>
    </w:p>
    <w:p>
      <w:pPr>
        <w:numPr>
          <w:ilvl w:val="0"/>
          <w:numId w:val="1006"/>
        </w:numPr>
        <w:pStyle w:val="Compact"/>
      </w:pPr>
      <w:r>
        <w:rPr>
          <w:bCs/>
          <w:b/>
        </w:rPr>
        <w:t xml:space="preserve">Scope 2 Emissions = 5 kWh/unit * 0.6205 kg CO2e/kWh = 3.10 kg CO2e/unit</w:t>
      </w:r>
    </w:p>
    <w:bookmarkEnd w:id="38"/>
    <w:bookmarkStart w:id="43" w:name="scope-3-emissions-value-chain"/>
    <w:p>
      <w:pPr>
        <w:pStyle w:val="Heading3"/>
      </w:pPr>
      <w:r>
        <w:t xml:space="preserve">3.3. Scope 3 Emissions (Value Chain)</w:t>
      </w:r>
    </w:p>
    <w:bookmarkStart w:id="39" w:name="upstream-emissions-categories-1-8"/>
    <w:p>
      <w:pPr>
        <w:pStyle w:val="Heading4"/>
      </w:pPr>
      <w:r>
        <w:t xml:space="preserve">3.3.1. Upstream Emissions (Categories 1-8)</w:t>
      </w:r>
    </w:p>
    <w:p>
      <w:pPr>
        <w:pStyle w:val="FirstParagraph"/>
      </w:pPr>
      <w:r>
        <w:rPr>
          <w:bCs/>
          <w:b/>
        </w:rPr>
        <w:t xml:space="preserve">Category 1: Purchased Goods and Services (Raw Materials)</w:t>
      </w:r>
    </w:p>
    <w:p>
      <w:pPr>
        <w:pStyle w:val="BodyText"/>
      </w:pPr>
      <w:r>
        <w:t xml:space="preserve">Based on the illustrative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11.84</w:t>
            </w:r>
          </w:p>
        </w:tc>
      </w:tr>
      <w:tr>
        <w:tc>
          <w:tcPr/>
          <w:p>
            <w:pPr>
              <w:pStyle w:val="Compact"/>
              <w:jc w:val="left"/>
            </w:pPr>
            <w:r>
              <w:t xml:space="preserve">Injection Molded Plastic Housing</w:t>
            </w:r>
          </w:p>
        </w:tc>
        <w:tc>
          <w:tcPr/>
          <w:p>
            <w:pPr>
              <w:pStyle w:val="Compact"/>
              <w:jc w:val="left"/>
            </w:pPr>
            <w:r>
              <w:t xml:space="preserve">4.01</w:t>
            </w:r>
          </w:p>
        </w:tc>
      </w:tr>
      <w:tr>
        <w:tc>
          <w:tcPr/>
          <w:p>
            <w:pPr>
              <w:pStyle w:val="Compact"/>
              <w:jc w:val="left"/>
            </w:pPr>
            <w:r>
              <w:t xml:space="preserve">Steel Internal Frame</w:t>
            </w:r>
          </w:p>
        </w:tc>
        <w:tc>
          <w:tcPr/>
          <w:p>
            <w:pPr>
              <w:pStyle w:val="Compact"/>
              <w:jc w:val="left"/>
            </w:pPr>
            <w:r>
              <w:t xml:space="preserve">0.56</w:t>
            </w:r>
          </w:p>
        </w:tc>
      </w:tr>
      <w:tr>
        <w:tc>
          <w:tcPr/>
          <w:p>
            <w:pPr>
              <w:pStyle w:val="Compact"/>
              <w:jc w:val="left"/>
            </w:pPr>
            <w:r>
              <w:t xml:space="preserve">Printed Circuit Board (PCB)</w:t>
            </w:r>
          </w:p>
        </w:tc>
        <w:tc>
          <w:tcPr/>
          <w:p>
            <w:pPr>
              <w:pStyle w:val="Compact"/>
              <w:jc w:val="left"/>
            </w:pPr>
            <w:r>
              <w:t xml:space="preserve">1.50</w:t>
            </w:r>
          </w:p>
        </w:tc>
      </w:tr>
      <w:tr>
        <w:tc>
          <w:tcPr/>
          <w:p>
            <w:pPr>
              <w:pStyle w:val="Compact"/>
              <w:jc w:val="left"/>
            </w:pPr>
            <w:r>
              <w:t xml:space="preserve">Electronic Components (misc.)</w:t>
            </w:r>
          </w:p>
        </w:tc>
        <w:tc>
          <w:tcPr/>
          <w:p>
            <w:pPr>
              <w:pStyle w:val="Compact"/>
              <w:jc w:val="left"/>
            </w:pPr>
            <w:r>
              <w:t xml:space="preserve">0.50</w:t>
            </w:r>
          </w:p>
        </w:tc>
      </w:tr>
      <w:tr>
        <w:tc>
          <w:tcPr/>
          <w:p>
            <w:pPr>
              <w:pStyle w:val="Compact"/>
              <w:jc w:val="left"/>
            </w:pPr>
            <w:r>
              <w:t xml:space="preserve">Packaging (Cardboard)</w:t>
            </w:r>
          </w:p>
        </w:tc>
        <w:tc>
          <w:tcPr/>
          <w:p>
            <w:pPr>
              <w:pStyle w:val="Compact"/>
              <w:jc w:val="left"/>
            </w:pPr>
            <w:r>
              <w:t xml:space="preserve">0.16</w:t>
            </w:r>
          </w:p>
        </w:tc>
      </w:tr>
      <w:tr>
        <w:tc>
          <w:tcPr/>
          <w:p>
            <w:pPr>
              <w:pStyle w:val="Compact"/>
              <w:jc w:val="left"/>
            </w:pPr>
            <w:r>
              <w:rPr>
                <w:bCs/>
                <w:b/>
              </w:rPr>
              <w:t xml:space="preserve">Subtotal Raw Materials</w:t>
            </w:r>
          </w:p>
        </w:tc>
        <w:tc>
          <w:tcPr/>
          <w:p>
            <w:pPr>
              <w:pStyle w:val="Compact"/>
              <w:jc w:val="left"/>
            </w:pPr>
            <w:r>
              <w:rPr>
                <w:bCs/>
                <w:b/>
              </w:rPr>
              <w:t xml:space="preserve">18.57 kg CO2e/unit</w:t>
            </w:r>
          </w:p>
        </w:tc>
      </w:tr>
    </w:tbl>
    <w:p>
      <w:pPr>
        <w:pStyle w:val="BodyText"/>
      </w:pPr>
      <w:r>
        <w:rPr>
          <w:bCs/>
          <w:b/>
        </w:rPr>
        <w:t xml:space="preserve">Category 4: Upstream Transportation and Distribution</w:t>
      </w:r>
    </w:p>
    <w:p>
      <w:pPr>
        <w:pStyle w:val="BodyText"/>
      </w:pPr>
      <w:r>
        <w:t xml:space="preserve">Product Weight (approx): 2.15 kg (sum of materials) + 0.2 kg (packaging) = 2.35 kg/unit (0.00235 tonnes/unit).</w:t>
      </w:r>
    </w:p>
    <w:p>
      <w:pPr>
        <w:numPr>
          <w:ilvl w:val="0"/>
          <w:numId w:val="1007"/>
        </w:numPr>
        <w:pStyle w:val="Compact"/>
      </w:pPr>
      <w:r>
        <w:rPr>
          <w:bCs/>
          <w:b/>
        </w:rPr>
        <w:t xml:space="preserve">Inbound Sea Freight (Raw Materials to China):</w:t>
      </w:r>
      <w:r>
        <w:t xml:space="preserve"> </w:t>
      </w:r>
      <w:r>
        <w:t xml:space="preserve">Assume 1.0 tonne equivalent of raw materials per unit of finished product due to supply chain complexities and varying material sources (illustrative for high detail). Total weight for sea freight for 1 unit of final product: 2.35 kg. Let\'s simplify this to total product weight * distance * EF. Distance: 10,000 km (illustrative frpfonvheh). Emission Factor (Sea Freight): 0.016 kg CO2e/tonne-km.</w:t>
      </w:r>
    </w:p>
    <w:p>
      <w:pPr>
        <w:numPr>
          <w:ilvl w:val="1"/>
          <w:numId w:val="1008"/>
        </w:numPr>
        <w:pStyle w:val="Compact"/>
      </w:pPr>
      <w:r>
        <w:t xml:space="preserve">Emissions = 0.00235 tonnes/unit * 10,000 km * 0.016 kg CO2e/tonne-km =</w:t>
      </w:r>
      <w:r>
        <w:t xml:space="preserve"> </w:t>
      </w:r>
      <w:r>
        <w:rPr>
          <w:bCs/>
          <w:b/>
        </w:rPr>
        <w:t xml:space="preserve">0.376 kg CO2e/unit</w:t>
      </w:r>
    </w:p>
    <w:p>
      <w:pPr>
        <w:numPr>
          <w:ilvl w:val="0"/>
          <w:numId w:val="1007"/>
        </w:numPr>
        <w:pStyle w:val="Compact"/>
      </w:pPr>
      <w:r>
        <w:rPr>
          <w:bCs/>
          <w:b/>
        </w:rPr>
        <w:t xml:space="preserve">Inbound Road Freight (Europe to China - assuming some pre-processed components):</w:t>
      </w:r>
      <w:r>
        <w:t xml:space="preserve"> </w:t>
      </w:r>
      <w:r>
        <w:t xml:space="preserve">Given "Europe Focused" supply chain. Distance: 500 km (illustrative frpfonvheh). Emission Factor (Road Freight): 0.062 kg CO2e/tonne-km.</w:t>
      </w:r>
    </w:p>
    <w:p>
      <w:pPr>
        <w:numPr>
          <w:ilvl w:val="1"/>
          <w:numId w:val="1009"/>
        </w:numPr>
        <w:pStyle w:val="Compact"/>
      </w:pPr>
      <w:r>
        <w:t xml:space="preserve">Emissions = 0.00235 tonnes/unit * 500 km * 0.062 kg CO2e/tonne-km =</w:t>
      </w:r>
      <w:r>
        <w:t xml:space="preserve"> </w:t>
      </w:r>
      <w:r>
        <w:rPr>
          <w:bCs/>
          <w:b/>
        </w:rPr>
        <w:t xml:space="preserve">0.073 kg CO2e/unit</w:t>
      </w:r>
    </w:p>
    <w:p>
      <w:pPr>
        <w:numPr>
          <w:ilvl w:val="0"/>
          <w:numId w:val="1007"/>
        </w:numPr>
        <w:pStyle w:val="Compact"/>
      </w:pPr>
      <w:r>
        <w:rPr>
          <w:bCs/>
          <w:b/>
        </w:rPr>
        <w:t xml:space="preserve">Subtotal Upstream Transportation = 0.376 + 0.073 = 0.449 kg CO2e/unit</w:t>
      </w:r>
    </w:p>
    <w:bookmarkEnd w:id="39"/>
    <w:bookmarkStart w:id="40" w:name="downstream-emissions-categories-9-15"/>
    <w:p>
      <w:pPr>
        <w:pStyle w:val="Heading4"/>
      </w:pPr>
      <w:r>
        <w:t xml:space="preserve">3.3.2. Downstream Emissions (Categories 9-15)</w:t>
      </w:r>
    </w:p>
    <w:p>
      <w:pPr>
        <w:pStyle w:val="FirstParagraph"/>
      </w:pPr>
      <w:r>
        <w:rPr>
          <w:bCs/>
          <w:b/>
        </w:rPr>
        <w:t xml:space="preserve">Category 9: Downstream Transportation and Distribution</w:t>
      </w:r>
    </w:p>
    <w:p>
      <w:pPr>
        <w:numPr>
          <w:ilvl w:val="0"/>
          <w:numId w:val="1010"/>
        </w:numPr>
        <w:pStyle w:val="Compact"/>
      </w:pPr>
      <w:r>
        <w:rPr>
          <w:bCs/>
          <w:b/>
        </w:rPr>
        <w:t xml:space="preserve">Outbound Road Freight (China to Europe distribution center):</w:t>
      </w:r>
      <w:r>
        <w:t xml:space="preserve"> </w:t>
      </w:r>
      <w:r>
        <w:t xml:space="preserve">Distance: 1,000 km (illustrative frpfonvheh). Emission Factor (Road Freight): 0.062 kg CO2e/tonne-km.</w:t>
      </w:r>
    </w:p>
    <w:p>
      <w:pPr>
        <w:numPr>
          <w:ilvl w:val="1"/>
          <w:numId w:val="1011"/>
        </w:numPr>
        <w:pStyle w:val="Compact"/>
      </w:pPr>
      <w:r>
        <w:t xml:space="preserve">Emissions = 0.00235 tonnes/unit * 1,000 km * 0.062 kg CO2e/tonne-km =</w:t>
      </w:r>
      <w:r>
        <w:t xml:space="preserve"> </w:t>
      </w:r>
      <w:r>
        <w:rPr>
          <w:bCs/>
          <w:b/>
        </w:rPr>
        <w:t xml:space="preserve">0.146 kg CO2e/unit</w:t>
      </w:r>
    </w:p>
    <w:p>
      <w:pPr>
        <w:numPr>
          <w:ilvl w:val="0"/>
          <w:numId w:val="1010"/>
        </w:numPr>
        <w:pStyle w:val="Compact"/>
      </w:pPr>
      <w:r>
        <w:rPr>
          <w:bCs/>
          <w:b/>
        </w:rPr>
        <w:t xml:space="preserve">Last-Mile Delivery (within Europe to customer):</w:t>
      </w:r>
      <w:r>
        <w:t xml:space="preserve"> </w:t>
      </w:r>
      <w:r>
        <w:t xml:space="preserve">Assume 200 km average by Parcel Service (approximated as light-duty road freight). Emission Factor (Parcel Service, illustrative): 0.1 kg CO2e/tonne-km (higher due to less efficient loads).</w:t>
      </w:r>
    </w:p>
    <w:p>
      <w:pPr>
        <w:numPr>
          <w:ilvl w:val="1"/>
          <w:numId w:val="1012"/>
        </w:numPr>
        <w:pStyle w:val="Compact"/>
      </w:pPr>
      <w:r>
        <w:t xml:space="preserve">Emissions = 0.00235 tonnes/unit * 200 km * 0.1 kg CO2e/tonne-km =</w:t>
      </w:r>
      <w:r>
        <w:t xml:space="preserve"> </w:t>
      </w:r>
      <w:r>
        <w:rPr>
          <w:bCs/>
          <w:b/>
        </w:rPr>
        <w:t xml:space="preserve">0.047 kg CO2e/unit</w:t>
      </w:r>
    </w:p>
    <w:p>
      <w:pPr>
        <w:numPr>
          <w:ilvl w:val="0"/>
          <w:numId w:val="1010"/>
        </w:numPr>
        <w:pStyle w:val="Compact"/>
      </w:pPr>
      <w:r>
        <w:rPr>
          <w:bCs/>
          <w:b/>
        </w:rPr>
        <w:t xml:space="preserve">Subtotal Downstream Transportation = 0.146 + 0.047 = 0.193 kg CO2e/unit</w:t>
      </w:r>
    </w:p>
    <w:p>
      <w:pPr>
        <w:pStyle w:val="FirstParagraph"/>
      </w:pPr>
      <w:r>
        <w:rPr>
          <w:bCs/>
          <w:b/>
        </w:rPr>
        <w:t xml:space="preserve">Category 11: Use of Sold Products</w:t>
      </w:r>
    </w:p>
    <w:p>
      <w:pPr>
        <w:numPr>
          <w:ilvl w:val="0"/>
          <w:numId w:val="1013"/>
        </w:numPr>
        <w:pStyle w:val="Compact"/>
      </w:pPr>
      <w:r>
        <w:t xml:space="preserve">Product Lifespan: 5 years (tgfswexurg)</w:t>
      </w:r>
    </w:p>
    <w:p>
      <w:pPr>
        <w:numPr>
          <w:ilvl w:val="0"/>
          <w:numId w:val="1013"/>
        </w:numPr>
        <w:pStyle w:val="Compact"/>
      </w:pPr>
      <w:r>
        <w:t xml:space="preserve">Energy Consumption in Use: 5 kWh/year (wzsgknollx)</w:t>
      </w:r>
    </w:p>
    <w:p>
      <w:pPr>
        <w:numPr>
          <w:ilvl w:val="0"/>
          <w:numId w:val="1013"/>
        </w:numPr>
        <w:pStyle w:val="Compact"/>
      </w:pPr>
      <w:r>
        <w:t xml:space="preserve">Total Energy Consumption over Lifespan: 5 years * 5 kWh/year = 25 kWh/unit</w:t>
      </w:r>
    </w:p>
    <w:p>
      <w:pPr>
        <w:numPr>
          <w:ilvl w:val="0"/>
          <w:numId w:val="1013"/>
        </w:numPr>
        <w:pStyle w:val="Compact"/>
      </w:pPr>
      <w:r>
        <w:t xml:space="preserve">Europe Average Grid Emission Factor (illustrative): 0.27 kg CO2e/kWh</w:t>
      </w:r>
    </w:p>
    <w:p>
      <w:pPr>
        <w:numPr>
          <w:ilvl w:val="0"/>
          <w:numId w:val="1013"/>
        </w:numPr>
        <w:pStyle w:val="Compact"/>
      </w:pPr>
      <w:r>
        <w:rPr>
          <w:bCs/>
          <w:b/>
        </w:rPr>
        <w:t xml:space="preserve">Use Phase Emissions = 25 kWh/unit * 0.27 kg CO2e/kWh = 6.75 kg CO2e/unit</w:t>
      </w:r>
    </w:p>
    <w:p>
      <w:pPr>
        <w:pStyle w:val="FirstParagraph"/>
      </w:pPr>
      <w:r>
        <w:rPr>
          <w:bCs/>
          <w:b/>
        </w:rPr>
        <w:t xml:space="preserve">Category 12: End-of-Life Treatment of Sold Products</w:t>
      </w:r>
    </w:p>
    <w:p>
      <w:pPr>
        <w:pStyle w:val="BodyText"/>
      </w:pPr>
      <w:r>
        <w:t xml:space="preserve">Product weight at EoL (excluding packaging, assuming 2.15 kg/unit, 0.00215 tonnes/unit).</w:t>
      </w:r>
    </w:p>
    <w:p>
      <w:pPr>
        <w:numPr>
          <w:ilvl w:val="0"/>
          <w:numId w:val="1014"/>
        </w:numPr>
        <w:pStyle w:val="Compact"/>
      </w:pPr>
      <w:r>
        <w:t xml:space="preserve">Recyclability Percentage: 70% (nyjptlmtrd)</w:t>
      </w:r>
    </w:p>
    <w:p>
      <w:pPr>
        <w:numPr>
          <w:ilvl w:val="0"/>
          <w:numId w:val="1014"/>
        </w:numPr>
        <w:pStyle w:val="Compact"/>
      </w:pPr>
      <w:r>
        <w:t xml:space="preserve">Disposal Percentage (Landfill): 30%</w:t>
      </w:r>
    </w:p>
    <w:p>
      <w:pPr>
        <w:numPr>
          <w:ilvl w:val="0"/>
          <w:numId w:val="1014"/>
        </w:numPr>
        <w:pStyle w:val="Compact"/>
      </w:pPr>
      <w:r>
        <w:rPr>
          <w:bCs/>
          <w:b/>
        </w:rPr>
        <w:t xml:space="preserve">Emissions from Recycling:</w:t>
      </w:r>
    </w:p>
    <w:p>
      <w:pPr>
        <w:numPr>
          <w:ilvl w:val="1"/>
          <w:numId w:val="1015"/>
        </w:numPr>
        <w:pStyle w:val="Compact"/>
      </w:pPr>
      <w:r>
        <w:t xml:space="preserve">Recycled quantity: 0.00215 tonnes/unit * 0.70 = 0.001505 tonnes/unit</w:t>
      </w:r>
    </w:p>
    <w:p>
      <w:pPr>
        <w:numPr>
          <w:ilvl w:val="1"/>
          <w:numId w:val="1015"/>
        </w:numPr>
        <w:pStyle w:val="Compact"/>
      </w:pPr>
      <w:r>
        <w:t xml:space="preserve">Illustrative Recycling Emission Factor: 0.09 kg CO2e/kg (0.09 tonne CO2e/tonne).</w:t>
      </w:r>
      <w:r>
        <w:t xml:space="preserve"> </w:t>
      </w:r>
      <w:r>
        <w:t xml:space="preserve">While some sources indicate avoided emissions, actual recycling processes have their own footprint. This factor represents the burden of the recycling process itself.</w:t>
      </w:r>
    </w:p>
    <w:p>
      <w:pPr>
        <w:numPr>
          <w:ilvl w:val="1"/>
          <w:numId w:val="1015"/>
        </w:numPr>
        <w:pStyle w:val="Compact"/>
      </w:pPr>
      <w:r>
        <w:t xml:space="preserve">Emissions = 0.001505 tonnes/unit * 90 kg CO2e/tonne =</w:t>
      </w:r>
      <w:r>
        <w:t xml:space="preserve"> </w:t>
      </w:r>
      <w:r>
        <w:rPr>
          <w:bCs/>
          <w:b/>
        </w:rPr>
        <w:t xml:space="preserve">0.136 kg CO2e/unit</w:t>
      </w:r>
    </w:p>
    <w:p>
      <w:pPr>
        <w:numPr>
          <w:ilvl w:val="0"/>
          <w:numId w:val="1014"/>
        </w:numPr>
        <w:pStyle w:val="Compact"/>
      </w:pPr>
      <w:r>
        <w:rPr>
          <w:bCs/>
          <w:b/>
        </w:rPr>
        <w:t xml:space="preserve">Emissions from Landfill:</w:t>
      </w:r>
    </w:p>
    <w:p>
      <w:pPr>
        <w:numPr>
          <w:ilvl w:val="1"/>
          <w:numId w:val="1016"/>
        </w:numPr>
        <w:pStyle w:val="Compact"/>
      </w:pPr>
      <w:r>
        <w:t xml:space="preserve">Landfilled quantity: 0.00215 tonnes/unit * 0.30 = 0.000645 tonnes/unit</w:t>
      </w:r>
    </w:p>
    <w:p>
      <w:pPr>
        <w:numPr>
          <w:ilvl w:val="1"/>
          <w:numId w:val="1016"/>
        </w:numPr>
        <w:pStyle w:val="Compact"/>
      </w:pPr>
      <w:r>
        <w:t xml:space="preserve">Illustrative Landfill Emission Factor: 0.68 kg CO2e/kg (0.68 tonne CO2e/tonne). This includes fugitive methane emissions.</w:t>
      </w:r>
    </w:p>
    <w:p>
      <w:pPr>
        <w:numPr>
          <w:ilvl w:val="1"/>
          <w:numId w:val="1016"/>
        </w:numPr>
        <w:pStyle w:val="Compact"/>
      </w:pPr>
      <w:r>
        <w:t xml:space="preserve">Emissions = 0.000645 tonnes/unit * 680 kg CO2e/tonne =</w:t>
      </w:r>
      <w:r>
        <w:t xml:space="preserve"> </w:t>
      </w:r>
      <w:r>
        <w:rPr>
          <w:bCs/>
          <w:b/>
        </w:rPr>
        <w:t xml:space="preserve">0.439 kg CO2e/unit</w:t>
      </w:r>
    </w:p>
    <w:p>
      <w:pPr>
        <w:numPr>
          <w:ilvl w:val="0"/>
          <w:numId w:val="1014"/>
        </w:numPr>
        <w:pStyle w:val="Compact"/>
      </w:pPr>
      <w:r>
        <w:rPr>
          <w:bCs/>
          <w:b/>
        </w:rPr>
        <w:t xml:space="preserve">Circular/Take-back Programs:</w:t>
      </w:r>
      <w:r>
        <w:t xml:space="preserve"> </w:t>
      </w:r>
      <w:r>
        <w:t xml:space="preserve">pkktsidsqv (Yes, established). The presence of such programs can improve actual recycling rates and ensure proper end-of-life management, potentially leading to higher actual recyclability than default assumptions. However, for calculation, we use the 70% recyclability. The benefit of such programs is often accounted for through avoided emissions (Module D in LCA) or improved material loops. For this calculation, we only account for the direct emissions from EoL processes.</w:t>
      </w:r>
    </w:p>
    <w:p>
      <w:pPr>
        <w:numPr>
          <w:ilvl w:val="0"/>
          <w:numId w:val="1014"/>
        </w:numPr>
        <w:pStyle w:val="Compact"/>
      </w:pPr>
      <w:r>
        <w:rPr>
          <w:bCs/>
          <w:b/>
        </w:rPr>
        <w:t xml:space="preserve">Subtotal End-of-Life = 0.136 + 0.439 = 0.575 kg CO2e/unit</w:t>
      </w:r>
    </w:p>
    <w:bookmarkEnd w:id="40"/>
    <w:bookmarkStart w:id="41" w:name="total-illustrative-scope-3-emissions"/>
    <w:p>
      <w:pPr>
        <w:pStyle w:val="Heading4"/>
      </w:pPr>
      <w:r>
        <w:t xml:space="preserve">3.3.3. Total Illustrative Scope 3 Emissions</w:t>
      </w:r>
    </w:p>
    <w:p>
      <w:pPr>
        <w:numPr>
          <w:ilvl w:val="0"/>
          <w:numId w:val="1017"/>
        </w:numPr>
        <w:pStyle w:val="Compact"/>
      </w:pPr>
      <w:r>
        <w:t xml:space="preserve">Purchased Goods and Services: 18.57 kg CO2e/unit</w:t>
      </w:r>
    </w:p>
    <w:p>
      <w:pPr>
        <w:numPr>
          <w:ilvl w:val="0"/>
          <w:numId w:val="1017"/>
        </w:numPr>
        <w:pStyle w:val="Compact"/>
      </w:pPr>
      <w:r>
        <w:t xml:space="preserve">Upstream Transportation: 0.449 kg CO2e/unit</w:t>
      </w:r>
    </w:p>
    <w:p>
      <w:pPr>
        <w:numPr>
          <w:ilvl w:val="0"/>
          <w:numId w:val="1017"/>
        </w:numPr>
        <w:pStyle w:val="Compact"/>
      </w:pPr>
      <w:r>
        <w:t xml:space="preserve">Downstream Transportation: 0.193 kg CO2e/unit</w:t>
      </w:r>
    </w:p>
    <w:p>
      <w:pPr>
        <w:numPr>
          <w:ilvl w:val="0"/>
          <w:numId w:val="1017"/>
        </w:numPr>
        <w:pStyle w:val="Compact"/>
      </w:pPr>
      <w:r>
        <w:t xml:space="preserve">Use of Sold Products: 6.75 kg CO2e/unit</w:t>
      </w:r>
    </w:p>
    <w:p>
      <w:pPr>
        <w:numPr>
          <w:ilvl w:val="0"/>
          <w:numId w:val="1017"/>
        </w:numPr>
        <w:pStyle w:val="Compact"/>
      </w:pPr>
      <w:r>
        <w:t xml:space="preserve">End-of-Life Treatment: 0.575 kg CO2e/unit</w:t>
      </w:r>
    </w:p>
    <w:p>
      <w:pPr>
        <w:numPr>
          <w:ilvl w:val="0"/>
          <w:numId w:val="1017"/>
        </w:numPr>
        <w:pStyle w:val="Compact"/>
      </w:pPr>
      <w:r>
        <w:rPr>
          <w:bCs/>
          <w:b/>
        </w:rPr>
        <w:t xml:space="preserve">Total Scope 3 Emissions = 18.57 + 0.449 + 0.193 + 6.75 + 0.575 = 26.54 kg CO2e/unit</w:t>
      </w:r>
    </w:p>
    <w:p>
      <w:pPr>
        <w:pStyle w:val="FirstParagraph"/>
      </w:pPr>
      <w:r>
        <w:rPr>
          <w:bCs/>
          <w:b/>
        </w:rPr>
        <w:t xml:space="preserve">Scope 3 Coverage:</w:t>
      </w:r>
      <w:r>
        <w:t xml:space="preserve"> </w:t>
      </w:r>
      <w:r>
        <w:t xml:space="preserve">By addressing these major categories, this analysis aims for over 95% Scope 3 coverage, aligning with 2026 GHG Protocol requirements. The categories included are typically the most significant contributors to a product\'s value chain emissions.</w:t>
      </w:r>
    </w:p>
    <w:bookmarkEnd w:id="41"/>
    <w:bookmarkStart w:id="42" w:name="lsr-update-integration"/>
    <w:p>
      <w:pPr>
        <w:pStyle w:val="Heading4"/>
      </w:pPr>
      <w:r>
        <w:t xml:space="preserve">3.3.4. 2026 LSR Update Integration</w:t>
      </w:r>
    </w:p>
    <w:p>
      <w:pPr>
        <w:pStyle w:val="FirstParagraph"/>
      </w:pPr>
      <w:r>
        <w:t xml:space="preserve">The Land Sector and Removals (LSR) Standard requires companies to account for GHG emissions and removals from land use and land use change. For product-level PCF, this would involve tracing the land use impacts of raw materials (e.g., bio-based materials, timber). While specific data for land use change associated with zyjygzxlip\'s components is not explicitly provided, the framework for this analysis recognizes that:</w:t>
      </w:r>
    </w:p>
    <w:p>
      <w:pPr>
        <w:numPr>
          <w:ilvl w:val="0"/>
          <w:numId w:val="1018"/>
        </w:numPr>
        <w:pStyle w:val="Compact"/>
      </w:pPr>
      <w:r>
        <w:t xml:space="preserve">Emissions from deforestation or land conversion for raw material production (e.g., if any component used bio-based plastics from deforested areas) would be quantified and included.</w:t>
      </w:r>
    </w:p>
    <w:p>
      <w:pPr>
        <w:numPr>
          <w:ilvl w:val="0"/>
          <w:numId w:val="1018"/>
        </w:numPr>
        <w:pStyle w:val="Compact"/>
      </w:pPr>
      <w:r>
        <w:t xml:space="preserve">Carbon removals, such as through sustainable forestry for paper/cardboard components, would be accounted as negative emissions.</w:t>
      </w:r>
    </w:p>
    <w:p>
      <w:pPr>
        <w:pStyle w:val="FirstParagraph"/>
      </w:pPr>
      <w:r>
        <w:t xml:space="preserve">Given the illustrative nature of the BOM, precise LSR impacts are not calculable, but the principle of inclusion is acknowledged. The cardboard packaging, if sourced from sustainably managed forests, would have associated carbon removals that could offset a portion of its embodied emissions.</w:t>
      </w:r>
    </w:p>
    <w:p>
      <w:r>
        <w:pict>
          <v:rect style="width:0;height:1.5pt" o:hralign="center" o:hrstd="t" o:hr="t"/>
        </w:pict>
      </w:r>
    </w:p>
    <w:bookmarkEnd w:id="42"/>
    <w:bookmarkEnd w:id="43"/>
    <w:bookmarkEnd w:id="44"/>
    <w:bookmarkStart w:id="48" w:name="overall-product-carbon-footprint"/>
    <w:p>
      <w:pPr>
        <w:pStyle w:val="Heading2"/>
      </w:pPr>
      <w:r>
        <w:t xml:space="preserve">4. Overall Product Carbon Footprint</w:t>
      </w:r>
    </w:p>
    <w:p>
      <w:pPr>
        <w:pStyle w:val="FirstParagraph"/>
      </w:pPr>
      <w:r>
        <w:t xml:space="preserve">Combining the calculated emissions across all scopes:</w:t>
      </w:r>
    </w:p>
    <w:p>
      <w:pPr>
        <w:numPr>
          <w:ilvl w:val="0"/>
          <w:numId w:val="1019"/>
        </w:numPr>
        <w:pStyle w:val="Compact"/>
      </w:pPr>
      <w:r>
        <w:rPr>
          <w:bCs/>
          <w:b/>
        </w:rPr>
        <w:t xml:space="preserve">Scope 1 Emissions:</w:t>
      </w:r>
      <w:r>
        <w:t xml:space="preserve"> </w:t>
      </w:r>
      <w:r>
        <w:t xml:space="preserve">0.00 kg CO2e/unit</w:t>
      </w:r>
    </w:p>
    <w:p>
      <w:pPr>
        <w:numPr>
          <w:ilvl w:val="0"/>
          <w:numId w:val="1019"/>
        </w:numPr>
        <w:pStyle w:val="Compact"/>
      </w:pPr>
      <w:r>
        <w:rPr>
          <w:bCs/>
          <w:b/>
        </w:rPr>
        <w:t xml:space="preserve">Scope 2 Emissions:</w:t>
      </w:r>
      <w:r>
        <w:t xml:space="preserve"> </w:t>
      </w:r>
      <w:r>
        <w:t xml:space="preserve">3.10 kg CO2e/unit</w:t>
      </w:r>
    </w:p>
    <w:p>
      <w:pPr>
        <w:numPr>
          <w:ilvl w:val="0"/>
          <w:numId w:val="1019"/>
        </w:numPr>
        <w:pStyle w:val="Compact"/>
      </w:pPr>
      <w:r>
        <w:rPr>
          <w:bCs/>
          <w:b/>
        </w:rPr>
        <w:t xml:space="preserve">Scope 3 Emissions:</w:t>
      </w:r>
      <w:r>
        <w:t xml:space="preserve"> </w:t>
      </w:r>
      <w:r>
        <w:t xml:space="preserve">26.54 kg CO2e/unit</w:t>
      </w:r>
    </w:p>
    <w:bookmarkStart w:id="45" w:name="X8046da1f3049312930866194eb1c3a370e06042"/>
    <w:p>
      <w:pPr>
        <w:pStyle w:val="Heading3"/>
      </w:pPr>
      <w:r>
        <w:t xml:space="preserve">Total Product Carbon Footprint (PCF) = 0.00 + 3.10 + 26.54 = 29.64 kg CO2e/unit</w:t>
      </w:r>
    </w:p>
    <w:bookmarkEnd w:id="45"/>
    <w:bookmarkStart w:id="46" w:name="emission-hotspots"/>
    <w:p>
      <w:pPr>
        <w:pStyle w:val="Heading3"/>
      </w:pPr>
      <w:r>
        <w:t xml:space="preserve">4.1. Emission Hotspots</w:t>
      </w:r>
    </w:p>
    <w:p>
      <w:pPr>
        <w:pStyle w:val="FirstParagraph"/>
      </w:pPr>
      <w:r>
        <w:t xml:space="preserve">The analysis reveals the following emission hotspots for zyjygzxlip:</w:t>
      </w:r>
    </w:p>
    <w:p>
      <w:pPr>
        <w:numPr>
          <w:ilvl w:val="0"/>
          <w:numId w:val="1020"/>
        </w:numPr>
        <w:pStyle w:val="Compact"/>
      </w:pPr>
      <w:r>
        <w:rPr>
          <w:bCs/>
          <w:b/>
        </w:rPr>
        <w:t xml:space="preserve">Raw Material Acquisition (Scope 3, Category 1):</w:t>
      </w:r>
      <w:r>
        <w:t xml:space="preserve"> </w:t>
      </w:r>
      <w:r>
        <w:t xml:space="preserve">This is the most significant hotspot, primarily driven by the production of Aluminum (11.84 kg CO2e) and Injection Molded Plastic (4.01 kg CO2e). The high emission factors for primary material production, especially for aluminum, contribute substantially to the overall PCF.</w:t>
      </w:r>
    </w:p>
    <w:p>
      <w:pPr>
        <w:numPr>
          <w:ilvl w:val="0"/>
          <w:numId w:val="1020"/>
        </w:numPr>
        <w:pStyle w:val="Compact"/>
      </w:pPr>
      <w:r>
        <w:rPr>
          <w:bCs/>
          <w:b/>
        </w:rPr>
        <w:t xml:space="preserve">Use Phase (Scope 3, Category 11):</w:t>
      </w:r>
      <w:r>
        <w:t xml:space="preserve"> </w:t>
      </w:r>
      <w:r>
        <w:t xml:space="preserve">Energy consumption during the product\'s 5-year lifespan contributes significantly (6.75 kg CO2e), highlighting the importance of energy efficiency and renewable energy adoption by end-users.</w:t>
      </w:r>
    </w:p>
    <w:p>
      <w:pPr>
        <w:numPr>
          <w:ilvl w:val="0"/>
          <w:numId w:val="1020"/>
        </w:numPr>
        <w:pStyle w:val="Compact"/>
      </w:pPr>
      <w:r>
        <w:rPr>
          <w:bCs/>
          <w:b/>
        </w:rPr>
        <w:t xml:space="preserve">Manufacturing Energy (Scope 2):</w:t>
      </w:r>
      <w:r>
        <w:t xml:space="preserve"> </w:t>
      </w:r>
      <w:r>
        <w:t xml:space="preserve">Although imjyngtnvt uses 50% renewable energy, the remaining non-renewable electricity in China contributes 3.10 kg CO2e/unit. Increasing renewable energy usage in manufacturing would further reduce this impact.</w:t>
      </w:r>
    </w:p>
    <w:p>
      <w:pPr>
        <w:numPr>
          <w:ilvl w:val="0"/>
          <w:numId w:val="1020"/>
        </w:numPr>
        <w:pStyle w:val="Compact"/>
      </w:pPr>
      <w:r>
        <w:rPr>
          <w:bCs/>
          <w:b/>
        </w:rPr>
        <w:t xml:space="preserve">End-of-Life Treatment (Scope 3, Category 12):</w:t>
      </w:r>
      <w:r>
        <w:t xml:space="preserve"> </w:t>
      </w:r>
      <w:r>
        <w:t xml:space="preserve">Disposal to landfill accounts for a notable portion of EoL emissions, underscoring the value of circular economy initiatives.</w:t>
      </w:r>
    </w:p>
    <w:bookmarkEnd w:id="46"/>
    <w:bookmarkStart w:id="47" w:name="reliability-and-data-gaps"/>
    <w:p>
      <w:pPr>
        <w:pStyle w:val="Heading3"/>
      </w:pPr>
      <w:r>
        <w:t xml:space="preserve">4.2. Reliability and Data Gaps</w:t>
      </w:r>
    </w:p>
    <w:p>
      <w:pPr>
        <w:pStyle w:val="FirstParagraph"/>
      </w:pPr>
      <w:r>
        <w:t xml:space="preserve">The reliability of this report is high for the illustrative parameters provided. However, improvements can be made with more granular primary data:</w:t>
      </w:r>
    </w:p>
    <w:p>
      <w:pPr>
        <w:numPr>
          <w:ilvl w:val="0"/>
          <w:numId w:val="1021"/>
        </w:numPr>
        <w:pStyle w:val="Compact"/>
      </w:pPr>
      <w:r>
        <w:rPr>
          <w:bCs/>
          <w:b/>
        </w:rPr>
        <w:t xml:space="preserve">Primary BOM Data:</w:t>
      </w:r>
      <w:r>
        <w:t xml:space="preserve"> </w:t>
      </w:r>
      <w:r>
        <w:t xml:space="preserve">Exact supplier-specific emission factors for each material would enhance accuracy over industry averages.</w:t>
      </w:r>
    </w:p>
    <w:p>
      <w:pPr>
        <w:numPr>
          <w:ilvl w:val="0"/>
          <w:numId w:val="1021"/>
        </w:numPr>
        <w:pStyle w:val="Compact"/>
      </w:pPr>
      <w:r>
        <w:rPr>
          <w:bCs/>
          <w:b/>
        </w:rPr>
        <w:t xml:space="preserve">Logistics Data:</w:t>
      </w:r>
      <w:r>
        <w:t xml:space="preserve"> </w:t>
      </w:r>
      <w:r>
        <w:t xml:space="preserve">Actual transport routes, vehicle types, load factors, and last-mile efficiency data would refine transportation emissions.</w:t>
      </w:r>
    </w:p>
    <w:p>
      <w:pPr>
        <w:numPr>
          <w:ilvl w:val="0"/>
          <w:numId w:val="1021"/>
        </w:numPr>
        <w:pStyle w:val="Compact"/>
      </w:pPr>
      <w:r>
        <w:rPr>
          <w:bCs/>
          <w:b/>
        </w:rPr>
        <w:t xml:space="preserve">Use Phase Data:</w:t>
      </w:r>
      <w:r>
        <w:t xml:space="preserve"> </w:t>
      </w:r>
      <w:r>
        <w:t xml:space="preserve">More precise data on typical user behavior and regional electricity mixes for product usage across Europe.</w:t>
      </w:r>
    </w:p>
    <w:p>
      <w:pPr>
        <w:numPr>
          <w:ilvl w:val="0"/>
          <w:numId w:val="1021"/>
        </w:numPr>
        <w:pStyle w:val="Compact"/>
      </w:pPr>
      <w:r>
        <w:rPr>
          <w:bCs/>
          <w:b/>
        </w:rPr>
        <w:t xml:space="preserve">EoL Data:</w:t>
      </w:r>
      <w:r>
        <w:t xml:space="preserve"> </w:t>
      </w:r>
      <w:r>
        <w:t xml:space="preserve">Specific data on actual recycling efficiencies and landfill gas recovery rates for the product\'s components.</w:t>
      </w:r>
    </w:p>
    <w:p>
      <w:pPr>
        <w:numPr>
          <w:ilvl w:val="0"/>
          <w:numId w:val="1021"/>
        </w:numPr>
        <w:pStyle w:val="Compact"/>
      </w:pPr>
      <w:r>
        <w:rPr>
          <w:bCs/>
          <w:b/>
        </w:rPr>
        <w:t xml:space="preserve">LSR Data:</w:t>
      </w:r>
      <w:r>
        <w:t xml:space="preserve"> </w:t>
      </w:r>
      <w:r>
        <w:t xml:space="preserve">Direct information on land use and land use change for raw material sourcing would enable more accurate LSR accounting.</w:t>
      </w:r>
    </w:p>
    <w:p>
      <w:r>
        <w:pict>
          <v:rect style="width:0;height:1.5pt" o:hralign="center" o:hrstd="t" o:hr="t"/>
        </w:pict>
      </w:r>
    </w:p>
    <w:bookmarkEnd w:id="47"/>
    <w:bookmarkEnd w:id="48"/>
    <w:bookmarkStart w:id="49" w:name="recommendations-for-emission-reduction"/>
    <w:p>
      <w:pPr>
        <w:pStyle w:val="Heading2"/>
      </w:pPr>
      <w:r>
        <w:t xml:space="preserve">5. Recommendations for Emission Reduction</w:t>
      </w:r>
    </w:p>
    <w:p>
      <w:pPr>
        <w:pStyle w:val="FirstParagraph"/>
      </w:pPr>
      <w:r>
        <w:t xml:space="preserve">Based on this PCF analysis, imjyngtnvt can focus on several key areas to reduce the environmental impact of zyjygzxlip:</w:t>
      </w:r>
    </w:p>
    <w:p>
      <w:pPr>
        <w:numPr>
          <w:ilvl w:val="0"/>
          <w:numId w:val="1022"/>
        </w:numPr>
        <w:pStyle w:val="Compact"/>
      </w:pPr>
      <w:r>
        <w:rPr>
          <w:bCs/>
          <w:b/>
        </w:rPr>
        <w:t xml:space="preserve">Material Decarbonization:</w:t>
      </w:r>
      <w:r>
        <w:t xml:space="preserve"> </w:t>
      </w:r>
      <w:r>
        <w:t xml:space="preserve">Prioritize sourcing lower-carbon alternative materials, increasing recycled content in aluminum and plastic components, or exploring bio-based alternatives with verified low-carbon footprints. Engaging with suppliers to promote greener production processes is crucial.</w:t>
      </w:r>
    </w:p>
    <w:p>
      <w:pPr>
        <w:numPr>
          <w:ilvl w:val="0"/>
          <w:numId w:val="1022"/>
        </w:numPr>
        <w:pStyle w:val="Compact"/>
      </w:pPr>
      <w:r>
        <w:rPr>
          <w:bCs/>
          <w:b/>
        </w:rPr>
        <w:t xml:space="preserve">Manufacturing Optimization:</w:t>
      </w:r>
      <w:r>
        <w:t xml:space="preserve"> </w:t>
      </w:r>
      <w:r>
        <w:t xml:space="preserve">Further increase renewable energy procurement at manufacturing facilities in China beyond 50%. Explore energy efficiency measures in production processes to reduce overall energy intensity.</w:t>
      </w:r>
    </w:p>
    <w:p>
      <w:pPr>
        <w:numPr>
          <w:ilvl w:val="0"/>
          <w:numId w:val="1022"/>
        </w:numPr>
        <w:pStyle w:val="Compact"/>
      </w:pPr>
      <w:r>
        <w:rPr>
          <w:bCs/>
          <w:b/>
        </w:rPr>
        <w:t xml:space="preserve">Supply Chain Efficiency:</w:t>
      </w:r>
      <w:r>
        <w:t xml:space="preserve"> </w:t>
      </w:r>
      <w:r>
        <w:t xml:space="preserve">Optimize transportation routes, consider multimodal transport (e.g., rail or sea where feasible) to reduce road freight distances, and consolidate shipments to improve load factors.</w:t>
      </w:r>
    </w:p>
    <w:p>
      <w:pPr>
        <w:numPr>
          <w:ilvl w:val="0"/>
          <w:numId w:val="1022"/>
        </w:numPr>
        <w:pStyle w:val="Compact"/>
      </w:pPr>
      <w:r>
        <w:rPr>
          <w:bCs/>
          <w:b/>
        </w:rPr>
        <w:t xml:space="preserve">Product Design for Longevity and Efficiency:</w:t>
      </w:r>
      <w:r>
        <w:t xml:space="preserve"> </w:t>
      </w:r>
      <w:r>
        <w:t xml:space="preserve">Enhance product durability to extend lifespan and reduce the frequency of replacement. Improve energy efficiency during the use phase through design innovations.</w:t>
      </w:r>
    </w:p>
    <w:p>
      <w:pPr>
        <w:numPr>
          <w:ilvl w:val="0"/>
          <w:numId w:val="1022"/>
        </w:numPr>
        <w:pStyle w:val="Compact"/>
      </w:pPr>
      <w:r>
        <w:rPr>
          <w:bCs/>
          <w:b/>
        </w:rPr>
        <w:t xml:space="preserve">Strengthen Circularity:</w:t>
      </w:r>
      <w:r>
        <w:t xml:space="preserve"> </w:t>
      </w:r>
      <w:r>
        <w:t xml:space="preserve">Expand and promote circular/take-back programs (pkktsidsqv) to maximize the recycling rate (nyjptlmtrd) and minimize waste sent to landfill. Explore design for disassembly and material recovery.</w:t>
      </w:r>
    </w:p>
    <w:p>
      <w:r>
        <w:pict>
          <v:rect style="width:0;height:1.5pt" o:hralign="center" o:hrstd="t" o:hr="t"/>
        </w:pict>
      </w:r>
    </w:p>
    <w:bookmarkEnd w:id="49"/>
    <w:p>
      <w:pPr>
        <w:pStyle w:val="FirstParagraph"/>
      </w:pPr>
      <w:r>
        <w:t xml:space="preserve">Confidential - Internal Use Only</w:t>
      </w:r>
    </w:p>
    <w:p>
      <w:pPr>
        <w:pStyle w:val="BodyText"/>
      </w:pPr>
      <w:r>
        <w:t xml:space="preserve">Page 1 of X (simulated)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zyjygzxlip - imjyngtnvt</dc:title>
  <dc:creator/>
  <dc:description>Detailed Product Carbon Footprint (PCF) analysis report for zyjygzxlip, conducted for imjyngtnvt by Senior Sustainability Consultant ttzndjffnf, adhering to GHG Protocol standards including 2026 LSR Update and Scope 3 compliance.</dc:description>
  <dc:language>en</dc:language>
  <cp:keywords/>
  <dcterms:created xsi:type="dcterms:W3CDTF">2026-05-30T14:55:56Z</dcterms:created>
  <dcterms:modified xsi:type="dcterms:W3CDTF">2026-05-30T14:55:56Z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