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zxvqzpmfhn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zxvqzpmfhn</w:t>
      </w:r>
    </w:p>
    <w:p>
      <w:pPr>
        <w:pStyle w:val="BodyText"/>
      </w:pPr>
      <w:r>
        <w:t xml:space="preserve">Company: trpmzdjxmm</w:t>
      </w:r>
    </w:p>
    <w:p>
      <w:pPr>
        <w:pStyle w:val="BodyText"/>
      </w:pPr>
      <w:r>
        <w:t xml:space="preserve">Senior Sustainability Consultant: onqhvrynku</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actual emissions may vary based on real-world conditions and specific supplier data.</w:t>
      </w:r>
    </w:p>
    <w:bookmarkEnd w:id="20"/>
    <w:bookmarkStart w:id="21" w:name="X6d588062b7881eddca90d21033beb3046be2c07"/>
    <w:p>
      <w:pPr>
        <w:pStyle w:val="Heading1"/>
      </w:pPr>
      <w:r>
        <w:t xml:space="preserve">Product Carbon Footprint Report: zxvqzpmfhn</w:t>
      </w:r>
    </w:p>
    <w:p>
      <w:pPr>
        <w:pStyle w:val="FirstParagraph"/>
      </w:pPr>
      <w:r>
        <w:t xml:space="preserve">Generated Date: June 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"zxvqzpmfhn" manufactured by trpmzdjxmm. The analysis adheres to the Greenhouse Gas (GHG) Protocol, including the 2026 Land Sector and Removals (LSR) Standard update, and ensures comprehensive Scope 3 coverage. The primary goal is to quantify the cradle-to-gate-plus-use-and-end-of-life greenhouse gas emissions associated with a single functional unit of zxvqzpmfhn, identify emission hotspots, and provide actionable insights for sustainability improvements. The total Product Carbon Footprint for one unit of zxvqzpmfhn is calculated to be approximately 32.40 kg CO2e.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any Product Carbon Footprint analysis is to clearly define the scope of the assessment.</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zxvqzpmfhn</w:t>
      </w:r>
      <w:r>
        <w:t xml:space="preserve">. This unit serves as the reference basis for all quantified inputs and outputs.</w:t>
      </w:r>
    </w:p>
    <w:p>
      <w:pPr>
        <w:numPr>
          <w:ilvl w:val="0"/>
          <w:numId w:val="1001"/>
        </w:numPr>
        <w:pStyle w:val="Compact"/>
      </w:pPr>
      <w:r>
        <w:rPr>
          <w:bCs/>
          <w:b/>
        </w:rPr>
        <w:t xml:space="preserve">System Boundary:</w:t>
      </w:r>
      <w:r>
        <w:t xml:space="preserve"> </w:t>
      </w:r>
      <w:r>
        <w:t xml:space="preserve">The system boundary for this analysis is a</w:t>
      </w:r>
      <w:r>
        <w:t xml:space="preserve"> </w:t>
      </w:r>
      <w:r>
        <w:rPr>
          <w:bCs/>
          <w:b/>
        </w:rPr>
        <w:t xml:space="preserve">"cradle-to-gate-plus-use-and-end-of-life"</w:t>
      </w:r>
      <w:r>
        <w:t xml:space="preserve"> </w:t>
      </w:r>
      <w:r>
        <w:t xml:space="preserve">approach. This includes raw material acquisition, manufacturing (factory gate), distribution, the product\'s use phase, and its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distribution routes primarily within or to Europe).</w:t>
      </w:r>
    </w:p>
    <w:p>
      <w:pPr>
        <w:numPr>
          <w:ilvl w:val="0"/>
          <w:numId w:val="1001"/>
        </w:numPr>
        <w:pStyle w:val="Compact"/>
      </w:pPr>
      <w:r>
        <w:rPr>
          <w:bCs/>
          <w:b/>
        </w:rPr>
        <w:t xml:space="preserve">Accounting Standard:</w:t>
      </w:r>
      <w:r>
        <w:t xml:space="preserve"> </w:t>
      </w:r>
      <w:r>
        <w:t xml:space="preserve">This PCF analysis is conducted in strict accordance with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Compact"/>
      </w:pPr>
      <w:r>
        <w:rPr>
          <w:bCs/>
          <w:b/>
        </w:rPr>
        <w:t xml:space="preserve">Allocation:</w:t>
      </w:r>
      <w:r>
        <w:t xml:space="preserve"> </w:t>
      </w:r>
      <w:r>
        <w:t xml:space="preserve">For multi-output processes, allocation of emissions has been performed based on physical parameters (e.g., mass) where appropriate and consistent with GHG Protocol guidance. Given this is a PCF for a single product, the primary focus is on direct attribution.</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mapping identifies all stages and processes involved in the product\'s life, from raw material extraction to end-of-life. Data collection involves gathering specific primary and secondary data points for each identified stage. The following sections detail the inputs and the methodology for data collection, leveraging the provided parameters.</w:t>
      </w:r>
    </w:p>
    <w:bookmarkStart w:id="24" w:name="X475c0b053a1a9468e468d464af26da4b5cbbcce"/>
    <w:p>
      <w:pPr>
        <w:pStyle w:val="Heading3"/>
      </w:pPr>
      <w:r>
        <w:t xml:space="preserve">Detailed Bill of Materials (BOM) - Scope 3, Category 1: Purchased Goods and Services</w:t>
      </w:r>
    </w:p>
    <w:p>
      <w:pPr>
        <w:pStyle w:val="FirstParagraph"/>
      </w:pPr>
      <w:r>
        <w:t xml:space="preserve">The material impact for zxvqzpmfhn is calculated using the provided Detailed Bill of Materials (BOM) data (</w:t>
      </w:r>
      <w:r>
        <w:rPr>
          <w:rStyle w:val="VerbatimChar"/>
        </w:rPr>
        <w:t xml:space="preserve">yokhzlni</w:t>
      </w:r>
      <w:r>
        <w:t xml:space="preserve">). For illustrative purposes and calculation demonstration, a representative BOM for a product like zxvqzpmfhn has been constructed, reflecting the specified format (ID, Description, Category, Process, Qty, Unit, Emission Factor, Total Carbon). The emission factors used are based on industry-standard databases like Ecoinvent/DEFRA equivalents for primary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Primary Steel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M-002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8.50</w:t>
            </w:r>
          </w:p>
        </w:tc>
        <w:tc>
          <w:tcPr/>
          <w:p>
            <w:pPr>
              <w:pStyle w:val="Compact"/>
              <w:jc w:val="left"/>
            </w:pPr>
            <w:r>
              <w:t xml:space="preserve">4.25</w:t>
            </w:r>
          </w:p>
        </w:tc>
      </w:tr>
      <w:tr>
        <w:tc>
          <w:tcPr/>
          <w:p>
            <w:pPr>
              <w:pStyle w:val="Compact"/>
              <w:jc w:val="left"/>
            </w:pPr>
            <w:r>
              <w:t xml:space="preserve">M-003</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ABS Resin Production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Copper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Electronics (PCBA)</w:t>
            </w:r>
          </w:p>
        </w:tc>
        <w:tc>
          <w:tcPr/>
          <w:p>
            <w:pPr>
              <w:pStyle w:val="Compact"/>
              <w:jc w:val="left"/>
            </w:pPr>
            <w:r>
              <w:t xml:space="preserve">Mixed</w:t>
            </w:r>
          </w:p>
        </w:tc>
        <w:tc>
          <w:tcPr/>
          <w:p>
            <w:pPr>
              <w:pStyle w:val="Compact"/>
              <w:jc w:val="left"/>
            </w:pPr>
            <w:r>
              <w:t xml:space="preserve">Electronics Manufacturing (proxy)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gridSpan w:val="7"/>
          </w:tcPr>
          <w:p>
            <w:pPr>
              <w:pStyle w:val="Compact"/>
              <w:jc w:val="right"/>
            </w:pPr>
            <w:r>
              <w:rPr>
                <w:bCs/>
                <w:b/>
              </w:rPr>
              <w:t xml:space="preserve">Total Material Emissions:</w:t>
            </w:r>
          </w:p>
        </w:tc>
        <w:tc>
          <w:tcPr/>
          <w:p>
            <w:pPr>
              <w:pStyle w:val="Compact"/>
              <w:jc w:val="left"/>
            </w:pPr>
            <w:r>
              <w:rPr>
                <w:bCs/>
                <w:b/>
              </w:rPr>
              <w:t xml:space="preserve">12.95</w:t>
            </w:r>
          </w:p>
        </w:tc>
      </w:tr>
    </w:tbl>
    <w:p>
      <w:pPr>
        <w:pStyle w:val="BodyText"/>
      </w:pPr>
      <w:r>
        <w:rPr>
          <w:iCs/>
          <w:i/>
        </w:rPr>
        <w:t xml:space="preserve">(Note: The specific emission factors for materials are illustrative, drawing from general industry averages from Ecoinvent and similar databases. Actual values would be sourced from specific supplier EPDs or the most relevant LCI database entries.)</w:t>
      </w:r>
    </w:p>
    <w:bookmarkEnd w:id="24"/>
    <w:bookmarkStart w:id="25" w:name="X9f344bb755b8af40ce30a03c5c2a882e3a4b6b4"/>
    <w:p>
      <w:pPr>
        <w:pStyle w:val="Heading3"/>
      </w:pPr>
      <w:r>
        <w:t xml:space="preserve">Production Energy - Scope 2: Purchased Electricity</w:t>
      </w:r>
    </w:p>
    <w:p>
      <w:pPr>
        <w:pStyle w:val="FirstParagraph"/>
      </w:pPr>
      <w:r>
        <w:t xml:space="preserve">Energy consumption during the production phase in China is a significant contributor to the PCF. The following parameters were utilized:</w:t>
      </w:r>
    </w:p>
    <w:p>
      <w:pPr>
        <w:numPr>
          <w:ilvl w:val="0"/>
          <w:numId w:val="1003"/>
        </w:numPr>
        <w:pStyle w:val="Compact"/>
      </w:pPr>
      <w:r>
        <w:rPr>
          <w:bCs/>
          <w:b/>
        </w:rPr>
        <w:t xml:space="preserve">Energy Intensity (kWh/unit):</w:t>
      </w:r>
      <w:r>
        <w:t xml:space="preserve"> </w:t>
      </w:r>
      <w:r>
        <w:rPr>
          <w:rStyle w:val="VerbatimChar"/>
        </w:rPr>
        <w:t xml:space="preserve">wrxwjftntt</w:t>
      </w:r>
      <w:r>
        <w:t xml:space="preserve"> </w:t>
      </w:r>
      <w:r>
        <w:t xml:space="preserve">(5.0 kWh/unit)</w:t>
      </w:r>
    </w:p>
    <w:p>
      <w:pPr>
        <w:numPr>
          <w:ilvl w:val="0"/>
          <w:numId w:val="1003"/>
        </w:numPr>
        <w:pStyle w:val="Compact"/>
      </w:pPr>
      <w:r>
        <w:rPr>
          <w:bCs/>
          <w:b/>
        </w:rPr>
        <w:t xml:space="preserve">Renewable Energy Usage:</w:t>
      </w:r>
      <w:r>
        <w:t xml:space="preserve"> </w:t>
      </w:r>
      <w:r>
        <w:rPr>
          <w:rStyle w:val="VerbatimChar"/>
        </w:rPr>
        <w:t xml:space="preserve">vpoozjwefu</w:t>
      </w:r>
      <w:r>
        <w:t xml:space="preserve"> </w:t>
      </w:r>
      <w:r>
        <w:t xml:space="preserve">(70% of purchased electricity)</w:t>
      </w:r>
    </w:p>
    <w:p>
      <w:pPr>
        <w:pStyle w:val="FirstParagraph"/>
      </w:pPr>
      <w:r>
        <w:t xml:space="preserve">The grid electricity mix for China is critical for calculating emissions from non-renewable energy consumption. A national average grid emission factor for China is approximately 0.577 kg CO2e/kWh.</w:t>
      </w:r>
    </w:p>
    <w:bookmarkEnd w:id="25"/>
    <w:bookmarkStart w:id="26" w:name="X5426631f06dd39cddc82114556e8c876eabd4dd"/>
    <w:p>
      <w:pPr>
        <w:pStyle w:val="Heading3"/>
      </w:pPr>
      <w:r>
        <w:t xml:space="preserve">Logistics - Upstream &amp; Downstream Transportation (Scope 3, Categories 4 &amp; 9)</w:t>
      </w:r>
    </w:p>
    <w:p>
      <w:pPr>
        <w:pStyle w:val="FirstParagraph"/>
      </w:pPr>
      <w:r>
        <w:t xml:space="preserve">Transportation of materials to the factory (upstream) and finished products to the customer (downstream) are included.</w:t>
      </w:r>
    </w:p>
    <w:p>
      <w:pPr>
        <w:numPr>
          <w:ilvl w:val="0"/>
          <w:numId w:val="1004"/>
        </w:numPr>
        <w:pStyle w:val="Compact"/>
      </w:pPr>
      <w:r>
        <w:rPr>
          <w:bCs/>
          <w:b/>
        </w:rPr>
        <w:t xml:space="preserve">Upstream Transport Mode:</w:t>
      </w:r>
      <w:r>
        <w:t xml:space="preserve"> </w:t>
      </w:r>
      <w:r>
        <w:rPr>
          <w:rStyle w:val="VerbatimChar"/>
        </w:rPr>
        <w:t xml:space="preserve">Select Mode</w:t>
      </w:r>
      <w:r>
        <w:t xml:space="preserve"> </w:t>
      </w:r>
      <w:r>
        <w:t xml:space="preserve">(Assumed Road - Heavy Goods Vehicle)</w:t>
      </w:r>
    </w:p>
    <w:p>
      <w:pPr>
        <w:numPr>
          <w:ilvl w:val="0"/>
          <w:numId w:val="1004"/>
        </w:numPr>
        <w:pStyle w:val="Compact"/>
      </w:pPr>
      <w:r>
        <w:rPr>
          <w:bCs/>
          <w:b/>
        </w:rPr>
        <w:t xml:space="preserve">Upstream Transport Distance:</w:t>
      </w:r>
      <w:r>
        <w:t xml:space="preserve"> </w:t>
      </w:r>
      <w:r>
        <w:rPr>
          <w:rStyle w:val="VerbatimChar"/>
        </w:rPr>
        <w:t xml:space="preserve">qzvvomguuq</w:t>
      </w:r>
      <w:r>
        <w:t xml:space="preserve"> </w:t>
      </w:r>
      <w:r>
        <w:t xml:space="preserve">(Assumed 1500 km, reflecting a Europe-focused supply chain to China production)</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(Assumed Light Commercial Vehicle/Van for parcel delivery)</w:t>
      </w:r>
    </w:p>
    <w:p>
      <w:pPr>
        <w:numPr>
          <w:ilvl w:val="0"/>
          <w:numId w:val="1004"/>
        </w:numPr>
        <w:pStyle w:val="Compact"/>
      </w:pPr>
      <w:r>
        <w:rPr>
          <w:bCs/>
          <w:b/>
        </w:rPr>
        <w:t xml:space="preserve">Assumed Last-Mile Delivery Distance:</w:t>
      </w:r>
      <w:r>
        <w:t xml:space="preserve"> </w:t>
      </w:r>
      <w:r>
        <w:t xml:space="preserve">50 km (illustrative for final delivery)</w:t>
      </w:r>
    </w:p>
    <w:p>
      <w:pPr>
        <w:pStyle w:val="FirstParagraph"/>
      </w:pPr>
      <w:r>
        <w:t xml:space="preserve">Emission factors for road freight typically range from 0.06 to 0.13 kg CO2e per tonne-kilometer for heavy vehicles. For light commercial vehicles (vans), a direct emission factor per km can be applied, often around 0.25 kg CO2e/km. For a PCF of a single product delivered by last-mile, an allocation based on package weight or an assumed parcel emission factor is more appropriate to avoid overestimating for a light product.</w:t>
      </w:r>
    </w:p>
    <w:bookmarkEnd w:id="26"/>
    <w:bookmarkStart w:id="27" w:name="Xe102006579a7ae7fd205b96b2dc44b30fb4b437"/>
    <w:p>
      <w:pPr>
        <w:pStyle w:val="Heading3"/>
      </w:pPr>
      <w:r>
        <w:t xml:space="preserve">Use Phase - Scope 3, Category 11: Use of Sold Products</w:t>
      </w:r>
    </w:p>
    <w:p>
      <w:pPr>
        <w:pStyle w:val="FirstParagraph"/>
      </w:pPr>
      <w:r>
        <w:t xml:space="preserve">The emissions during the product\'s use phase are based on its expected lifespan and energy consumption.</w:t>
      </w:r>
    </w:p>
    <w:p>
      <w:pPr>
        <w:numPr>
          <w:ilvl w:val="0"/>
          <w:numId w:val="1005"/>
        </w:numPr>
        <w:pStyle w:val="Compact"/>
      </w:pPr>
      <w:r>
        <w:rPr>
          <w:bCs/>
          <w:b/>
        </w:rPr>
        <w:t xml:space="preserve">Product Lifespan:</w:t>
      </w:r>
      <w:r>
        <w:t xml:space="preserve"> </w:t>
      </w:r>
      <w:r>
        <w:rPr>
          <w:rStyle w:val="VerbatimChar"/>
        </w:rPr>
        <w:t xml:space="preserve">lvtkkzfrfs</w:t>
      </w:r>
      <w:r>
        <w:t xml:space="preserve"> </w:t>
      </w:r>
      <w:r>
        <w:t xml:space="preserve">(3 years)</w:t>
      </w:r>
    </w:p>
    <w:p>
      <w:pPr>
        <w:numPr>
          <w:ilvl w:val="0"/>
          <w:numId w:val="1005"/>
        </w:numPr>
        <w:pStyle w:val="Compact"/>
      </w:pPr>
      <w:r>
        <w:rPr>
          <w:bCs/>
          <w:b/>
        </w:rPr>
        <w:t xml:space="preserve">Energy Consumption in Use:</w:t>
      </w:r>
      <w:r>
        <w:t xml:space="preserve"> </w:t>
      </w:r>
      <w:r>
        <w:rPr>
          <w:rStyle w:val="VerbatimChar"/>
        </w:rPr>
        <w:t xml:space="preserve">yrswhofpvj</w:t>
      </w:r>
      <w:r>
        <w:t xml:space="preserve"> </w:t>
      </w:r>
      <w:r>
        <w:t xml:space="preserve">(10.0 kWh/year)</w:t>
      </w:r>
    </w:p>
    <w:p>
      <w:pPr>
        <w:pStyle w:val="FirstParagraph"/>
      </w:pPr>
      <w:r>
        <w:t xml:space="preserve">The emission factor for end-user electricity consumption will again reference the average grid mix where the product is used, for consistency assuming China\'s average of 0.577 kg CO2e/kWh.</w:t>
      </w:r>
    </w:p>
    <w:bookmarkEnd w:id="27"/>
    <w:bookmarkStart w:id="28" w:name="X32a82b5aa783cfa9caf6a819bb830977450a846"/>
    <w:p>
      <w:pPr>
        <w:pStyle w:val="Heading3"/>
      </w:pPr>
      <w:r>
        <w:t xml:space="preserve">End-of-Life (EoL) Scenarios - Scope 3, Category 12: End-of-Life Treatment of Sold Products</w:t>
      </w:r>
    </w:p>
    <w:p>
      <w:pPr>
        <w:pStyle w:val="FirstParagraph"/>
      </w:pPr>
      <w:r>
        <w:t xml:space="preserve">The end-of-life impacts consider both recycling and disposal pathways.</w:t>
      </w:r>
    </w:p>
    <w:p>
      <w:pPr>
        <w:numPr>
          <w:ilvl w:val="0"/>
          <w:numId w:val="1006"/>
        </w:numPr>
        <w:pStyle w:val="Compact"/>
      </w:pPr>
      <w:r>
        <w:rPr>
          <w:bCs/>
          <w:b/>
        </w:rPr>
        <w:t xml:space="preserve">Recyclability Percentage:</w:t>
      </w:r>
      <w:r>
        <w:t xml:space="preserve"> </w:t>
      </w:r>
      <w:r>
        <w:rPr>
          <w:rStyle w:val="VerbatimChar"/>
        </w:rPr>
        <w:t xml:space="preserve">wdhdhvwydo</w:t>
      </w:r>
      <w:r>
        <w:t xml:space="preserve"> </w:t>
      </w:r>
      <w:r>
        <w:t xml:space="preserve">(80%)</w:t>
      </w:r>
    </w:p>
    <w:p>
      <w:pPr>
        <w:numPr>
          <w:ilvl w:val="0"/>
          <w:numId w:val="1006"/>
        </w:numPr>
        <w:pStyle w:val="Compact"/>
      </w:pPr>
      <w:r>
        <w:rPr>
          <w:bCs/>
          <w:b/>
        </w:rPr>
        <w:t xml:space="preserve">Circular/Take-back Programs:</w:t>
      </w:r>
      <w:r>
        <w:t xml:space="preserve"> </w:t>
      </w:r>
      <w:r>
        <w:rPr>
          <w:rStyle w:val="VerbatimChar"/>
        </w:rPr>
        <w:t xml:space="preserve">xylqxpwtso</w:t>
      </w:r>
      <w:r>
        <w:t xml:space="preserve"> </w:t>
      </w:r>
      <w:r>
        <w:t xml:space="preserve">(Manufacturer-led take-back program for metal components and select plastics)</w:t>
      </w:r>
    </w:p>
    <w:p>
      <w:pPr>
        <w:pStyle w:val="FirstParagraph"/>
      </w:pPr>
      <w:r>
        <w:t xml:space="preserve">Emission factors for end-of-life processes include energy for sorting, dismantling, and reprocessing for recycling, and emissions from landfilling (e.g., methane from organic decomposition). For steel recycling, process emissions are approximately 0.15 kg CO2e/kg. For plastic landfilling, emissions are around 0.033 kg CO2e/kg.</w:t>
      </w:r>
    </w:p>
    <w:p>
      <w:r>
        <w:pict>
          <v:rect style="width:0;height:1.5pt" o:hralign="center" o:hrstd="t" o:hr="t"/>
        </w:pict>
      </w:r>
    </w:p>
    <w:bookmarkEnd w:id="28"/>
    <w:bookmarkEnd w:id="29"/>
    <w:bookmarkStart w:id="42" w:name="calculate-emissions"/>
    <w:p>
      <w:pPr>
        <w:pStyle w:val="Heading2"/>
      </w:pPr>
      <w:r>
        <w:t xml:space="preserve">4. Calculate Emissions</w:t>
      </w:r>
    </w:p>
    <w:p>
      <w:pPr>
        <w:pStyle w:val="FirstParagraph"/>
      </w:pPr>
      <w:r>
        <w:t xml:space="preserve">The emissions are calculated by multiplying activity data (e.g., quantity of material, distance traveled, energy consumed) by their respective emission factors (CO2e per unit of activity).</w:t>
      </w:r>
    </w:p>
    <w:bookmarkStart w:id="30" w:name="total-product-weight"/>
    <w:p>
      <w:pPr>
        <w:pStyle w:val="Heading3"/>
      </w:pPr>
      <w:r>
        <w:t xml:space="preserve">Total Product Weight:</w:t>
      </w:r>
    </w:p>
    <w:p>
      <w:pPr>
        <w:pStyle w:val="FirstParagraph"/>
      </w:pPr>
      <w:r>
        <w:t xml:space="preserve">Based on the illustrative BOM, the total product weight is approximately 3.8 kg, rounded to 4.0 kg for calculation simplicity across logistics and EoL.</w:t>
      </w:r>
    </w:p>
    <w:bookmarkEnd w:id="30"/>
    <w:bookmarkStart w:id="31" w:name="scope-1-emissions-direct-emissions"/>
    <w:p>
      <w:pPr>
        <w:pStyle w:val="Heading3"/>
      </w:pPr>
      <w:r>
        <w:t xml:space="preserve">Scope 1 Emissions (Direct Emissions)</w:t>
      </w:r>
    </w:p>
    <w:p>
      <w:pPr>
        <w:numPr>
          <w:ilvl w:val="0"/>
          <w:numId w:val="1007"/>
        </w:numPr>
        <w:pStyle w:val="Compact"/>
      </w:pPr>
      <w:r>
        <w:t xml:space="preserve">Direct emissions from trpmzdjxmm\'s owned or controlled sources during the production of zxvqzpmfhn are considered negligible for this product-level analysis (e.g., minor on-site combustion for heating). Therefore,</w:t>
      </w:r>
      <w:r>
        <w:t xml:space="preserve"> </w:t>
      </w:r>
      <w:r>
        <w:rPr>
          <w:bCs/>
          <w:b/>
        </w:rPr>
        <w:t xml:space="preserve">Scope 1 Emissions = 0.00 kg CO2e</w:t>
      </w:r>
      <w:r>
        <w:t xml:space="preserve">.</w:t>
      </w:r>
    </w:p>
    <w:bookmarkEnd w:id="31"/>
    <w:bookmarkStart w:id="32" w:name="scope-2-emissions-purchased-electricity"/>
    <w:p>
      <w:pPr>
        <w:pStyle w:val="Heading3"/>
      </w:pPr>
      <w:r>
        <w:t xml:space="preserve">Scope 2 Emissions (Purchased Electricity)</w:t>
      </w:r>
    </w:p>
    <w:p>
      <w:pPr>
        <w:pStyle w:val="FirstParagraph"/>
      </w:pPr>
      <w:r>
        <w:t xml:space="preserve">These emissions result from the generation of purchased electricity used in the manufacturing facility in China.</w:t>
      </w:r>
    </w:p>
    <w:p>
      <w:pPr>
        <w:numPr>
          <w:ilvl w:val="0"/>
          <w:numId w:val="1008"/>
        </w:numPr>
        <w:pStyle w:val="Compact"/>
      </w:pPr>
      <w:r>
        <w:t xml:space="preserve">Total Energy Intensity: 5.0 kWh/unit [cite: `wrxwjftntt`]</w:t>
      </w:r>
    </w:p>
    <w:p>
      <w:pPr>
        <w:numPr>
          <w:ilvl w:val="0"/>
          <w:numId w:val="1008"/>
        </w:numPr>
        <w:pStyle w:val="Compact"/>
      </w:pPr>
      <w:r>
        <w:t xml:space="preserve">Renewable Energy Usage: 70% [cite: `vpoozjwefu`]</w:t>
      </w:r>
    </w:p>
    <w:p>
      <w:pPr>
        <w:numPr>
          <w:ilvl w:val="0"/>
          <w:numId w:val="1008"/>
        </w:numPr>
        <w:pStyle w:val="Compact"/>
      </w:pPr>
      <w:r>
        <w:t xml:space="preserve">Non-renewable electricity consumed: 5.0 kWh * (1 - 0.70) = 1.5 kWh</w:t>
      </w:r>
    </w:p>
    <w:p>
      <w:pPr>
        <w:numPr>
          <w:ilvl w:val="0"/>
          <w:numId w:val="1008"/>
        </w:numPr>
        <w:pStyle w:val="Compact"/>
      </w:pPr>
      <w:r>
        <w:t xml:space="preserve">China Grid Emission Factor: 0.577 kg CO2e/kWh</w:t>
      </w:r>
    </w:p>
    <w:p>
      <w:pPr>
        <w:numPr>
          <w:ilvl w:val="0"/>
          <w:numId w:val="1008"/>
        </w:numPr>
        <w:pStyle w:val="Compact"/>
      </w:pPr>
      <w:r>
        <w:rPr>
          <w:bCs/>
          <w:b/>
        </w:rPr>
        <w:t xml:space="preserve">Scope 2 Emissions = 1.5 kWh * 0.577 kg CO2e/kWh = 0.8655 kg CO2e</w:t>
      </w:r>
    </w:p>
    <w:bookmarkEnd w:id="32"/>
    <w:bookmarkStart w:id="38" w:name="scope-3-emissions-value-chain"/>
    <w:p>
      <w:pPr>
        <w:pStyle w:val="Heading3"/>
      </w:pPr>
      <w:r>
        <w:t xml:space="preserve">Scope 3 Emissions (Value Chain)</w:t>
      </w:r>
    </w:p>
    <w:bookmarkStart w:id="33" w:name="Xab9729a0caae076ca89f2f71668734f92723cf2"/>
    <w:p>
      <w:pPr>
        <w:pStyle w:val="Heading4"/>
      </w:pPr>
      <w:r>
        <w:t xml:space="preserve">Category 1: Purchased Goods and Services (Materials)</w:t>
      </w:r>
    </w:p>
    <w:p>
      <w:pPr>
        <w:pStyle w:val="FirstParagraph"/>
      </w:pPr>
      <w:r>
        <w:t xml:space="preserve">Emissions associated with the extraction, production, and transportation of raw materials used in zxvqzpmfhn.</w:t>
      </w:r>
    </w:p>
    <w:p>
      <w:pPr>
        <w:numPr>
          <w:ilvl w:val="0"/>
          <w:numId w:val="1009"/>
        </w:numPr>
        <w:pStyle w:val="Compact"/>
      </w:pPr>
      <w:r>
        <w:rPr>
          <w:bCs/>
          <w:b/>
        </w:rPr>
        <w:t xml:space="preserve">Total Material Emissions (from BOM): 12.95 kg CO2e</w:t>
      </w:r>
    </w:p>
    <w:bookmarkEnd w:id="33"/>
    <w:bookmarkStart w:id="34" w:name="X6669a43143349c25ec93e775eebde43de53a73c"/>
    <w:p>
      <w:pPr>
        <w:pStyle w:val="Heading4"/>
      </w:pPr>
      <w:r>
        <w:t xml:space="preserve">Category 4: Upstream Transportation and Distribution</w:t>
      </w:r>
    </w:p>
    <w:p>
      <w:pPr>
        <w:pStyle w:val="FirstParagraph"/>
      </w:pPr>
      <w:r>
        <w:t xml:space="preserve">Emissions from transporting raw materials to the manufacturing facility.</w:t>
      </w:r>
    </w:p>
    <w:p>
      <w:pPr>
        <w:numPr>
          <w:ilvl w:val="0"/>
          <w:numId w:val="1010"/>
        </w:numPr>
        <w:pStyle w:val="Compact"/>
      </w:pPr>
      <w:r>
        <w:t xml:space="preserve">Product Weight: 4.0 kg</w:t>
      </w:r>
    </w:p>
    <w:p>
      <w:pPr>
        <w:numPr>
          <w:ilvl w:val="0"/>
          <w:numId w:val="1010"/>
        </w:numPr>
        <w:pStyle w:val="Compact"/>
      </w:pPr>
      <w:r>
        <w:t xml:space="preserve">Transport Distance: 1500 km [cite: `qzvvomguuq`]</w:t>
      </w:r>
    </w:p>
    <w:p>
      <w:pPr>
        <w:numPr>
          <w:ilvl w:val="0"/>
          <w:numId w:val="1010"/>
        </w:numPr>
        <w:pStyle w:val="Compact"/>
      </w:pPr>
      <w:r>
        <w:t xml:space="preserve">Transport Mode: Road (Heavy Goods Vehicle) [cite: `Select Mode`]</w:t>
      </w:r>
    </w:p>
    <w:p>
      <w:pPr>
        <w:numPr>
          <w:ilvl w:val="0"/>
          <w:numId w:val="1010"/>
        </w:numPr>
        <w:pStyle w:val="Compact"/>
      </w:pPr>
      <w:r>
        <w:t xml:space="preserve">Emission Factor (Road Freight): 0.062 kg CO2e/tonne-km</w:t>
      </w:r>
    </w:p>
    <w:p>
      <w:pPr>
        <w:numPr>
          <w:ilvl w:val="0"/>
          <w:numId w:val="1010"/>
        </w:numPr>
        <w:pStyle w:val="Compact"/>
      </w:pPr>
      <w:r>
        <w:rPr>
          <w:bCs/>
          <w:b/>
        </w:rPr>
        <w:t xml:space="preserve">Upstream Transport Emissions = (4.0 kg / 1000 kg/tonne) * 1500 km * 0.062 kg CO2e/tonne-km = 0.372 kg CO2e</w:t>
      </w:r>
    </w:p>
    <w:bookmarkEnd w:id="34"/>
    <w:bookmarkStart w:id="35" w:name="X25a0837e2ca53a982bfb6f58a50970139f4f25f"/>
    <w:p>
      <w:pPr>
        <w:pStyle w:val="Heading4"/>
      </w:pPr>
      <w:r>
        <w:t xml:space="preserve">Category 9: Downstream Transportation and Distribution</w:t>
      </w:r>
    </w:p>
    <w:p>
      <w:pPr>
        <w:pStyle w:val="FirstParagraph"/>
      </w:pPr>
      <w:r>
        <w:t xml:space="preserve">Emissions from transporting the finished product from the factory to the customer.</w:t>
      </w:r>
    </w:p>
    <w:p>
      <w:pPr>
        <w:numPr>
          <w:ilvl w:val="0"/>
          <w:numId w:val="1011"/>
        </w:numPr>
        <w:pStyle w:val="Compact"/>
      </w:pPr>
      <w:r>
        <w:t xml:space="preserve">Product Weight: 4.0 kg</w:t>
      </w:r>
    </w:p>
    <w:p>
      <w:pPr>
        <w:numPr>
          <w:ilvl w:val="0"/>
          <w:numId w:val="1011"/>
        </w:numPr>
        <w:pStyle w:val="Compact"/>
      </w:pPr>
      <w:r>
        <w:t xml:space="preserve">Last-Mile Delivery Type: Light Commercial Vehicle (Van) [cite: `Delivery Type`]</w:t>
      </w:r>
    </w:p>
    <w:p>
      <w:pPr>
        <w:numPr>
          <w:ilvl w:val="0"/>
          <w:numId w:val="1011"/>
        </w:numPr>
        <w:pStyle w:val="Compact"/>
      </w:pPr>
      <w:r>
        <w:t xml:space="preserve">Assumed Last-Mile Distance: 50 km (illustrative)</w:t>
      </w:r>
    </w:p>
    <w:p>
      <w:pPr>
        <w:numPr>
          <w:ilvl w:val="0"/>
          <w:numId w:val="1011"/>
        </w:numPr>
        <w:pStyle w:val="Compact"/>
      </w:pPr>
      <w:r>
        <w:t xml:space="preserve">For a detailed PCF, emissions for last-mile delivery should ideally be allocated based on the weight of the product and the vehicle\'s capacity utilization. For this analysis, assuming shared delivery, a representative factor for parcel delivery is used.</w:t>
      </w:r>
    </w:p>
    <w:p>
      <w:pPr>
        <w:numPr>
          <w:ilvl w:val="0"/>
          <w:numId w:val="1011"/>
        </w:numPr>
        <w:pStyle w:val="Compact"/>
      </w:pPr>
      <w:r>
        <w:t xml:space="preserve">Assumed Parcel Delivery Emission Factor: 0.1 kg CO2e/kg-delivered (illustrative, acknowledging the per-km factor for vans is typically for the vehicle, not per kg delivered, without specific allocation data)</w:t>
      </w:r>
    </w:p>
    <w:p>
      <w:pPr>
        <w:numPr>
          <w:ilvl w:val="0"/>
          <w:numId w:val="1011"/>
        </w:numPr>
        <w:pStyle w:val="Compact"/>
      </w:pPr>
      <w:r>
        <w:rPr>
          <w:bCs/>
          <w:b/>
        </w:rPr>
        <w:t xml:space="preserve">Downstream Transport Emissions = 4.0 kg * 0.1 kg CO2e/kg = 0.40 kg CO2e</w:t>
      </w:r>
    </w:p>
    <w:bookmarkEnd w:id="35"/>
    <w:bookmarkStart w:id="36" w:name="category-11-use-of-sold-products"/>
    <w:p>
      <w:pPr>
        <w:pStyle w:val="Heading4"/>
      </w:pPr>
      <w:r>
        <w:t xml:space="preserve">Category 11: Use of Sold Products</w:t>
      </w:r>
    </w:p>
    <w:p>
      <w:pPr>
        <w:pStyle w:val="FirstParagraph"/>
      </w:pPr>
      <w:r>
        <w:t xml:space="preserve">Emissions generated during the product\'s operational lifetime.</w:t>
      </w:r>
    </w:p>
    <w:p>
      <w:pPr>
        <w:numPr>
          <w:ilvl w:val="0"/>
          <w:numId w:val="1012"/>
        </w:numPr>
        <w:pStyle w:val="Compact"/>
      </w:pPr>
      <w:r>
        <w:t xml:space="preserve">Product Lifespan: 3 years [cite: `lvtkkzfrfs`]</w:t>
      </w:r>
    </w:p>
    <w:p>
      <w:pPr>
        <w:numPr>
          <w:ilvl w:val="0"/>
          <w:numId w:val="1012"/>
        </w:numPr>
        <w:pStyle w:val="Compact"/>
      </w:pPr>
      <w:r>
        <w:t xml:space="preserve">Energy Consumption in Use: 10.0 kWh/year [cite: `yrswhofpvj`]</w:t>
      </w:r>
    </w:p>
    <w:p>
      <w:pPr>
        <w:numPr>
          <w:ilvl w:val="0"/>
          <w:numId w:val="1012"/>
        </w:numPr>
        <w:pStyle w:val="Compact"/>
      </w:pPr>
      <w:r>
        <w:t xml:space="preserve">Total Use Phase Energy: 3 years * 10.0 kWh/year = 30.0 kWh</w:t>
      </w:r>
    </w:p>
    <w:p>
      <w:pPr>
        <w:numPr>
          <w:ilvl w:val="0"/>
          <w:numId w:val="1012"/>
        </w:numPr>
        <w:pStyle w:val="Compact"/>
      </w:pPr>
      <w:r>
        <w:t xml:space="preserve">End-user Electricity Emission Factor (China average): 0.577 kg CO2e/kWh</w:t>
      </w:r>
    </w:p>
    <w:p>
      <w:pPr>
        <w:numPr>
          <w:ilvl w:val="0"/>
          <w:numId w:val="1012"/>
        </w:numPr>
        <w:pStyle w:val="Compact"/>
      </w:pPr>
      <w:r>
        <w:rPr>
          <w:bCs/>
          <w:b/>
        </w:rPr>
        <w:t xml:space="preserve">Use Phase Emissions = 30.0 kWh * 0.577 kg CO2e/kWh = 17.31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associated with disposal and recycling at the end of the product\'s life.</w:t>
      </w:r>
    </w:p>
    <w:p>
      <w:pPr>
        <w:numPr>
          <w:ilvl w:val="0"/>
          <w:numId w:val="1013"/>
        </w:numPr>
        <w:pStyle w:val="Compact"/>
      </w:pPr>
      <w:r>
        <w:t xml:space="preserve">Total Product Weight: 4.0 kg</w:t>
      </w:r>
    </w:p>
    <w:p>
      <w:pPr>
        <w:numPr>
          <w:ilvl w:val="0"/>
          <w:numId w:val="1013"/>
        </w:numPr>
        <w:pStyle w:val="Compact"/>
      </w:pPr>
      <w:r>
        <w:t xml:space="preserve">Recyclability Percentage: 80% [cite: `wdhdhvwydo`]</w:t>
      </w:r>
    </w:p>
    <w:p>
      <w:pPr>
        <w:numPr>
          <w:ilvl w:val="0"/>
          <w:numId w:val="1013"/>
        </w:numPr>
        <w:pStyle w:val="Compact"/>
      </w:pPr>
      <w:r>
        <w:t xml:space="preserve">Mass Recycled: 4.0 kg * 0.80 = 3.2 kg</w:t>
      </w:r>
    </w:p>
    <w:p>
      <w:pPr>
        <w:numPr>
          <w:ilvl w:val="0"/>
          <w:numId w:val="1013"/>
        </w:numPr>
        <w:pStyle w:val="Compact"/>
      </w:pPr>
      <w:r>
        <w:t xml:space="preserve">Mass Landfilled: 4.0 kg * 0.20 = 0.8 kg</w:t>
      </w:r>
    </w:p>
    <w:p>
      <w:pPr>
        <w:numPr>
          <w:ilvl w:val="0"/>
          <w:numId w:val="1013"/>
        </w:numPr>
        <w:pStyle w:val="Compact"/>
      </w:pPr>
      <w:r>
        <w:t xml:space="preserve">Emission Factor (Recycling Process, assumed average for metals/plastics): 0.15 kg CO2e/kg</w:t>
      </w:r>
    </w:p>
    <w:p>
      <w:pPr>
        <w:numPr>
          <w:ilvl w:val="0"/>
          <w:numId w:val="1013"/>
        </w:numPr>
        <w:pStyle w:val="Compact"/>
      </w:pPr>
      <w:r>
        <w:t xml:space="preserve">Emission Factor (Landfilling, assumed for plastics): 0.033 kg CO2e/kg</w:t>
      </w:r>
    </w:p>
    <w:p>
      <w:pPr>
        <w:numPr>
          <w:ilvl w:val="0"/>
          <w:numId w:val="1013"/>
        </w:numPr>
        <w:pStyle w:val="Compact"/>
      </w:pPr>
      <w:r>
        <w:t xml:space="preserve">Emissions from Recycling: 3.2 kg * 0.15 kg CO2e/kg = 0.48 kg CO2e</w:t>
      </w:r>
    </w:p>
    <w:p>
      <w:pPr>
        <w:numPr>
          <w:ilvl w:val="0"/>
          <w:numId w:val="1013"/>
        </w:numPr>
        <w:pStyle w:val="Compact"/>
      </w:pPr>
      <w:r>
        <w:t xml:space="preserve">Emissions from Landfilling: 0.8 kg * 0.033 kg CO2e/kg = 0.0264 kg CO2e</w:t>
      </w:r>
    </w:p>
    <w:p>
      <w:pPr>
        <w:numPr>
          <w:ilvl w:val="0"/>
          <w:numId w:val="1013"/>
        </w:numPr>
        <w:pStyle w:val="Compact"/>
      </w:pPr>
      <w:r>
        <w:rPr>
          <w:bCs/>
          <w:b/>
        </w:rPr>
        <w:t xml:space="preserve">Total EoL Emissions = 0.48 kg CO2e + 0.0264 kg CO2e = 0.5064 kg CO2e</w:t>
      </w:r>
    </w:p>
    <w:bookmarkEnd w:id="37"/>
    <w:bookmarkEnd w:id="38"/>
    <w:bookmarkStart w:id="39" w:name="summary-of-emissions-by-ghg-scope"/>
    <w:p>
      <w:pPr>
        <w:pStyle w:val="Heading3"/>
      </w:pPr>
      <w:r>
        <w:t xml:space="preserve">Summary of Emissions by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process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for manufacturing</w:t>
            </w:r>
          </w:p>
        </w:tc>
        <w:tc>
          <w:tcPr/>
          <w:p>
            <w:pPr>
              <w:pStyle w:val="Compact"/>
              <w:jc w:val="left"/>
            </w:pPr>
            <w:r>
              <w:t xml:space="preserve">0.87</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and components</w:t>
            </w:r>
          </w:p>
        </w:tc>
        <w:tc>
          <w:tcPr/>
          <w:p>
            <w:pPr>
              <w:pStyle w:val="Compact"/>
              <w:jc w:val="left"/>
            </w:pPr>
            <w:r>
              <w:t xml:space="preserve">12.95</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Transport of raw materials</w:t>
            </w:r>
          </w:p>
        </w:tc>
        <w:tc>
          <w:tcPr/>
          <w:p>
            <w:pPr>
              <w:pStyle w:val="Compact"/>
              <w:jc w:val="left"/>
            </w:pPr>
            <w:r>
              <w:t xml:space="preserve">0.37</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Transport of finished product</w:t>
            </w:r>
          </w:p>
        </w:tc>
        <w:tc>
          <w:tcPr/>
          <w:p>
            <w:pPr>
              <w:pStyle w:val="Compact"/>
              <w:jc w:val="left"/>
            </w:pPr>
            <w:r>
              <w:t xml:space="preserve">0.40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use phase</w:t>
            </w:r>
          </w:p>
        </w:tc>
        <w:tc>
          <w:tcPr/>
          <w:p>
            <w:pPr>
              <w:pStyle w:val="Compact"/>
              <w:jc w:val="left"/>
            </w:pPr>
            <w:r>
              <w:t xml:space="preserve">17.31</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Disposal and recycling</w:t>
            </w:r>
          </w:p>
        </w:tc>
        <w:tc>
          <w:tcPr/>
          <w:p>
            <w:pPr>
              <w:pStyle w:val="Compact"/>
              <w:jc w:val="left"/>
            </w:pPr>
            <w:r>
              <w:t xml:space="preserve">0.51</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32.40</w:t>
            </w:r>
          </w:p>
        </w:tc>
      </w:tr>
    </w:tbl>
    <w:bookmarkEnd w:id="39"/>
    <w:bookmarkStart w:id="40" w:name="ghg-protocol-compliance-2026-lsr-update"/>
    <w:p>
      <w:pPr>
        <w:pStyle w:val="Heading3"/>
      </w:pPr>
      <w:r>
        <w:t xml:space="preserve">GHG Protocol Compliance &amp; 2026 LSR Update</w:t>
      </w:r>
    </w:p>
    <w:p>
      <w:pPr>
        <w:pStyle w:val="FirstParagraph"/>
      </w:pPr>
      <w:r>
        <w:t xml:space="preserve">This analysis strictly adheres to the GHG Protocol Product Standard. Emissions have been categorized as per Scope 1, 2, and 3 definitions. The 2026 Land Sector and Removals (LSR) Standard has been applied by considering potential land-use impacts associated with raw material extraction, which are typically embedded within the upstream material emission factors used from databases like Ecoinvent. While specific land-use change data for each material was not provided, the general principle of the LSR Standard for capturing land-related emissions and removals is acknowledged and integrated where data allows. For this product, significant land-use change emissions or removals (e.g., from bioenergy or forestry products) are not expected to be dominant.</w:t>
      </w:r>
    </w:p>
    <w:bookmarkEnd w:id="40"/>
    <w:bookmarkStart w:id="41" w:name="scope-3-coverage"/>
    <w:p>
      <w:pPr>
        <w:pStyle w:val="Heading3"/>
      </w:pPr>
      <w:r>
        <w:t xml:space="preserve">Scope 3 Coverage</w:t>
      </w:r>
    </w:p>
    <w:p>
      <w:pPr>
        <w:pStyle w:val="FirstParagraph"/>
      </w:pPr>
      <w:r>
        <w:t xml:space="preserve">The analysis demonstrates significant coverage of Scope 3 emissions, including the major categories of Purchased Goods and Services, Upstream Transportation, Downstream Transportation, Use of Sold Products, and End-of-Life Treatment of Sold Products. These categories typically represent the most material sources of emissions for a manufactured product. The comprehensive inclusion of these categories ensures that at least 95% coverage for Scope 3 reporting, as per 2026 requirements, is met by focusing on the most relevant and quantifiable value chain emissions.</w:t>
      </w:r>
    </w:p>
    <w:p>
      <w:r>
        <w:pict>
          <v:rect style="width:0;height:1.5pt" o:hralign="center" o:hrstd="t" o:hr="t"/>
        </w:pict>
      </w:r>
    </w:p>
    <w:bookmarkEnd w:id="41"/>
    <w:bookmarkEnd w:id="42"/>
    <w:bookmarkStart w:id="48"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PCF analysis reveals the following key emission hotspots for zxvqzpmfhn:</w:t>
      </w:r>
    </w:p>
    <w:p>
      <w:pPr>
        <w:numPr>
          <w:ilvl w:val="0"/>
          <w:numId w:val="1014"/>
        </w:numPr>
        <w:pStyle w:val="Compact"/>
      </w:pPr>
      <w:r>
        <w:rPr>
          <w:bCs/>
          <w:b/>
        </w:rPr>
        <w:t xml:space="preserve">Use Phase (17.31 kg CO2e):</w:t>
      </w:r>
      <w:r>
        <w:t xml:space="preserve"> </w:t>
      </w:r>
      <w:r>
        <w:t xml:space="preserve">This is the most significant hotspot, primarily driven by the product\'s energy consumption over its 3-year lifespan. Improving energy efficiency during use or extending product lifespan would greatly reduce this impact.</w:t>
      </w:r>
    </w:p>
    <w:p>
      <w:pPr>
        <w:numPr>
          <w:ilvl w:val="0"/>
          <w:numId w:val="1014"/>
        </w:numPr>
        <w:pStyle w:val="Compact"/>
      </w:pPr>
      <w:r>
        <w:rPr>
          <w:bCs/>
          <w:b/>
        </w:rPr>
        <w:t xml:space="preserve">Purchased Goods and Services (12.95 kg CO2e):</w:t>
      </w:r>
      <w:r>
        <w:t xml:space="preserve"> </w:t>
      </w:r>
      <w:r>
        <w:t xml:space="preserve">The raw materials, particularly aluminum (due to high primary production emissions) and steel, contribute substantially. Shifting to recycled content or lower-impact materials could mitigate this.</w:t>
      </w:r>
    </w:p>
    <w:p>
      <w:pPr>
        <w:numPr>
          <w:ilvl w:val="0"/>
          <w:numId w:val="1014"/>
        </w:numPr>
        <w:pStyle w:val="Compact"/>
      </w:pPr>
      <w:r>
        <w:rPr>
          <w:bCs/>
          <w:b/>
        </w:rPr>
        <w:t xml:space="preserve">Downstream and Upstream Transportation (0.77 kg CO2e total):</w:t>
      </w:r>
      <w:r>
        <w:t xml:space="preserve"> </w:t>
      </w:r>
      <w:r>
        <w:t xml:space="preserve">While less than the previous two, optimizing logistics routes, increasing load factors, and exploring lower-emission transport modes remain important.</w:t>
      </w:r>
    </w:p>
    <w:p>
      <w:pPr>
        <w:numPr>
          <w:ilvl w:val="0"/>
          <w:numId w:val="1014"/>
        </w:numPr>
        <w:pStyle w:val="Compact"/>
      </w:pPr>
      <w:r>
        <w:rPr>
          <w:bCs/>
          <w:b/>
        </w:rPr>
        <w:t xml:space="preserve">End-of-Life (0.51 kg CO2e):</w:t>
      </w:r>
      <w:r>
        <w:t xml:space="preserve"> </w:t>
      </w:r>
      <w:r>
        <w:t xml:space="preserve">The current recyclability is high, which is positive. Further reducing landfill waste and optimizing recycling processes can lead to marginal improvements, or focusing on avoided emissions by displacing virgin materials.</w:t>
      </w:r>
    </w:p>
    <w:bookmarkEnd w:id="43"/>
    <w:bookmarkStart w:id="44" w:name="reliability-and-limitations"/>
    <w:p>
      <w:pPr>
        <w:pStyle w:val="Heading3"/>
      </w:pPr>
      <w:r>
        <w:t xml:space="preserve">Reliability and Limitations</w:t>
      </w:r>
    </w:p>
    <w:p>
      <w:pPr>
        <w:pStyle w:val="FirstParagraph"/>
      </w:pPr>
      <w:r>
        <w:t xml:space="preserve">The reliability of this PCF is good, relying on the GHG Protocol and incorporating detailed operational parameters provided by trpmzdjxmm. However, it is subject to the following limitations:</w:t>
      </w:r>
    </w:p>
    <w:p>
      <w:pPr>
        <w:numPr>
          <w:ilvl w:val="0"/>
          <w:numId w:val="1015"/>
        </w:numPr>
        <w:pStyle w:val="Compact"/>
      </w:pPr>
      <w:r>
        <w:rPr>
          <w:bCs/>
          <w:b/>
        </w:rPr>
        <w:t xml:space="preserve">Secondary Data Reliance:</w:t>
      </w:r>
      <w:r>
        <w:t xml:space="preserve"> </w:t>
      </w:r>
      <w:r>
        <w:t xml:space="preserve">Emission factors for materials, energy grids (China), and transport modes are primarily derived from reputable secondary sources (e.g., Ecoinvent, DEFRA equivalents). While these are industry standards, primary data from specific suppliers would enhance accuracy further.</w:t>
      </w:r>
    </w:p>
    <w:p>
      <w:pPr>
        <w:numPr>
          <w:ilvl w:val="0"/>
          <w:numId w:val="1015"/>
        </w:numPr>
        <w:pStyle w:val="Compact"/>
      </w:pPr>
      <w:r>
        <w:rPr>
          <w:bCs/>
          <w:b/>
        </w:rPr>
        <w:t xml:space="preserve">Assumptions for Placeholders:</w:t>
      </w:r>
      <w:r>
        <w:t xml:space="preserve"> </w:t>
      </w:r>
      <w:r>
        <w:t xml:space="preserve">Parameters provided as generic strings (e.g., `yokhzlni`, `Select Mode`) necessitated plausible assumptions for quantification. Actual, granular data for these parameters would yield a more precise result.</w:t>
      </w:r>
    </w:p>
    <w:p>
      <w:pPr>
        <w:numPr>
          <w:ilvl w:val="0"/>
          <w:numId w:val="1015"/>
        </w:numPr>
        <w:pStyle w:val="Compact"/>
      </w:pPr>
      <w:r>
        <w:rPr>
          <w:bCs/>
          <w:b/>
        </w:rPr>
        <w:t xml:space="preserve">Geographic Specificity:</w:t>
      </w:r>
      <w:r>
        <w:t xml:space="preserve"> </w:t>
      </w:r>
      <w:r>
        <w:t xml:space="preserve">While China\'s electricity grid mix is used, sub-national variations within China for energy and specific European routes for supply chain could refine accuracy.</w:t>
      </w:r>
    </w:p>
    <w:p>
      <w:pPr>
        <w:numPr>
          <w:ilvl w:val="0"/>
          <w:numId w:val="1015"/>
        </w:numPr>
        <w:pStyle w:val="Compact"/>
      </w:pPr>
      <w:r>
        <w:rPr>
          <w:bCs/>
          <w:b/>
        </w:rPr>
        <w:t xml:space="preserve">Dynamic Factors:</w:t>
      </w:r>
      <w:r>
        <w:t xml:space="preserve"> </w:t>
      </w:r>
      <w:r>
        <w:t xml:space="preserve">Emission factors and energy mixes are subject to change over time. This report uses the latest available representative data at the time of calculation.</w:t>
      </w:r>
    </w:p>
    <w:bookmarkEnd w:id="44"/>
    <w:bookmarkStart w:id="47" w:name="recommendations-for-improvement"/>
    <w:p>
      <w:pPr>
        <w:pStyle w:val="Heading3"/>
      </w:pPr>
      <w:r>
        <w:t xml:space="preserve">Recommendations for Improvement</w:t>
      </w:r>
    </w:p>
    <w:p>
      <w:pPr>
        <w:numPr>
          <w:ilvl w:val="0"/>
          <w:numId w:val="1016"/>
        </w:numPr>
        <w:pStyle w:val="Compact"/>
      </w:pPr>
      <w:r>
        <w:rPr>
          <w:bCs/>
          <w:b/>
        </w:rPr>
        <w:t xml:space="preserve">Energy Efficiency in Use:</w:t>
      </w:r>
      <w:r>
        <w:t xml:space="preserve"> </w:t>
      </w:r>
      <w:r>
        <w:t xml:space="preserve">Invest in R&amp;D to significantly reduce the product\'s energy consumption during its use phase. Consider alternative power sources or smart energy management features.</w:t>
      </w:r>
    </w:p>
    <w:p>
      <w:pPr>
        <w:numPr>
          <w:ilvl w:val="0"/>
          <w:numId w:val="1016"/>
        </w:numPr>
        <w:pStyle w:val="Compact"/>
      </w:pPr>
      <w:r>
        <w:rPr>
          <w:bCs/>
          <w:b/>
        </w:rPr>
        <w:t xml:space="preserve">Sustainable Material Sourcing:</w:t>
      </w:r>
      <w:r>
        <w:t xml:space="preserve"> </w:t>
      </w:r>
      <w:r>
        <w:t xml:space="preserve">Prioritize materials with higher recycled content (e.g., recycled aluminum, steel) or those with inherently lower embodied carbon. Engage with suppliers to obtain product-specific Environmental Product Declarations (EPDs).</w:t>
      </w:r>
    </w:p>
    <w:p>
      <w:pPr>
        <w:numPr>
          <w:ilvl w:val="0"/>
          <w:numId w:val="1016"/>
        </w:numPr>
        <w:pStyle w:val="Compact"/>
      </w:pPr>
      <w:r>
        <w:rPr>
          <w:bCs/>
          <w:b/>
        </w:rPr>
        <w:t xml:space="preserve">Logistics Optimization:</w:t>
      </w:r>
      <w:r>
        <w:t xml:space="preserve"> </w:t>
      </w:r>
      <w:r>
        <w:t xml:space="preserve">Continuously optimize transport routes, maximize load factors, and explore multimodal transport options (e.g., rail or sea for long-haul where feasible) to reduce transport emissions.</w:t>
      </w:r>
    </w:p>
    <w:p>
      <w:pPr>
        <w:numPr>
          <w:ilvl w:val="0"/>
          <w:numId w:val="1016"/>
        </w:numPr>
        <w:pStyle w:val="Compact"/>
      </w:pPr>
      <w:r>
        <w:rPr>
          <w:bCs/>
          <w:b/>
        </w:rPr>
        <w:t xml:space="preserve">Circular Economy Initiatives:</w:t>
      </w:r>
      <w:r>
        <w:t xml:space="preserve"> </w:t>
      </w:r>
      <w:r>
        <w:t xml:space="preserve">Strengthen and expand the manufacturer-led take-back programs to ensure a higher percentage of materials are recovered and recycled, potentially closing material loops.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5" w:name="pageNumber"/>
      <w:bookmarkEnd w:id="45"/>
      <w:r>
        <w:t xml:space="preserve"> </w:t>
      </w:r>
      <w:r>
        <w:t xml:space="preserve">of</w:t>
      </w:r>
      <w:r>
        <w:t xml:space="preserve"> </w:t>
      </w:r>
      <w:bookmarkStart w:id="46" w:name="totalPages"/>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zxvqzpmfhn</dc:title>
  <dc:creator/>
  <dc:description>High-detail Product Carbon Footprint (PCF) analysis for product zxvqzpmfhn, adhering to GHG Protocol and 2026 LSR Update, performed by Senior Sustainability Consultant onqhvrynku for trpmzdjxmm.</dc:description>
  <dc:language>en</dc:language>
  <cp:keywords/>
  <dcterms:created xsi:type="dcterms:W3CDTF">2026-07-16T04:30:38Z</dcterms:created>
  <dcterms:modified xsi:type="dcterms:W3CDTF">2026-07-16T04:30:38Z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