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zxgrkokdys</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zxgrkokdys</w:t>
      </w:r>
    </w:p>
    <w:p>
      <w:pPr>
        <w:pStyle w:val="BodyText"/>
      </w:pPr>
      <w:r>
        <w:rPr>
          <w:bCs/>
          <w:b/>
        </w:rPr>
        <w:t xml:space="preserve">Company:</w:t>
      </w:r>
      <w:r>
        <w:t xml:space="preserve"> </w:t>
      </w:r>
      <w:r>
        <w:t xml:space="preserve">zjhrvqgsho</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zoimulsylg</w:t>
      </w:r>
    </w:p>
    <w:p>
      <w:pPr>
        <w:pStyle w:val="BodyText"/>
      </w:pPr>
      <w:r>
        <w:t xml:space="preserve">Disclaimer: This report is generated based on available data and industry standards, providing an estimate of the product\'s carbon footprint. Accuracy is dependent on the completeness and precision of the input data and chosen emission factors.</w:t>
      </w:r>
    </w:p>
    <w:bookmarkEnd w:id="20"/>
    <w:bookmarkStart w:id="45" w:name="X9d447a44295f34ec3ce0a70a9fffc2958482d02"/>
    <w:p>
      <w:pPr>
        <w:pStyle w:val="Heading1"/>
      </w:pPr>
      <w:r>
        <w:t xml:space="preserve">Product Carbon Footprint Analysis Report for zxgrkokdys</w:t>
      </w:r>
    </w:p>
    <w:p>
      <w:pPr>
        <w:pStyle w:val="FirstParagraph"/>
      </w:pPr>
      <w:r>
        <w:rPr>
          <w:bCs/>
          <w:b/>
        </w:rPr>
        <w:t xml:space="preserve">Generated Date:</w:t>
      </w:r>
      <w:r>
        <w:t xml:space="preserve"> </w:t>
      </w:r>
      <w:r>
        <w:t xml:space="preserve">May 20, 2026</w:t>
      </w:r>
    </w:p>
    <w:p>
      <w:r>
        <w:pict>
          <v:rect style="width:0;height:1.5pt" o:hralign="center" o:hrstd="t" o:hr="t"/>
        </w:pict>
      </w:r>
    </w:p>
    <w:bookmarkStart w:id="21" w:name="executive-summary"/>
    <w:p>
      <w:pPr>
        <w:pStyle w:val="Heading2"/>
      </w:pPr>
      <w:r>
        <w:t xml:space="preserve">1. Executive Summary</w:t>
      </w:r>
    </w:p>
    <w:p>
      <w:pPr>
        <w:pStyle w:val="FirstParagraph"/>
      </w:pPr>
      <w:r>
        <w:t xml:space="preserve">This report presents a high-detail Product Carbon Footprint (PCF) analysis for \'zxgrkokdys\', manufactured by \'zjhrvqgsho\'. Conducted by \'zoimulsylg\', a Senior Sustainability Consultant specializing in GHG Protocol, this analysis quantifies the greenhouse gas (GHG) emissions associated with the product\'s lifecycle from a \'factory_gate\' system boundary perspective, with additional insights into use-phase and end-of-life impacts as requested. The study strictly adheres to the GHG Protocol Corporate Standard, including considerations for the 2026 Land Sector and Removals (LSR) update and ensuring robust Scope 3 compliance. The objective is to identify emissions hotspots and provide \'zjhrvqgsho\' with actionable insights for enhancing the sustainability of \'zxgrkokdys\'.</w:t>
      </w:r>
    </w:p>
    <w:p>
      <w:r>
        <w:pict>
          <v:rect style="width:0;height:1.5pt" o:hralign="center" o:hrstd="t" o:hr="t"/>
        </w:pict>
      </w:r>
    </w:p>
    <w:bookmarkEnd w:id="21"/>
    <w:bookmarkStart w:id="31" w:name="methodology"/>
    <w:p>
      <w:pPr>
        <w:pStyle w:val="Heading2"/>
      </w:pPr>
      <w:r>
        <w:t xml:space="preserve">2. Methodology</w:t>
      </w:r>
    </w:p>
    <w:p>
      <w:pPr>
        <w:pStyle w:val="FirstParagraph"/>
      </w:pPr>
      <w:r>
        <w:t xml:space="preserve">The Product Carbon Footprint (PCF) analysis for \'zxgrkokdys\' was conducted following the five-step methodology prescribed by the GHG Protocol, ensuring a systematic and comprehensive assessment of greenhouse gas emissions across the product\'s lifecycle.</w:t>
      </w:r>
    </w:p>
    <w:bookmarkStart w:id="22"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1.0 unit of zxgrkokdys.</w:t>
      </w:r>
    </w:p>
    <w:p>
      <w:pPr>
        <w:numPr>
          <w:ilvl w:val="0"/>
          <w:numId w:val="1001"/>
        </w:numPr>
        <w:pStyle w:val="Compact"/>
      </w:pPr>
      <w:r>
        <w:rPr>
          <w:bCs/>
          <w:b/>
        </w:rPr>
        <w:t xml:space="preserve">System Boundary:</w:t>
      </w:r>
      <w:r>
        <w:t xml:space="preserve"> </w:t>
      </w:r>
      <w:r>
        <w:t xml:space="preserve">factory_gate. This boundary encompasses all activities from raw material extraction, through manufacturing processes, up to the point the finished product leaves the factory gate.</w:t>
      </w:r>
    </w:p>
    <w:p>
      <w:pPr>
        <w:numPr>
          <w:ilvl w:val="0"/>
          <w:numId w:val="1001"/>
        </w:numPr>
        <w:pStyle w:val="Compact"/>
      </w:pPr>
      <w:r>
        <w:rPr>
          <w:bCs/>
          <w:b/>
        </w:rPr>
        <w:t xml:space="preserve">Geographic Scope:</w:t>
      </w:r>
      <w:r>
        <w:t xml:space="preserve"> </w:t>
      </w:r>
      <w:r>
        <w:t xml:space="preserve">Final Production Country: China. Supply Chain Focus: Europe Focused. This implies primary material sourcing and upstream processing are primarily considered from European suppliers, with final manufacturing in China.</w:t>
      </w:r>
    </w:p>
    <w:p>
      <w:pPr>
        <w:numPr>
          <w:ilvl w:val="0"/>
          <w:numId w:val="1001"/>
        </w:numPr>
        <w:pStyle w:val="Compact"/>
      </w:pPr>
      <w:r>
        <w:rPr>
          <w:bCs/>
          <w:b/>
        </w:rPr>
        <w:t xml:space="preserve">Accounting Standard:</w:t>
      </w:r>
      <w:r>
        <w:t xml:space="preserve"> </w:t>
      </w:r>
      <w:r>
        <w:t xml:space="preserve">GHG Protocol Product Standard. Emissions are categorized into Scope 1 (direct emissions from owned or controlled sources), Scope 2 (indirect emissions from the generation of purchased energy), and Scope 3 (all other indirect emissions in the value chain).</w:t>
      </w:r>
    </w:p>
    <w:p>
      <w:pPr>
        <w:numPr>
          <w:ilvl w:val="0"/>
          <w:numId w:val="1001"/>
        </w:numPr>
        <w:pStyle w:val="Compact"/>
      </w:pPr>
      <w:r>
        <w:rPr>
          <w:bCs/>
          <w:b/>
        </w:rPr>
        <w:t xml:space="preserve">Allocation:</w:t>
      </w:r>
      <w:r>
        <w:t xml:space="preserve"> </w:t>
      </w:r>
      <w:r>
        <w:t xml:space="preserve">All emissions are directly allocated to the functional unit (1.0 unit of zxgrkokdys) as a single product PCF.</w:t>
      </w:r>
    </w:p>
    <w:bookmarkEnd w:id="22"/>
    <w:bookmarkStart w:id="23" w:name="map-lifecycle-lci-inventory-stages"/>
    <w:p>
      <w:pPr>
        <w:pStyle w:val="Heading3"/>
      </w:pPr>
      <w:r>
        <w:t xml:space="preserve">2.2. Map Lifecycle (LCI Inventory Stages)</w:t>
      </w:r>
    </w:p>
    <w:p>
      <w:pPr>
        <w:pStyle w:val="FirstParagraph"/>
      </w:pPr>
      <w:r>
        <w:t xml:space="preserve">The lifecycle mapping identified the following stages as relevant for the \'factory_gate\' boundary, with additional stages included for a holistic view as per requirements:</w:t>
      </w:r>
    </w:p>
    <w:p>
      <w:pPr>
        <w:numPr>
          <w:ilvl w:val="0"/>
          <w:numId w:val="1002"/>
        </w:numPr>
        <w:pStyle w:val="Compact"/>
      </w:pPr>
      <w:r>
        <w:rPr>
          <w:bCs/>
          <w:b/>
        </w:rPr>
        <w:t xml:space="preserve">Raw Material Acquisition &amp; Pre-processing (Scope 3, Category 1):</w:t>
      </w:r>
      <w:r>
        <w:t xml:space="preserve"> </w:t>
      </w:r>
      <w:r>
        <w:t xml:space="preserve">Extraction, processing, and refining of all components listed in the Detailed Bill of Materials (BOM).</w:t>
      </w:r>
    </w:p>
    <w:p>
      <w:pPr>
        <w:numPr>
          <w:ilvl w:val="0"/>
          <w:numId w:val="1002"/>
        </w:numPr>
        <w:pStyle w:val="Compact"/>
      </w:pPr>
      <w:r>
        <w:rPr>
          <w:bCs/>
          <w:b/>
        </w:rPr>
        <w:t xml:space="preserve">Transportation of Materials (Scope 3, Category 4):</w:t>
      </w:r>
      <w:r>
        <w:t xml:space="preserve"> </w:t>
      </w:r>
      <w:r>
        <w:t xml:space="preserve">Logistics of raw materials and components from suppliers (primarily Europe-focused) to the manufacturing facility in China.</w:t>
      </w:r>
    </w:p>
    <w:p>
      <w:pPr>
        <w:numPr>
          <w:ilvl w:val="0"/>
          <w:numId w:val="1002"/>
        </w:numPr>
        <w:pStyle w:val="Compact"/>
      </w:pPr>
      <w:r>
        <w:rPr>
          <w:bCs/>
          <w:b/>
        </w:rPr>
        <w:t xml:space="preserve">Manufacturing/Production (Scope 1 &amp; 2):</w:t>
      </w:r>
      <w:r>
        <w:t xml:space="preserve"> </w:t>
      </w:r>
      <w:r>
        <w:t xml:space="preserve">Energy consumption and direct process emissions during the assembly and production of zxgrkokdys at the factory in China.</w:t>
      </w:r>
    </w:p>
    <w:p>
      <w:pPr>
        <w:numPr>
          <w:ilvl w:val="0"/>
          <w:numId w:val="1002"/>
        </w:numPr>
        <w:pStyle w:val="Compact"/>
      </w:pPr>
      <w:r>
        <w:rPr>
          <w:bCs/>
          <w:b/>
        </w:rPr>
        <w:t xml:space="preserve">Use Phase (Scope 3, Category 11):</w:t>
      </w:r>
      <w:r>
        <w:t xml:space="preserve"> </w:t>
      </w:r>
      <w:r>
        <w:t xml:space="preserve">Energy consumption by the product during its expected lifespan (</w:t>
      </w:r>
      <w:r>
        <w:rPr>
          <w:iCs/>
          <w:i/>
        </w:rPr>
        <w:t xml:space="preserve">Note: This phase is typically outside a \'factory_gate\' boundary but included per report requirements for a holistic view</w:t>
      </w:r>
      <w:r>
        <w:t xml:space="preserve">).</w:t>
      </w:r>
    </w:p>
    <w:p>
      <w:pPr>
        <w:numPr>
          <w:ilvl w:val="0"/>
          <w:numId w:val="1002"/>
        </w:numPr>
        <w:pStyle w:val="Compact"/>
      </w:pPr>
      <w:r>
        <w:rPr>
          <w:bCs/>
          <w:b/>
        </w:rPr>
        <w:t xml:space="preserve">End-of-Life (EoL) Treatment (Scope 3, Category 12):</w:t>
      </w:r>
      <w:r>
        <w:t xml:space="preserve"> </w:t>
      </w:r>
      <w:r>
        <w:t xml:space="preserve">Disposal or recycling processes for the product at the end of its lifespan, accounting for recyclability and circular programs (</w:t>
      </w:r>
      <w:r>
        <w:rPr>
          <w:iCs/>
          <w:i/>
        </w:rPr>
        <w:t xml:space="preserve">Note: This phase is typically outside a \'factory_gate\' boundary but included per report requirements for a holistic view</w:t>
      </w:r>
      <w:r>
        <w:t xml:space="preserve">).</w:t>
      </w:r>
    </w:p>
    <w:bookmarkEnd w:id="23"/>
    <w:bookmarkStart w:id="30" w:name="Xb57f50a89bf1f3f1837369be949d9d60d6c1272"/>
    <w:p>
      <w:pPr>
        <w:pStyle w:val="Heading3"/>
      </w:pPr>
      <w:r>
        <w:t xml:space="preserve">2.3. Collect Data (Primary/Secondary Data Points)</w:t>
      </w:r>
    </w:p>
    <w:p>
      <w:pPr>
        <w:pStyle w:val="FirstParagraph"/>
      </w:pPr>
      <w:r>
        <w:t xml:space="preserve">Data collection prioritized primary data where available and supplemented with secondary, industry-average data where primary data was unavailable.</w:t>
      </w:r>
    </w:p>
    <w:bookmarkStart w:id="24" w:name="X5dcdea58af1838403fcd95c17fde18bc55ed936"/>
    <w:p>
      <w:pPr>
        <w:pStyle w:val="Heading4"/>
      </w:pPr>
      <w:r>
        <w:t xml:space="preserve">2.3.1. Detailed Bill of Materials (BOM) - Raw Materials &amp; Components (Scope 3, Category 1)</w:t>
      </w:r>
    </w:p>
    <w:p>
      <w:pPr>
        <w:pStyle w:val="FirstParagraph"/>
      </w:pPr>
      <w:r>
        <w:t xml:space="preserve">The following specific BOM data (\'phktipok\') was utilized for high-accuracy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Frame</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2</w:t>
            </w:r>
          </w:p>
        </w:tc>
        <w:tc>
          <w:tcPr/>
          <w:p>
            <w:pPr>
              <w:pStyle w:val="Compact"/>
              <w:jc w:val="left"/>
            </w:pPr>
            <w:r>
              <w:t xml:space="preserve">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2</w:t>
            </w:r>
          </w:p>
        </w:tc>
        <w:tc>
          <w:tcPr/>
          <w:p>
            <w:pPr>
              <w:pStyle w:val="Compact"/>
              <w:jc w:val="left"/>
            </w:pPr>
            <w:r>
              <w:t xml:space="preserve">kg</w:t>
            </w:r>
          </w:p>
        </w:tc>
        <w:tc>
          <w:tcPr/>
          <w:p>
            <w:pPr>
              <w:pStyle w:val="Compact"/>
              <w:jc w:val="left"/>
            </w:pPr>
            <w:r>
              <w:t xml:space="preserve">3.0</w:t>
            </w:r>
          </w:p>
        </w:tc>
        <w:tc>
          <w:tcPr/>
          <w:p>
            <w:pPr>
              <w:pStyle w:val="Compact"/>
              <w:jc w:val="left"/>
            </w:pPr>
            <w:r>
              <w:t xml:space="preserve">6.0</w:t>
            </w:r>
          </w:p>
        </w:tc>
      </w:tr>
      <w:tr>
        <w:tc>
          <w:tcPr/>
          <w:p>
            <w:pPr>
              <w:pStyle w:val="Compact"/>
              <w:jc w:val="left"/>
            </w:pPr>
            <w:r>
              <w:t xml:space="preserve">3</w:t>
            </w:r>
          </w:p>
        </w:tc>
        <w:tc>
          <w:tcPr/>
          <w:p>
            <w:pPr>
              <w:pStyle w:val="Compact"/>
              <w:jc w:val="left"/>
            </w:pPr>
            <w:r>
              <w:t xml:space="preserve">Electronic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7.5</w:t>
            </w:r>
          </w:p>
        </w:tc>
      </w:tr>
    </w:tbl>
    <w:bookmarkEnd w:id="24"/>
    <w:bookmarkStart w:id="25" w:name="energy-inputs-for-production-scope-2"/>
    <w:p>
      <w:pPr>
        <w:pStyle w:val="Heading4"/>
      </w:pPr>
      <w:r>
        <w:t xml:space="preserve">2.3.2. Energy Inputs for Production (Scope 2)</w:t>
      </w:r>
    </w:p>
    <w:p>
      <w:pPr>
        <w:numPr>
          <w:ilvl w:val="0"/>
          <w:numId w:val="1003"/>
        </w:numPr>
        <w:pStyle w:val="Compact"/>
      </w:pPr>
      <w:r>
        <w:rPr>
          <w:bCs/>
          <w:b/>
        </w:rPr>
        <w:t xml:space="preserve">Energy Intensity (kWh/unit):</w:t>
      </w:r>
      <w:r>
        <w:t xml:space="preserve"> </w:t>
      </w:r>
      <w:r>
        <w:t xml:space="preserve">10 kWh/unit (as \'zetvtpveyw\')</w:t>
      </w:r>
    </w:p>
    <w:p>
      <w:pPr>
        <w:numPr>
          <w:ilvl w:val="0"/>
          <w:numId w:val="1003"/>
        </w:numPr>
        <w:pStyle w:val="Compact"/>
      </w:pPr>
      <w:r>
        <w:rPr>
          <w:bCs/>
          <w:b/>
        </w:rPr>
        <w:t xml:space="preserve">Renewable Energy Usage:</w:t>
      </w:r>
      <w:r>
        <w:t xml:space="preserve"> </w:t>
      </w:r>
      <w:r>
        <w:t xml:space="preserve">50% (as \'jkiurvxrlz\')</w:t>
      </w:r>
    </w:p>
    <w:p>
      <w:pPr>
        <w:numPr>
          <w:ilvl w:val="0"/>
          <w:numId w:val="1003"/>
        </w:numPr>
        <w:pStyle w:val="Compact"/>
      </w:pPr>
      <w:r>
        <w:rPr>
          <w:bCs/>
          <w:b/>
        </w:rPr>
        <w:t xml:space="preserve">Grid Electricity Emission Factor (China):</w:t>
      </w:r>
      <w:r>
        <w:t xml:space="preserve"> </w:t>
      </w:r>
      <w:r>
        <w:t xml:space="preserve">0.57 kg CO2e/kWh (approximate 2023 average for China\'s grid mix).</w:t>
      </w:r>
    </w:p>
    <w:bookmarkEnd w:id="25"/>
    <w:bookmarkStart w:id="26" w:name="logistics-data-scope-3-category-4"/>
    <w:p>
      <w:pPr>
        <w:pStyle w:val="Heading4"/>
      </w:pPr>
      <w:r>
        <w:t xml:space="preserve">2.3.3. Logistics Data (Scope 3, Category 4)</w:t>
      </w:r>
    </w:p>
    <w:p>
      <w:pPr>
        <w:numPr>
          <w:ilvl w:val="0"/>
          <w:numId w:val="1004"/>
        </w:numPr>
        <w:pStyle w:val="Compact"/>
      </w:pPr>
      <w:r>
        <w:rPr>
          <w:bCs/>
          <w:b/>
        </w:rPr>
        <w:t xml:space="preserve">Primary Transport Mode (Europe to China):</w:t>
      </w:r>
      <w:r>
        <w:t xml:space="preserve"> </w:t>
      </w:r>
      <w:r>
        <w:t xml:space="preserve">Ocean Freight (Illustrative default for \'Select Mode\')</w:t>
      </w:r>
    </w:p>
    <w:p>
      <w:pPr>
        <w:numPr>
          <w:ilvl w:val="0"/>
          <w:numId w:val="1004"/>
        </w:numPr>
        <w:pStyle w:val="Compact"/>
      </w:pPr>
      <w:r>
        <w:rPr>
          <w:bCs/>
          <w:b/>
        </w:rPr>
        <w:t xml:space="preserve">Primary Transport Distance (Europe to China):</w:t>
      </w:r>
      <w:r>
        <w:t xml:space="preserve"> </w:t>
      </w:r>
      <w:r>
        <w:t xml:space="preserve">15,000 km (Illustrative default for \'uokxjufged\')</w:t>
      </w:r>
    </w:p>
    <w:p>
      <w:pPr>
        <w:numPr>
          <w:ilvl w:val="0"/>
          <w:numId w:val="1004"/>
        </w:numPr>
        <w:pStyle w:val="Compact"/>
      </w:pPr>
      <w:r>
        <w:rPr>
          <w:bCs/>
          <w:b/>
        </w:rPr>
        <w:t xml:space="preserve">Last-Mile Delivery Channel (to factory):</w:t>
      </w:r>
      <w:r>
        <w:t xml:space="preserve"> </w:t>
      </w:r>
      <w:r>
        <w:t xml:space="preserve">Road Freight (Heavy Goods Vehicle) (Illustrative default for \'Delivery Type\')</w:t>
      </w:r>
    </w:p>
    <w:p>
      <w:pPr>
        <w:numPr>
          <w:ilvl w:val="0"/>
          <w:numId w:val="1004"/>
        </w:numPr>
        <w:pStyle w:val="Compact"/>
      </w:pPr>
      <w:r>
        <w:rPr>
          <w:bCs/>
          <w:b/>
        </w:rPr>
        <w:t xml:space="preserve">Last-Mile Delivery Distance (to factory):</w:t>
      </w:r>
      <w:r>
        <w:t xml:space="preserve"> </w:t>
      </w:r>
      <w:r>
        <w:t xml:space="preserve">200 km (Illustrative default)</w:t>
      </w:r>
    </w:p>
    <w:p>
      <w:pPr>
        <w:numPr>
          <w:ilvl w:val="0"/>
          <w:numId w:val="1004"/>
        </w:numPr>
        <w:pStyle w:val="Compact"/>
      </w:pPr>
      <w:r>
        <w:rPr>
          <w:bCs/>
          <w:b/>
        </w:rPr>
        <w:t xml:space="preserve">Ocean Freight Emission Factor:</w:t>
      </w:r>
      <w:r>
        <w:t xml:space="preserve"> </w:t>
      </w:r>
      <w:r>
        <w:t xml:space="preserve">0.01 kg CO2e/tonne-km (illustrative industry average).</w:t>
      </w:r>
    </w:p>
    <w:p>
      <w:pPr>
        <w:numPr>
          <w:ilvl w:val="0"/>
          <w:numId w:val="1004"/>
        </w:numPr>
        <w:pStyle w:val="Compact"/>
      </w:pPr>
      <w:r>
        <w:rPr>
          <w:bCs/>
          <w:b/>
        </w:rPr>
        <w:t xml:space="preserve">Road Freight Emission Factor (HGV):</w:t>
      </w:r>
      <w:r>
        <w:t xml:space="preserve"> </w:t>
      </w:r>
      <w:r>
        <w:t xml:space="preserve">0.1 kg CO2e/tonne-km (illustrative industry average).</w:t>
      </w:r>
    </w:p>
    <w:bookmarkEnd w:id="26"/>
    <w:bookmarkStart w:id="27" w:name="use-phase-data-scope-3-category-11"/>
    <w:p>
      <w:pPr>
        <w:pStyle w:val="Heading4"/>
      </w:pPr>
      <w:r>
        <w:t xml:space="preserve">2.3.4. Use Phase Data (Scope 3, Category 11)</w:t>
      </w:r>
    </w:p>
    <w:p>
      <w:pPr>
        <w:numPr>
          <w:ilvl w:val="0"/>
          <w:numId w:val="1005"/>
        </w:numPr>
        <w:pStyle w:val="Compact"/>
      </w:pPr>
      <w:r>
        <w:rPr>
          <w:bCs/>
          <w:b/>
        </w:rPr>
        <w:t xml:space="preserve">Product Lifespan:</w:t>
      </w:r>
      <w:r>
        <w:t xml:space="preserve"> </w:t>
      </w:r>
      <w:r>
        <w:t xml:space="preserve">5 years (as \'gksgnopmgh\')</w:t>
      </w:r>
    </w:p>
    <w:p>
      <w:pPr>
        <w:numPr>
          <w:ilvl w:val="0"/>
          <w:numId w:val="1005"/>
        </w:numPr>
        <w:pStyle w:val="Compact"/>
      </w:pPr>
      <w:r>
        <w:rPr>
          <w:bCs/>
          <w:b/>
        </w:rPr>
        <w:t xml:space="preserve">Energy Consumption in Use:</w:t>
      </w:r>
      <w:r>
        <w:t xml:space="preserve"> </w:t>
      </w:r>
      <w:r>
        <w:t xml:space="preserve">20 kWh/year (as \'ofkmwuqgup\')</w:t>
      </w:r>
    </w:p>
    <w:p>
      <w:pPr>
        <w:numPr>
          <w:ilvl w:val="0"/>
          <w:numId w:val="1005"/>
        </w:numPr>
        <w:pStyle w:val="Compact"/>
      </w:pPr>
      <w:r>
        <w:rPr>
          <w:bCs/>
          <w:b/>
        </w:rPr>
        <w:t xml:space="preserve">Electricity Emission Factor (Global Average for User):</w:t>
      </w:r>
      <w:r>
        <w:t xml:space="preserve"> </w:t>
      </w:r>
      <w:r>
        <w:t xml:space="preserve">0.3 kg CO2e/kWh (illustrative global average grid mix, assuming varied user locations).</w:t>
      </w:r>
    </w:p>
    <w:bookmarkEnd w:id="27"/>
    <w:bookmarkStart w:id="28" w:name="X3261202975bfccb1283f2bd5fabef2dfdbe9c90"/>
    <w:p>
      <w:pPr>
        <w:pStyle w:val="Heading4"/>
      </w:pPr>
      <w:r>
        <w:t xml:space="preserve">2.3.5. End-of-Life (EoL) Scenarios (Scope 3, Category 12)</w:t>
      </w:r>
    </w:p>
    <w:p>
      <w:pPr>
        <w:numPr>
          <w:ilvl w:val="0"/>
          <w:numId w:val="1006"/>
        </w:numPr>
        <w:pStyle w:val="Compact"/>
      </w:pPr>
      <w:r>
        <w:rPr>
          <w:bCs/>
          <w:b/>
        </w:rPr>
        <w:t xml:space="preserve">Recyclability Percentage:</w:t>
      </w:r>
      <w:r>
        <w:t xml:space="preserve"> </w:t>
      </w:r>
      <w:r>
        <w:t xml:space="preserve">75% (as \'syxkrfkrqv\')</w:t>
      </w:r>
    </w:p>
    <w:p>
      <w:pPr>
        <w:numPr>
          <w:ilvl w:val="0"/>
          <w:numId w:val="1006"/>
        </w:numPr>
        <w:pStyle w:val="Compact"/>
      </w:pPr>
      <w:r>
        <w:rPr>
          <w:bCs/>
          <w:b/>
        </w:rPr>
        <w:t xml:space="preserve">Circular/Take-back Programs:</w:t>
      </w:r>
      <w:r>
        <w:t xml:space="preserve"> </w:t>
      </w:r>
      <w:r>
        <w:t xml:space="preserve">Yes, comprehensive take-back program in place (as \'wkoijoolpd\')</w:t>
      </w:r>
    </w:p>
    <w:p>
      <w:pPr>
        <w:numPr>
          <w:ilvl w:val="0"/>
          <w:numId w:val="1006"/>
        </w:numPr>
        <w:pStyle w:val="Compact"/>
      </w:pPr>
      <w:r>
        <w:rPr>
          <w:bCs/>
          <w:b/>
        </w:rPr>
        <w:t xml:space="preserve">EoL Landfill Emission Factor:</w:t>
      </w:r>
      <w:r>
        <w:t xml:space="preserve"> </w:t>
      </w:r>
      <w:r>
        <w:t xml:space="preserve">0.8 kg CO2e/kg (illustrative for mixed waste).</w:t>
      </w:r>
    </w:p>
    <w:p>
      <w:pPr>
        <w:numPr>
          <w:ilvl w:val="0"/>
          <w:numId w:val="1006"/>
        </w:numPr>
        <w:pStyle w:val="Compact"/>
      </w:pPr>
      <w:r>
        <w:rPr>
          <w:bCs/>
          <w:b/>
        </w:rPr>
        <w:t xml:space="preserve">EoL Recycling Credit Factor:</w:t>
      </w:r>
      <w:r>
        <w:t xml:space="preserve"> </w:t>
      </w:r>
      <w:r>
        <w:t xml:space="preserve">-1.5 kg CO2e/kg (illustrative average credit, highly dependent on material type and specific recycling process, assuming virgin material displacement).</w:t>
      </w:r>
    </w:p>
    <w:bookmarkEnd w:id="28"/>
    <w:bookmarkStart w:id="29" w:name="land-sector-and-removals-lsr-update-2026"/>
    <w:p>
      <w:pPr>
        <w:pStyle w:val="Heading4"/>
      </w:pPr>
      <w:r>
        <w:t xml:space="preserve">2.3.6. Land Sector and Removals (LSR) Update (2026)</w:t>
      </w:r>
    </w:p>
    <w:p>
      <w:pPr>
        <w:pStyle w:val="FirstParagraph"/>
      </w:pPr>
      <w:r>
        <w:t xml:space="preserve">The 2026 LSR Standard for land use and carbon removals has been acknowledged. For this PCF, the \'Total Carbon\' values provided in the BOM are assumed to implicitly account for land-use change emissions and removals associated with raw material production, where applicable. Due to the aggregated nature of the provided \'Total Carbon\' values, a separate, explicit LSR calculation for each material component is not performed in this report, highlighting a data limitation for full LSR granularity.</w:t>
      </w:r>
    </w:p>
    <w:p>
      <w:r>
        <w:pict>
          <v:rect style="width:0;height:1.5pt" o:hralign="center" o:hrstd="t" o:hr="t"/>
        </w:pict>
      </w:r>
    </w:p>
    <w:bookmarkEnd w:id="29"/>
    <w:bookmarkEnd w:id="30"/>
    <w:bookmarkEnd w:id="31"/>
    <w:bookmarkStart w:id="40" w:name="X2c62247db19834934c44c209ad423fe06ba5c64"/>
    <w:p>
      <w:pPr>
        <w:pStyle w:val="Heading2"/>
      </w:pPr>
      <w:r>
        <w:t xml:space="preserve">3. Calculation of Emissions (Activity * Emission Factor = CO2e)</w:t>
      </w:r>
    </w:p>
    <w:p>
      <w:pPr>
        <w:pStyle w:val="FirstParagraph"/>
      </w:pPr>
      <w:r>
        <w:t xml:space="preserve">The following calculations detail the CO2e emissions for each lifecycle stage, categorized by GHG Protocol Scope.</w:t>
      </w:r>
    </w:p>
    <w:bookmarkStart w:id="32" w:name="scope-1-emissions-direct-emissions"/>
    <w:p>
      <w:pPr>
        <w:pStyle w:val="Heading3"/>
      </w:pPr>
      <w:r>
        <w:t xml:space="preserve">3.1. Scope 1 Emissions (Direct Emissions)</w:t>
      </w:r>
    </w:p>
    <w:p>
      <w:pPr>
        <w:pStyle w:val="FirstParagraph"/>
      </w:pPr>
      <w:r>
        <w:t xml:space="preserve">Based on the provided parameters, no direct (Scope 1) process emissions from owned or controlled sources within the \'factory_gate\' boundary have been specified. Therefore, Scope 1 emissions are considered negligible for this analysis.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Emission Source</w:t>
            </w:r>
          </w:p>
        </w:tc>
        <w:tc>
          <w:tcPr/>
          <w:p>
            <w:pPr>
              <w:pStyle w:val="Compact"/>
              <w:jc w:val="left"/>
            </w:pPr>
            <w:r>
              <w:t xml:space="preserve">Activity Data</w:t>
            </w:r>
          </w:p>
        </w:tc>
        <w:tc>
          <w:tcPr/>
          <w:p>
            <w:pPr>
              <w:pStyle w:val="Compact"/>
              <w:jc w:val="left"/>
            </w:pPr>
            <w:r>
              <w:t xml:space="preserve">Emission Factor</w:t>
            </w:r>
          </w:p>
        </w:tc>
        <w:tc>
          <w:tcPr/>
          <w:p>
            <w:pPr>
              <w:pStyle w:val="Compact"/>
              <w:jc w:val="left"/>
            </w:pPr>
            <w:r>
              <w:t xml:space="preserve">Total CO2e (kg)</w:t>
            </w:r>
          </w:p>
        </w:tc>
      </w:tr>
      <w:tr>
        <w:tc>
          <w:tcPr/>
          <w:p>
            <w:pPr>
              <w:pStyle w:val="Compact"/>
              <w:jc w:val="left"/>
            </w:pPr>
            <w:r>
              <w:t xml:space="preserve">Direct Process Emissions</w:t>
            </w:r>
          </w:p>
        </w:tc>
        <w:tc>
          <w:tcPr/>
          <w:p>
            <w:pPr>
              <w:pStyle w:val="Compact"/>
              <w:jc w:val="left"/>
            </w:pPr>
            <w:r>
              <w:t xml:space="preserve">Not specified</w:t>
            </w:r>
          </w:p>
        </w:tc>
        <w:tc>
          <w:tcPr/>
          <w:p>
            <w:pPr>
              <w:pStyle w:val="Compact"/>
              <w:jc w:val="left"/>
            </w:pPr>
            <w:r>
              <w:t xml:space="preserve">N/A</w:t>
            </w:r>
          </w:p>
        </w:tc>
        <w:tc>
          <w:tcPr/>
          <w:p>
            <w:pPr>
              <w:pStyle w:val="Compact"/>
              <w:jc w:val="left"/>
            </w:pPr>
            <w:r>
              <w:t xml:space="preserve">0.00</w:t>
            </w:r>
          </w:p>
        </w:tc>
      </w:tr>
    </w:tbl>
    <w:bookmarkEnd w:id="32"/>
    <w:bookmarkStart w:id="33" w:name="scope-2-emissions-purchased-energy"/>
    <w:p>
      <w:pPr>
        <w:pStyle w:val="Heading3"/>
      </w:pPr>
      <w:r>
        <w:t xml:space="preserve">3.2. Scope 2 Emissions (Purchased Energy)</w:t>
      </w:r>
    </w:p>
    <w:p>
      <w:pPr>
        <w:pStyle w:val="FirstParagraph"/>
      </w:pPr>
      <w:r>
        <w:t xml:space="preserve">These emissions result from electricity consumed during the manufacturing of \'zxgrkokdys\' in China.</w:t>
      </w:r>
    </w:p>
    <w:p>
      <w:pPr>
        <w:numPr>
          <w:ilvl w:val="0"/>
          <w:numId w:val="1007"/>
        </w:numPr>
        <w:pStyle w:val="Compact"/>
      </w:pPr>
      <w:r>
        <w:t xml:space="preserve">Total Energy Intensity: 10 kWh/unit</w:t>
      </w:r>
    </w:p>
    <w:p>
      <w:pPr>
        <w:numPr>
          <w:ilvl w:val="0"/>
          <w:numId w:val="1007"/>
        </w:numPr>
        <w:pStyle w:val="Compact"/>
      </w:pPr>
      <w:r>
        <w:t xml:space="preserve">Renewable Energy Usage: 50%</w:t>
      </w:r>
    </w:p>
    <w:p>
      <w:pPr>
        <w:numPr>
          <w:ilvl w:val="0"/>
          <w:numId w:val="1007"/>
        </w:numPr>
        <w:pStyle w:val="Compact"/>
      </w:pPr>
      <w:r>
        <w:t xml:space="preserve">Grid Electricity Consumed: 10 kWh/unit * (1 - 0.50) = 5 kWh/unit</w:t>
      </w:r>
    </w:p>
    <w:p>
      <w:pPr>
        <w:numPr>
          <w:ilvl w:val="0"/>
          <w:numId w:val="1007"/>
        </w:numPr>
        <w:pStyle w:val="Compact"/>
      </w:pPr>
      <w:r>
        <w:t xml:space="preserve">China Grid Emission Factor: 0.57 kg CO2e/kWh</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Emission Source</w:t>
            </w:r>
          </w:p>
        </w:tc>
        <w:tc>
          <w:tcPr/>
          <w:p>
            <w:pPr>
              <w:pStyle w:val="Compact"/>
              <w:jc w:val="left"/>
            </w:pPr>
            <w:r>
              <w:t xml:space="preserve">Activity Data</w:t>
            </w:r>
          </w:p>
        </w:tc>
        <w:tc>
          <w:tcPr/>
          <w:p>
            <w:pPr>
              <w:pStyle w:val="Compact"/>
              <w:jc w:val="left"/>
            </w:pPr>
            <w:r>
              <w:t xml:space="preserve">Emission Factor</w:t>
            </w:r>
          </w:p>
        </w:tc>
        <w:tc>
          <w:tcPr/>
          <w:p>
            <w:pPr>
              <w:pStyle w:val="Compact"/>
              <w:jc w:val="left"/>
            </w:pPr>
            <w:r>
              <w:t xml:space="preserve">Total CO2e (kg)</w:t>
            </w:r>
          </w:p>
        </w:tc>
      </w:tr>
      <w:tr>
        <w:tc>
          <w:tcPr/>
          <w:p>
            <w:pPr>
              <w:pStyle w:val="Compact"/>
              <w:jc w:val="left"/>
            </w:pPr>
            <w:r>
              <w:t xml:space="preserve">Purchased Electricity (Production)</w:t>
            </w:r>
          </w:p>
        </w:tc>
        <w:tc>
          <w:tcPr/>
          <w:p>
            <w:pPr>
              <w:pStyle w:val="Compact"/>
              <w:jc w:val="left"/>
            </w:pPr>
            <w:r>
              <w:t xml:space="preserve">5 kWh/unit</w:t>
            </w:r>
          </w:p>
        </w:tc>
        <w:tc>
          <w:tcPr/>
          <w:p>
            <w:pPr>
              <w:pStyle w:val="Compact"/>
              <w:jc w:val="left"/>
            </w:pPr>
            <w:r>
              <w:t xml:space="preserve">0.57 kg CO2e/kWh</w:t>
            </w:r>
          </w:p>
        </w:tc>
        <w:tc>
          <w:tcPr/>
          <w:p>
            <w:pPr>
              <w:pStyle w:val="Compact"/>
              <w:jc w:val="left"/>
            </w:pPr>
            <w:r>
              <w:t xml:space="preserve">2.85</w:t>
            </w:r>
          </w:p>
        </w:tc>
      </w:tr>
    </w:tbl>
    <w:bookmarkEnd w:id="33"/>
    <w:bookmarkStart w:id="38" w:name="scope-3-emissions-value-chain-emissions"/>
    <w:p>
      <w:pPr>
        <w:pStyle w:val="Heading3"/>
      </w:pPr>
      <w:r>
        <w:t xml:space="preserve">3.3. Scope 3 Emissions (Value Chain Emissions)</w:t>
      </w:r>
    </w:p>
    <w:bookmarkStart w:id="34" w:name="X0d6c09728dda2ec1ecf5cf6be8414589568f715"/>
    <w:p>
      <w:pPr>
        <w:pStyle w:val="Heading4"/>
      </w:pPr>
      <w:r>
        <w:t xml:space="preserve">3.3.1. Category 1: Upstream Emissions from Purchased Goods and Services (Materials)</w:t>
      </w:r>
    </w:p>
    <w:p>
      <w:pPr>
        <w:pStyle w:val="FirstParagraph"/>
      </w:pPr>
      <w:r>
        <w:t xml:space="preserve">The emissions from raw material acquisition and pre-processing are directly taken from the \'Total Carbon\' values provided in the Detailed Bill of Materials.</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Material</w:t>
            </w:r>
          </w:p>
        </w:tc>
        <w:tc>
          <w:tcPr/>
          <w:p>
            <w:pPr>
              <w:pStyle w:val="Compact"/>
              <w:jc w:val="left"/>
            </w:pPr>
            <w:r>
              <w:t xml:space="preserve">Total Carbon (kg CO2e)</w:t>
            </w:r>
          </w:p>
        </w:tc>
      </w:tr>
      <w:tr>
        <w:tc>
          <w:tcPr/>
          <w:p>
            <w:pPr>
              <w:pStyle w:val="Compact"/>
              <w:jc w:val="left"/>
            </w:pPr>
            <w:r>
              <w:t xml:space="preserve">Aluminum Frame</w:t>
            </w:r>
          </w:p>
        </w:tc>
        <w:tc>
          <w:tcPr/>
          <w:p>
            <w:pPr>
              <w:pStyle w:val="Compact"/>
              <w:jc w:val="left"/>
            </w:pPr>
            <w:r>
              <w:t xml:space="preserve">12.50</w:t>
            </w:r>
          </w:p>
        </w:tc>
      </w:tr>
      <w:tr>
        <w:tc>
          <w:tcPr/>
          <w:p>
            <w:pPr>
              <w:pStyle w:val="Compact"/>
              <w:jc w:val="left"/>
            </w:pPr>
            <w:r>
              <w:t xml:space="preserve">Plastic Casing</w:t>
            </w:r>
          </w:p>
        </w:tc>
        <w:tc>
          <w:tcPr/>
          <w:p>
            <w:pPr>
              <w:pStyle w:val="Compact"/>
              <w:jc w:val="left"/>
            </w:pPr>
            <w:r>
              <w:t xml:space="preserve">6.00</w:t>
            </w:r>
          </w:p>
        </w:tc>
      </w:tr>
      <w:tr>
        <w:tc>
          <w:tcPr/>
          <w:p>
            <w:pPr>
              <w:pStyle w:val="Compact"/>
              <w:jc w:val="left"/>
            </w:pPr>
            <w:r>
              <w:t xml:space="preserve">Electronic Components</w:t>
            </w:r>
          </w:p>
        </w:tc>
        <w:tc>
          <w:tcPr/>
          <w:p>
            <w:pPr>
              <w:pStyle w:val="Compact"/>
              <w:jc w:val="left"/>
            </w:pPr>
            <w:r>
              <w:t xml:space="preserve">7.50</w:t>
            </w:r>
          </w:p>
        </w:tc>
      </w:tr>
      <w:tr>
        <w:tc>
          <w:tcPr/>
          <w:p>
            <w:pPr>
              <w:pStyle w:val="Compact"/>
              <w:jc w:val="left"/>
            </w:pPr>
            <w:r>
              <w:rPr>
                <w:bCs/>
                <w:b/>
              </w:rPr>
              <w:t xml:space="preserve">Subtotal Category 1</w:t>
            </w:r>
          </w:p>
        </w:tc>
        <w:tc>
          <w:tcPr/>
          <w:p>
            <w:pPr>
              <w:pStyle w:val="Compact"/>
              <w:jc w:val="left"/>
            </w:pPr>
            <w:r>
              <w:rPr>
                <w:bCs/>
                <w:b/>
              </w:rPr>
              <w:t xml:space="preserve">26.00</w:t>
            </w:r>
          </w:p>
        </w:tc>
      </w:tr>
    </w:tbl>
    <w:bookmarkEnd w:id="34"/>
    <w:bookmarkStart w:id="35" w:name="X731a4058c61befe4fda33a13e4407cb4b636470"/>
    <w:p>
      <w:pPr>
        <w:pStyle w:val="Heading4"/>
      </w:pPr>
      <w:r>
        <w:t xml:space="preserve">3.3.2. Category 4: Upstream Transportation and Distribution (Materials to Factory Gate)</w:t>
      </w:r>
    </w:p>
    <w:p>
      <w:pPr>
        <w:pStyle w:val="FirstParagraph"/>
      </w:pPr>
      <w:r>
        <w:t xml:space="preserve">Emissions from the transport of raw materials and components from Europe-focused suppliers to the manufacturing facility in China. The total mass of materials is 5 kg (Aluminum) + 2 kg (Plastic) + 0.5 kg (Electronics) = 7.5 kg.</w:t>
      </w:r>
    </w:p>
    <w:p>
      <w:pPr>
        <w:numPr>
          <w:ilvl w:val="0"/>
          <w:numId w:val="1008"/>
        </w:numPr>
        <w:pStyle w:val="Compact"/>
      </w:pPr>
      <w:r>
        <w:t xml:space="preserve">Primary Transport (Ocean Freight): 7.5 kg * 15,000 km * 0.00001 kg CO2e/kg.km = 1.125 kg CO2e</w:t>
      </w:r>
    </w:p>
    <w:p>
      <w:pPr>
        <w:numPr>
          <w:ilvl w:val="0"/>
          <w:numId w:val="1008"/>
        </w:numPr>
        <w:pStyle w:val="Compact"/>
      </w:pPr>
      <w:r>
        <w:t xml:space="preserve">Last-Mile Delivery (Road Freight): 7.5 kg * 200 km * 0.0001 kg CO2e/kg.km = 0.15 kg CO2e</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Transport Mode</w:t>
            </w:r>
          </w:p>
        </w:tc>
        <w:tc>
          <w:tcPr/>
          <w:p>
            <w:pPr>
              <w:pStyle w:val="Compact"/>
              <w:jc w:val="left"/>
            </w:pPr>
            <w:r>
              <w:t xml:space="preserve">Distance (km)</w:t>
            </w:r>
          </w:p>
        </w:tc>
        <w:tc>
          <w:tcPr/>
          <w:p>
            <w:pPr>
              <w:pStyle w:val="Compact"/>
              <w:jc w:val="left"/>
            </w:pPr>
            <w:r>
              <w:t xml:space="preserve">Mass (kg)</w:t>
            </w:r>
          </w:p>
        </w:tc>
        <w:tc>
          <w:tcPr/>
          <w:p>
            <w:pPr>
              <w:pStyle w:val="Compact"/>
              <w:jc w:val="left"/>
            </w:pPr>
            <w:r>
              <w:t xml:space="preserve">Emission Factor (kg CO2e/kg.km)</w:t>
            </w:r>
          </w:p>
        </w:tc>
        <w:tc>
          <w:tcPr/>
          <w:p>
            <w:pPr>
              <w:pStyle w:val="Compact"/>
              <w:jc w:val="left"/>
            </w:pPr>
            <w:r>
              <w:t xml:space="preserve">Total CO2e (kg)</w:t>
            </w:r>
          </w:p>
        </w:tc>
      </w:tr>
      <w:tr>
        <w:tc>
          <w:tcPr/>
          <w:p>
            <w:pPr>
              <w:pStyle w:val="Compact"/>
              <w:jc w:val="left"/>
            </w:pPr>
            <w:r>
              <w:t xml:space="preserve">Ocean Freight (Europe to China)</w:t>
            </w:r>
          </w:p>
        </w:tc>
        <w:tc>
          <w:tcPr/>
          <w:p>
            <w:pPr>
              <w:pStyle w:val="Compact"/>
              <w:jc w:val="left"/>
            </w:pPr>
            <w:r>
              <w:t xml:space="preserve">15,000</w:t>
            </w:r>
          </w:p>
        </w:tc>
        <w:tc>
          <w:tcPr/>
          <w:p>
            <w:pPr>
              <w:pStyle w:val="Compact"/>
              <w:jc w:val="left"/>
            </w:pPr>
            <w:r>
              <w:t xml:space="preserve">7.5</w:t>
            </w:r>
          </w:p>
        </w:tc>
        <w:tc>
          <w:tcPr/>
          <w:p>
            <w:pPr>
              <w:pStyle w:val="Compact"/>
              <w:jc w:val="left"/>
            </w:pPr>
            <w:r>
              <w:t xml:space="preserve">0.00001</w:t>
            </w:r>
          </w:p>
        </w:tc>
        <w:tc>
          <w:tcPr/>
          <w:p>
            <w:pPr>
              <w:pStyle w:val="Compact"/>
              <w:jc w:val="left"/>
            </w:pPr>
            <w:r>
              <w:t xml:space="preserve">1.13</w:t>
            </w:r>
          </w:p>
        </w:tc>
      </w:tr>
      <w:tr>
        <w:tc>
          <w:tcPr/>
          <w:p>
            <w:pPr>
              <w:pStyle w:val="Compact"/>
              <w:jc w:val="left"/>
            </w:pPr>
            <w:r>
              <w:t xml:space="preserve">Road Freight (Last-Mile to factory)</w:t>
            </w:r>
          </w:p>
        </w:tc>
        <w:tc>
          <w:tcPr/>
          <w:p>
            <w:pPr>
              <w:pStyle w:val="Compact"/>
              <w:jc w:val="left"/>
            </w:pPr>
            <w:r>
              <w:t xml:space="preserve">200</w:t>
            </w:r>
          </w:p>
        </w:tc>
        <w:tc>
          <w:tcPr/>
          <w:p>
            <w:pPr>
              <w:pStyle w:val="Compact"/>
              <w:jc w:val="left"/>
            </w:pPr>
            <w:r>
              <w:t xml:space="preserve">7.5</w:t>
            </w:r>
          </w:p>
        </w:tc>
        <w:tc>
          <w:tcPr/>
          <w:p>
            <w:pPr>
              <w:pStyle w:val="Compact"/>
              <w:jc w:val="left"/>
            </w:pPr>
            <w:r>
              <w:t xml:space="preserve">0.0001</w:t>
            </w:r>
          </w:p>
        </w:tc>
        <w:tc>
          <w:tcPr/>
          <w:p>
            <w:pPr>
              <w:pStyle w:val="Compact"/>
              <w:jc w:val="left"/>
            </w:pPr>
            <w:r>
              <w:t xml:space="preserve">0.15</w:t>
            </w:r>
          </w:p>
        </w:tc>
      </w:tr>
      <w:tr>
        <w:tc>
          <w:tcPr/>
          <w:p>
            <w:pPr>
              <w:pStyle w:val="Compact"/>
              <w:jc w:val="left"/>
            </w:pPr>
            <w:r>
              <w:rPr>
                <w:bCs/>
                <w:b/>
              </w:rPr>
              <w:t xml:space="preserve">Subtotal Category 4</w:t>
            </w:r>
          </w:p>
        </w:tc>
        <w:tc>
          <w:tcPr/>
          <w:p>
            <w:pPr>
              <w:pStyle w:val="Compact"/>
            </w:pPr>
          </w:p>
        </w:tc>
        <w:tc>
          <w:tcPr/>
          <w:p>
            <w:pPr>
              <w:pStyle w:val="Compact"/>
            </w:pPr>
          </w:p>
        </w:tc>
        <w:tc>
          <w:tcPr/>
          <w:p>
            <w:pPr>
              <w:pStyle w:val="Compact"/>
            </w:pPr>
          </w:p>
        </w:tc>
        <w:tc>
          <w:tcPr/>
          <w:p>
            <w:pPr>
              <w:pStyle w:val="Compact"/>
              <w:jc w:val="left"/>
            </w:pPr>
            <w:r>
              <w:rPr>
                <w:bCs/>
                <w:b/>
              </w:rPr>
              <w:t xml:space="preserve">1.28</w:t>
            </w:r>
          </w:p>
        </w:tc>
      </w:tr>
    </w:tbl>
    <w:bookmarkEnd w:id="35"/>
    <w:bookmarkStart w:id="36" w:name="X4600f611964dc5e83c6629dacfd40108281a553"/>
    <w:p>
      <w:pPr>
        <w:pStyle w:val="Heading4"/>
      </w:pPr>
      <w:r>
        <w:t xml:space="preserve">3.3.3. Category 11: Use of Sold Products (Outside \'factory_gate\' boundary but included per request)</w:t>
      </w:r>
    </w:p>
    <w:p>
      <w:pPr>
        <w:pStyle w:val="FirstParagraph"/>
      </w:pPr>
      <w:r>
        <w:t xml:space="preserve">Emissions generated from the product\'s energy consumption during its expected lifespan.</w:t>
      </w:r>
    </w:p>
    <w:p>
      <w:pPr>
        <w:numPr>
          <w:ilvl w:val="0"/>
          <w:numId w:val="1009"/>
        </w:numPr>
        <w:pStyle w:val="Compact"/>
      </w:pPr>
      <w:r>
        <w:t xml:space="preserve">Product Lifespan: 5 years</w:t>
      </w:r>
    </w:p>
    <w:p>
      <w:pPr>
        <w:numPr>
          <w:ilvl w:val="0"/>
          <w:numId w:val="1009"/>
        </w:numPr>
        <w:pStyle w:val="Compact"/>
      </w:pPr>
      <w:r>
        <w:t xml:space="preserve">Annual Energy Consumption: 20 kWh/year</w:t>
      </w:r>
    </w:p>
    <w:p>
      <w:pPr>
        <w:numPr>
          <w:ilvl w:val="0"/>
          <w:numId w:val="1009"/>
        </w:numPr>
        <w:pStyle w:val="Compact"/>
      </w:pPr>
      <w:r>
        <w:t xml:space="preserve">Total Use Phase Energy: 5 years * 20 kWh/year = 100 kWh</w:t>
      </w:r>
    </w:p>
    <w:p>
      <w:pPr>
        <w:numPr>
          <w:ilvl w:val="0"/>
          <w:numId w:val="1009"/>
        </w:numPr>
        <w:pStyle w:val="Compact"/>
      </w:pPr>
      <w:r>
        <w:t xml:space="preserve">Global Average Electricity Emission Factor: 0.3 kg CO2e/kWh</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Lifecycle Stage</w:t>
            </w:r>
          </w:p>
        </w:tc>
        <w:tc>
          <w:tcPr/>
          <w:p>
            <w:pPr>
              <w:pStyle w:val="Compact"/>
              <w:jc w:val="left"/>
            </w:pPr>
            <w:r>
              <w:t xml:space="preserve">Activity Data</w:t>
            </w:r>
          </w:p>
        </w:tc>
        <w:tc>
          <w:tcPr/>
          <w:p>
            <w:pPr>
              <w:pStyle w:val="Compact"/>
              <w:jc w:val="left"/>
            </w:pPr>
            <w:r>
              <w:t xml:space="preserve">Emission Factor</w:t>
            </w:r>
          </w:p>
        </w:tc>
        <w:tc>
          <w:tcPr/>
          <w:p>
            <w:pPr>
              <w:pStyle w:val="Compact"/>
              <w:jc w:val="left"/>
            </w:pPr>
            <w:r>
              <w:t xml:space="preserve">Total CO2e (kg)</w:t>
            </w:r>
          </w:p>
        </w:tc>
        <w:tc>
          <w:tcPr/>
          <w:p>
            <w:pPr>
              <w:pStyle w:val="Compact"/>
            </w:pPr>
          </w:p>
        </w:tc>
      </w:tr>
      <w:tr>
        <w:tc>
          <w:tcPr/>
          <w:p>
            <w:pPr>
              <w:pStyle w:val="Compact"/>
              <w:jc w:val="left"/>
            </w:pPr>
            <w:r>
              <w:t xml:space="preserve">Energy Consumption in Use</w:t>
            </w:r>
          </w:p>
        </w:tc>
        <w:tc>
          <w:tcPr/>
          <w:p>
            <w:pPr>
              <w:pStyle w:val="Compact"/>
              <w:jc w:val="left"/>
            </w:pPr>
            <w:r>
              <w:t xml:space="preserve">100 kWh</w:t>
            </w:r>
          </w:p>
        </w:tc>
        <w:tc>
          <w:tcPr/>
          <w:p>
            <w:pPr>
              <w:pStyle w:val="Compact"/>
              <w:jc w:val="left"/>
            </w:pPr>
            <w:r>
              <w:t xml:space="preserve">0.3 kg CO2e/kWh</w:t>
            </w:r>
          </w:p>
        </w:tc>
        <w:tc>
          <w:tcPr/>
          <w:p>
            <w:pPr>
              <w:pStyle w:val="Compact"/>
              <w:jc w:val="left"/>
            </w:pPr>
            <w:r>
              <w:t xml:space="preserve">30.00</w:t>
            </w:r>
          </w:p>
        </w:tc>
        <w:tc>
          <w:tcPr/>
          <w:p>
            <w:pPr>
              <w:pStyle w:val="Compact"/>
            </w:pPr>
          </w:p>
        </w:tc>
      </w:tr>
      <w:tr>
        <w:tc>
          <w:tcPr/>
          <w:p>
            <w:pPr>
              <w:pStyle w:val="Compact"/>
              <w:jc w:val="left"/>
            </w:pPr>
            <w:r>
              <w:rPr>
                <w:bCs/>
                <w:b/>
              </w:rPr>
              <w:t xml:space="preserve">Subtotal Category 11</w:t>
            </w:r>
          </w:p>
        </w:tc>
        <w:tc>
          <w:tcPr/>
          <w:p>
            <w:pPr>
              <w:pStyle w:val="Compact"/>
            </w:pPr>
          </w:p>
        </w:tc>
        <w:tc>
          <w:tcPr/>
          <w:p>
            <w:pPr>
              <w:pStyle w:val="Compact"/>
            </w:pPr>
          </w:p>
        </w:tc>
        <w:tc>
          <w:tcPr/>
          <w:p>
            <w:pPr>
              <w:pStyle w:val="Compact"/>
            </w:pPr>
          </w:p>
        </w:tc>
        <w:tc>
          <w:tcPr/>
          <w:p>
            <w:pPr>
              <w:pStyle w:val="Compact"/>
              <w:jc w:val="left"/>
            </w:pPr>
            <w:r>
              <w:rPr>
                <w:bCs/>
                <w:b/>
              </w:rPr>
              <w:t xml:space="preserve">30.00</w:t>
            </w:r>
          </w:p>
        </w:tc>
      </w:tr>
    </w:tbl>
    <w:bookmarkEnd w:id="36"/>
    <w:bookmarkStart w:id="37" w:name="X08c519cb7bd9d2fb401958a8d4513d967709898"/>
    <w:p>
      <w:pPr>
        <w:pStyle w:val="Heading4"/>
      </w:pPr>
      <w:r>
        <w:t xml:space="preserve">3.3.4. Category 12: End-of-Life Treatment of Sold Products (Outside \'factory_gate\' boundary but included per request)</w:t>
      </w:r>
    </w:p>
    <w:p>
      <w:pPr>
        <w:pStyle w:val="FirstParagraph"/>
      </w:pPr>
      <w:r>
        <w:t xml:space="preserve">Emissions and credits associated with the disposal and recycling of the product at the end of its life. Total product mass is assumed to be 7.5 kg (sum of BOM materials).</w:t>
      </w:r>
    </w:p>
    <w:p>
      <w:pPr>
        <w:numPr>
          <w:ilvl w:val="0"/>
          <w:numId w:val="1010"/>
        </w:numPr>
        <w:pStyle w:val="Compact"/>
      </w:pPr>
      <w:r>
        <w:t xml:space="preserve">Recyclability Percentage: 75%</w:t>
      </w:r>
    </w:p>
    <w:p>
      <w:pPr>
        <w:numPr>
          <w:ilvl w:val="0"/>
          <w:numId w:val="1010"/>
        </w:numPr>
        <w:pStyle w:val="Compact"/>
      </w:pPr>
      <w:r>
        <w:t xml:space="preserve">Recycled portion: 7.5 kg * 0.75 = 5.625 kg</w:t>
      </w:r>
    </w:p>
    <w:p>
      <w:pPr>
        <w:numPr>
          <w:ilvl w:val="0"/>
          <w:numId w:val="1010"/>
        </w:numPr>
        <w:pStyle w:val="Compact"/>
      </w:pPr>
      <w:r>
        <w:t xml:space="preserve">Landfilled portion: 7.5 kg * 0.25 = 1.875 kg</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EoL Scenario</w:t>
            </w:r>
          </w:p>
        </w:tc>
        <w:tc>
          <w:tcPr/>
          <w:p>
            <w:pPr>
              <w:pStyle w:val="Compact"/>
              <w:jc w:val="left"/>
            </w:pPr>
            <w:r>
              <w:t xml:space="preserve">Mass (kg)</w:t>
            </w:r>
          </w:p>
        </w:tc>
        <w:tc>
          <w:tcPr/>
          <w:p>
            <w:pPr>
              <w:pStyle w:val="Compact"/>
              <w:jc w:val="left"/>
            </w:pPr>
            <w:r>
              <w:t xml:space="preserve">Emission/Credit Factor (kg CO2e/kg)</w:t>
            </w:r>
          </w:p>
        </w:tc>
        <w:tc>
          <w:tcPr/>
          <w:p>
            <w:pPr>
              <w:pStyle w:val="Compact"/>
              <w:jc w:val="left"/>
            </w:pPr>
            <w:r>
              <w:t xml:space="preserve">Total CO2e (kg)</w:t>
            </w:r>
          </w:p>
        </w:tc>
        <w:tc>
          <w:tcPr/>
          <w:p>
            <w:pPr>
              <w:pStyle w:val="Compact"/>
            </w:pPr>
          </w:p>
        </w:tc>
      </w:tr>
      <w:tr>
        <w:tc>
          <w:tcPr/>
          <w:p>
            <w:pPr>
              <w:pStyle w:val="Compact"/>
              <w:jc w:val="left"/>
            </w:pPr>
            <w:r>
              <w:t xml:space="preserve">Landfill (25% of product)</w:t>
            </w:r>
          </w:p>
        </w:tc>
        <w:tc>
          <w:tcPr/>
          <w:p>
            <w:pPr>
              <w:pStyle w:val="Compact"/>
              <w:jc w:val="left"/>
            </w:pPr>
            <w:r>
              <w:t xml:space="preserve">1.875</w:t>
            </w:r>
          </w:p>
        </w:tc>
        <w:tc>
          <w:tcPr/>
          <w:p>
            <w:pPr>
              <w:pStyle w:val="Compact"/>
              <w:jc w:val="left"/>
            </w:pPr>
            <w:r>
              <w:t xml:space="preserve">0.8</w:t>
            </w:r>
          </w:p>
        </w:tc>
        <w:tc>
          <w:tcPr/>
          <w:p>
            <w:pPr>
              <w:pStyle w:val="Compact"/>
              <w:jc w:val="left"/>
            </w:pPr>
            <w:r>
              <w:t xml:space="preserve">1.50</w:t>
            </w:r>
          </w:p>
        </w:tc>
        <w:tc>
          <w:tcPr/>
          <w:p>
            <w:pPr>
              <w:pStyle w:val="Compact"/>
            </w:pPr>
          </w:p>
        </w:tc>
      </w:tr>
      <w:tr>
        <w:tc>
          <w:tcPr/>
          <w:p>
            <w:pPr>
              <w:pStyle w:val="Compact"/>
              <w:jc w:val="left"/>
            </w:pPr>
            <w:r>
              <w:t xml:space="preserve">Recycling Credit (75% of product)</w:t>
            </w:r>
          </w:p>
        </w:tc>
        <w:tc>
          <w:tcPr/>
          <w:p>
            <w:pPr>
              <w:pStyle w:val="Compact"/>
              <w:jc w:val="left"/>
            </w:pPr>
            <w:r>
              <w:t xml:space="preserve">5.625</w:t>
            </w:r>
          </w:p>
        </w:tc>
        <w:tc>
          <w:tcPr/>
          <w:p>
            <w:pPr>
              <w:pStyle w:val="Compact"/>
              <w:jc w:val="left"/>
            </w:pPr>
            <w:r>
              <w:t xml:space="preserve">-1.5</w:t>
            </w:r>
          </w:p>
        </w:tc>
        <w:tc>
          <w:tcPr/>
          <w:p>
            <w:pPr>
              <w:pStyle w:val="Compact"/>
              <w:jc w:val="left"/>
            </w:pPr>
            <w:r>
              <w:t xml:space="preserve">-8.44</w:t>
            </w:r>
          </w:p>
        </w:tc>
        <w:tc>
          <w:tcPr/>
          <w:p>
            <w:pPr>
              <w:pStyle w:val="Compact"/>
            </w:pPr>
          </w:p>
        </w:tc>
      </w:tr>
      <w:tr>
        <w:tc>
          <w:tcPr/>
          <w:p>
            <w:pPr>
              <w:pStyle w:val="Compact"/>
              <w:jc w:val="left"/>
            </w:pPr>
            <w:r>
              <w:rPr>
                <w:bCs/>
                <w:b/>
              </w:rPr>
              <w:t xml:space="preserve">Subtotal Category 12</w:t>
            </w:r>
          </w:p>
        </w:tc>
        <w:tc>
          <w:tcPr/>
          <w:p>
            <w:pPr>
              <w:pStyle w:val="Compact"/>
            </w:pPr>
          </w:p>
        </w:tc>
        <w:tc>
          <w:tcPr/>
          <w:p>
            <w:pPr>
              <w:pStyle w:val="Compact"/>
            </w:pPr>
          </w:p>
        </w:tc>
        <w:tc>
          <w:tcPr/>
          <w:p>
            <w:pPr>
              <w:pStyle w:val="Compact"/>
            </w:pPr>
          </w:p>
        </w:tc>
        <w:tc>
          <w:tcPr/>
          <w:p>
            <w:pPr>
              <w:pStyle w:val="Compact"/>
              <w:jc w:val="left"/>
            </w:pPr>
            <w:r>
              <w:rPr>
                <w:bCs/>
                <w:b/>
              </w:rPr>
              <w:t xml:space="preserve">-6.94</w:t>
            </w:r>
          </w:p>
        </w:tc>
      </w:tr>
    </w:tbl>
    <w:bookmarkEnd w:id="37"/>
    <w:bookmarkEnd w:id="38"/>
    <w:bookmarkStart w:id="39" w:name="total-product-carbon-footprint"/>
    <w:p>
      <w:pPr>
        <w:pStyle w:val="Heading3"/>
      </w:pPr>
      <w:r>
        <w:t xml:space="preserve">3.4. Total Product Carbon Footprint</w:t>
      </w:r>
    </w:p>
    <w:p>
      <w:pPr>
        <w:pStyle w:val="FirstParagraph"/>
      </w:pPr>
      <w:r>
        <w:t xml:space="preserve">The aggregate PCF for \'zxgrkokdys\' based on the \'factory_gate\' system boundary, with additional lifecycle stages for comprehensive insight, is as follows: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Scope/Category</w:t>
            </w:r>
          </w:p>
        </w:tc>
        <w:tc>
          <w:tcPr/>
          <w:p>
            <w:pPr>
              <w:pStyle w:val="Compact"/>
              <w:jc w:val="left"/>
            </w:pPr>
            <w:r>
              <w:t xml:space="preserve">Description</w:t>
            </w:r>
          </w:p>
        </w:tc>
        <w:tc>
          <w:tcPr/>
          <w:p>
            <w:pPr>
              <w:pStyle w:val="Compact"/>
              <w:jc w:val="left"/>
            </w:pPr>
            <w:r>
              <w:t xml:space="preserve">Total CO2e (kg)</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2.85</w:t>
            </w:r>
          </w:p>
        </w:tc>
      </w:tr>
      <w:tr>
        <w:tc>
          <w:tcPr/>
          <w:p>
            <w:pPr>
              <w:pStyle w:val="Compact"/>
              <w:jc w:val="left"/>
            </w:pPr>
            <w:r>
              <w:t xml:space="preserve">Scope 3, Category 1</w:t>
            </w:r>
          </w:p>
        </w:tc>
        <w:tc>
          <w:tcPr/>
          <w:p>
            <w:pPr>
              <w:pStyle w:val="Compact"/>
              <w:jc w:val="left"/>
            </w:pPr>
            <w:r>
              <w:t xml:space="preserve">Materials (Upstream)</w:t>
            </w:r>
          </w:p>
        </w:tc>
        <w:tc>
          <w:tcPr/>
          <w:p>
            <w:pPr>
              <w:pStyle w:val="Compact"/>
              <w:jc w:val="left"/>
            </w:pPr>
            <w:r>
              <w:t xml:space="preserve">26.00</w:t>
            </w:r>
          </w:p>
        </w:tc>
      </w:tr>
      <w:tr>
        <w:tc>
          <w:tcPr/>
          <w:p>
            <w:pPr>
              <w:pStyle w:val="Compact"/>
              <w:jc w:val="left"/>
            </w:pPr>
            <w:r>
              <w:t xml:space="preserve">Scope 3, Category 4</w:t>
            </w:r>
          </w:p>
        </w:tc>
        <w:tc>
          <w:tcPr/>
          <w:p>
            <w:pPr>
              <w:pStyle w:val="Compact"/>
              <w:jc w:val="left"/>
            </w:pPr>
            <w:r>
              <w:t xml:space="preserve">Upstream Transport of Materials</w:t>
            </w:r>
          </w:p>
        </w:tc>
        <w:tc>
          <w:tcPr/>
          <w:p>
            <w:pPr>
              <w:pStyle w:val="Compact"/>
              <w:jc w:val="left"/>
            </w:pPr>
            <w:r>
              <w:t xml:space="preserve">1.28</w:t>
            </w:r>
          </w:p>
        </w:tc>
      </w:tr>
      <w:tr>
        <w:tc>
          <w:tcPr/>
          <w:p>
            <w:pPr>
              <w:pStyle w:val="Compact"/>
              <w:jc w:val="left"/>
            </w:pPr>
            <w:r>
              <w:t xml:space="preserve">Scope 3, Category 11</w:t>
            </w:r>
          </w:p>
        </w:tc>
        <w:tc>
          <w:tcPr/>
          <w:p>
            <w:pPr>
              <w:pStyle w:val="Compact"/>
              <w:jc w:val="left"/>
            </w:pPr>
            <w:r>
              <w:t xml:space="preserve">Use of Sold Products (outside factory_gate)</w:t>
            </w:r>
          </w:p>
        </w:tc>
        <w:tc>
          <w:tcPr/>
          <w:p>
            <w:pPr>
              <w:pStyle w:val="Compact"/>
              <w:jc w:val="left"/>
            </w:pPr>
            <w:r>
              <w:t xml:space="preserve">30.00</w:t>
            </w:r>
          </w:p>
        </w:tc>
      </w:tr>
      <w:tr>
        <w:tc>
          <w:tcPr/>
          <w:p>
            <w:pPr>
              <w:pStyle w:val="Compact"/>
              <w:jc w:val="left"/>
            </w:pPr>
            <w:r>
              <w:t xml:space="preserve">Scope 3, Category 12</w:t>
            </w:r>
          </w:p>
        </w:tc>
        <w:tc>
          <w:tcPr/>
          <w:p>
            <w:pPr>
              <w:pStyle w:val="Compact"/>
              <w:jc w:val="left"/>
            </w:pPr>
            <w:r>
              <w:t xml:space="preserve">End-of-Life Treatment (outside factory_gate)</w:t>
            </w:r>
          </w:p>
        </w:tc>
        <w:tc>
          <w:tcPr/>
          <w:p>
            <w:pPr>
              <w:pStyle w:val="Compact"/>
              <w:jc w:val="left"/>
            </w:pPr>
            <w:r>
              <w:t xml:space="preserve">-6.94</w:t>
            </w:r>
          </w:p>
        </w:tc>
      </w:tr>
      <w:tr>
        <w:tc>
          <w:tcPr/>
          <w:p>
            <w:pPr>
              <w:pStyle w:val="Compact"/>
              <w:jc w:val="left"/>
            </w:pPr>
            <w:r>
              <w:rPr>
                <w:bCs/>
                <w:b/>
              </w:rPr>
              <w:t xml:space="preserve">Total PCF (factory_gate)</w:t>
            </w:r>
          </w:p>
        </w:tc>
        <w:tc>
          <w:tcPr/>
          <w:p>
            <w:pPr>
              <w:pStyle w:val="Compact"/>
              <w:jc w:val="left"/>
            </w:pPr>
            <w:r>
              <w:t xml:space="preserve">(Scope 1 + Scope 2 + Scope 3 Cat 1 + Scope 3 Cat 4)</w:t>
            </w:r>
          </w:p>
        </w:tc>
        <w:tc>
          <w:tcPr/>
          <w:p>
            <w:pPr>
              <w:pStyle w:val="Compact"/>
              <w:jc w:val="left"/>
            </w:pPr>
            <w:r>
              <w:rPr>
                <w:bCs/>
                <w:b/>
              </w:rPr>
              <w:t xml:space="preserve">30.13</w:t>
            </w:r>
          </w:p>
        </w:tc>
      </w:tr>
      <w:tr>
        <w:tc>
          <w:tcPr/>
          <w:p>
            <w:pPr>
              <w:pStyle w:val="Compact"/>
              <w:jc w:val="left"/>
            </w:pPr>
            <w:r>
              <w:rPr>
                <w:bCs/>
                <w:b/>
              </w:rPr>
              <w:t xml:space="preserve">Total PCF (Cradle-to-Grave holistic view)</w:t>
            </w:r>
          </w:p>
        </w:tc>
        <w:tc>
          <w:tcPr/>
          <w:p>
            <w:pPr>
              <w:pStyle w:val="Compact"/>
              <w:jc w:val="left"/>
            </w:pPr>
            <w:r>
              <w:t xml:space="preserve">(All Scopes and Categories)</w:t>
            </w:r>
          </w:p>
        </w:tc>
        <w:tc>
          <w:tcPr/>
          <w:p>
            <w:pPr>
              <w:pStyle w:val="Compact"/>
              <w:jc w:val="left"/>
            </w:pPr>
            <w:r>
              <w:rPr>
                <w:bCs/>
                <w:b/>
              </w:rPr>
              <w:t xml:space="preserve">53.19</w:t>
            </w:r>
          </w:p>
        </w:tc>
      </w:tr>
    </w:tbl>
    <w:p>
      <w:pPr>
        <w:pStyle w:val="BodyText"/>
      </w:pPr>
      <w:r>
        <w:t xml:space="preserve">**Note on System Boundary:** The \'Total PCF (factory_gate)\' represents the core product footprint as per the defined system boundary. The \'Total PCF (Cradle-to-Grave holistic view)\' includes the Use Phase and End-of-Life impacts, which, while outside the strict \'factory_gate\' boundary, are included to provide a more comprehensive understanding of the product\'s full lifecycle impact as requested.</w:t>
      </w:r>
    </w:p>
    <w:p>
      <w:r>
        <w:pict>
          <v:rect style="width:0;height:1.5pt" o:hralign="center" o:hrstd="t" o:hr="t"/>
        </w:pict>
      </w:r>
    </w:p>
    <w:bookmarkEnd w:id="39"/>
    <w:bookmarkEnd w:id="40"/>
    <w:bookmarkStart w:id="44" w:name="review-report"/>
    <w:p>
      <w:pPr>
        <w:pStyle w:val="Heading2"/>
      </w:pPr>
      <w:r>
        <w:t xml:space="preserve">4. Review &amp; Report</w:t>
      </w:r>
    </w:p>
    <w:bookmarkStart w:id="41" w:name="emissions-hotspots"/>
    <w:p>
      <w:pPr>
        <w:pStyle w:val="Heading3"/>
      </w:pPr>
      <w:r>
        <w:t xml:space="preserve">4.1. Emissions Hotspots</w:t>
      </w:r>
    </w:p>
    <w:p>
      <w:pPr>
        <w:pStyle w:val="FirstParagraph"/>
      </w:pPr>
      <w:r>
        <w:t xml:space="preserve">The analysis reveals the following significant emissions hotspots for \'zxgrkokdys\':</w:t>
      </w:r>
    </w:p>
    <w:p>
      <w:pPr>
        <w:numPr>
          <w:ilvl w:val="0"/>
          <w:numId w:val="1011"/>
        </w:numPr>
        <w:pStyle w:val="Compact"/>
      </w:pPr>
      <w:r>
        <w:rPr>
          <w:bCs/>
          <w:b/>
        </w:rPr>
        <w:t xml:space="preserve">Use of Sold Products (Category 11):</w:t>
      </w:r>
      <w:r>
        <w:t xml:space="preserve"> </w:t>
      </w:r>
      <w:r>
        <w:t xml:space="preserve">With 30.00 kg CO2e, the energy consumption during the product\'s use phase is the single largest contributor to the holistic PCF. This highlights the importance of energy efficiency in product design and user behavior.</w:t>
      </w:r>
    </w:p>
    <w:p>
      <w:pPr>
        <w:numPr>
          <w:ilvl w:val="0"/>
          <w:numId w:val="1011"/>
        </w:numPr>
        <w:pStyle w:val="Compact"/>
      </w:pPr>
      <w:r>
        <w:rPr>
          <w:bCs/>
          <w:b/>
        </w:rPr>
        <w:t xml:space="preserve">Materials (Category 1):</w:t>
      </w:r>
      <w:r>
        <w:t xml:space="preserve"> </w:t>
      </w:r>
      <w:r>
        <w:t xml:space="preserve">The upstream emissions from purchased goods and services, totaling 26.00 kg CO2e, represent the second largest hotspot. This is primarily driven by the embodied carbon of materials like aluminum, plastics, and electronic components.</w:t>
      </w:r>
    </w:p>
    <w:p>
      <w:pPr>
        <w:numPr>
          <w:ilvl w:val="0"/>
          <w:numId w:val="1011"/>
        </w:numPr>
        <w:pStyle w:val="Compact"/>
      </w:pPr>
      <w:r>
        <w:rPr>
          <w:bCs/>
          <w:b/>
        </w:rPr>
        <w:t xml:space="preserve">Manufacturing Energy (Scope 2):</w:t>
      </w:r>
      <w:r>
        <w:t xml:space="preserve"> </w:t>
      </w:r>
      <w:r>
        <w:t xml:space="preserve">While lower than materials and use phase, the 2.85 kg CO2e from purchased electricity for production is still a notable area for improvement, particularly through increasing renewable energy procurement.</w:t>
      </w:r>
    </w:p>
    <w:p>
      <w:pPr>
        <w:numPr>
          <w:ilvl w:val="0"/>
          <w:numId w:val="1011"/>
        </w:numPr>
        <w:pStyle w:val="Compact"/>
      </w:pPr>
      <w:r>
        <w:rPr>
          <w:bCs/>
          <w:b/>
        </w:rPr>
        <w:t xml:space="preserve">End-of-Life Treatment (Category 12):</w:t>
      </w:r>
      <w:r>
        <w:t xml:space="preserve"> </w:t>
      </w:r>
      <w:r>
        <w:t xml:space="preserve">The circular economy initiatives, particularly the high recyclability percentage (75%) and take-back programs, result in a significant net carbon credit (-6.94 kg CO2e), reducing the overall footprint. This underscores the positive impact of circular design.</w:t>
      </w:r>
    </w:p>
    <w:bookmarkEnd w:id="41"/>
    <w:bookmarkStart w:id="42" w:name="reliability-and-limitations"/>
    <w:p>
      <w:pPr>
        <w:pStyle w:val="Heading3"/>
      </w:pPr>
      <w:r>
        <w:t xml:space="preserve">4.2. Reliability and Limitations</w:t>
      </w:r>
    </w:p>
    <w:p>
      <w:pPr>
        <w:pStyle w:val="FirstParagraph"/>
      </w:pPr>
      <w:r>
        <w:t xml:space="preserve">The reliability of this PCF analysis is generally high, benefiting from specific BOM data and clear parameters. However, certain limitations should be noted:</w:t>
      </w:r>
    </w:p>
    <w:p>
      <w:pPr>
        <w:numPr>
          <w:ilvl w:val="0"/>
          <w:numId w:val="1012"/>
        </w:numPr>
        <w:pStyle w:val="Compact"/>
      </w:pPr>
      <w:r>
        <w:rPr>
          <w:bCs/>
          <w:b/>
        </w:rPr>
        <w:t xml:space="preserve">Emission Factor Assumptions:</w:t>
      </w:r>
      <w:r>
        <w:t xml:space="preserve"> </w:t>
      </w:r>
      <w:r>
        <w:t xml:space="preserve">Generic, illustrative industry-average emission factors were used for transport, grid electricity (China, global average), and EoL processes where specific values were not provided. These can introduce variability compared to highly specific, primary data.</w:t>
      </w:r>
    </w:p>
    <w:p>
      <w:pPr>
        <w:numPr>
          <w:ilvl w:val="0"/>
          <w:numId w:val="1012"/>
        </w:numPr>
        <w:pStyle w:val="Compact"/>
      </w:pPr>
      <w:r>
        <w:rPr>
          <w:bCs/>
          <w:b/>
        </w:rPr>
        <w:t xml:space="preserve">LSR Standard Application:</w:t>
      </w:r>
      <w:r>
        <w:t xml:space="preserve"> </w:t>
      </w:r>
      <w:r>
        <w:t xml:space="preserve">Full granular application of the 2026 LSR Standard for land-use change and removals was limited by the aggregated \'Total Carbon\' values in the BOM. Further detailed data on land use for specific material origins would enhance this aspect.</w:t>
      </w:r>
    </w:p>
    <w:p>
      <w:pPr>
        <w:numPr>
          <w:ilvl w:val="0"/>
          <w:numId w:val="1012"/>
        </w:numPr>
        <w:pStyle w:val="Compact"/>
      </w:pPr>
      <w:r>
        <w:rPr>
          <w:bCs/>
          <w:b/>
        </w:rPr>
        <w:t xml:space="preserve">Boundary Interpretation:</w:t>
      </w:r>
      <w:r>
        <w:t xml:space="preserve"> </w:t>
      </w:r>
      <w:r>
        <w:t xml:space="preserve">The inclusion of Use Phase and End-of-Life, despite a \'factory_gate\' system boundary, provides a holistic view but extends beyond the strict definition of the core PCF. This distinction is clearly noted in the results.</w:t>
      </w:r>
    </w:p>
    <w:p>
      <w:pPr>
        <w:numPr>
          <w:ilvl w:val="0"/>
          <w:numId w:val="1012"/>
        </w:numPr>
        <w:pStyle w:val="Compact"/>
      </w:pPr>
      <w:r>
        <w:rPr>
          <w:bCs/>
          <w:b/>
        </w:rPr>
        <w:t xml:space="preserve">Data Placeholders:</w:t>
      </w:r>
      <w:r>
        <w:t xml:space="preserve"> </w:t>
      </w:r>
      <w:r>
        <w:t xml:space="preserve">The calculations used example values for \'Transport Mode\', \'Transport Distance\', \'Delivery Type\', \'Renewable Energy Usage\', \'Energy Intensity\', \'Product Lifespan\', \'Energy Consumption in Use\', \'Recyclability Percentage\', and \'Circular/Take-back Programs\' as the user provided placeholders. The accuracy of the report would increase with real-world, specific values for these parameters.</w:t>
      </w:r>
    </w:p>
    <w:bookmarkEnd w:id="42"/>
    <w:bookmarkStart w:id="43" w:name="scope-3-compliance-2026-requirements"/>
    <w:p>
      <w:pPr>
        <w:pStyle w:val="Heading3"/>
      </w:pPr>
      <w:r>
        <w:t xml:space="preserve">4.3. Scope 3 Compliance (2026 Requirements)</w:t>
      </w:r>
    </w:p>
    <w:p>
      <w:pPr>
        <w:pStyle w:val="FirstParagraph"/>
      </w:pPr>
      <w:r>
        <w:t xml:space="preserve">This analysis focused on key Scope 3 categories (Category 1: Purchased Goods and Services, Category 4: Upstream Transportation and Distribution, Category 11: Use of Sold Products, Category 12: End-of-Life Treatment) that are most relevant to the product\'s lifecycle as described. By detailing material-specific emissions, transport, use-phase energy, and EoL scenarios, robust coverage has been achieved. Based on the provided data, these categories represent the dominant portions of the value chain, and efforts have been made to ensure at least 95% coverage for Scope 3 reporting, aligning with 2026 requirements, acknowledging the inherent limitations of placeholder data.</w:t>
      </w:r>
    </w:p>
    <w:p>
      <w:r>
        <w:pict>
          <v:rect style="width:0;height:1.5pt" o:hralign="center" o:hrstd="t" o:hr="t"/>
        </w:pict>
      </w:r>
    </w:p>
    <w:p>
      <w:pPr>
        <w:pStyle w:val="FirstParagraph"/>
      </w:pPr>
      <w:r>
        <w:t xml:space="preserve">Confidential - Internal Use Only</w:t>
      </w:r>
    </w:p>
    <w:bookmarkEnd w:id="43"/>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zxgrkokdys</dc:title>
  <dc:creator/>
  <dc:description>Detailed Product Carbon Footprint (PCF) analysis report for zxgrkokdys, following GHG Protocol standards and 2026 LSR updates, prepared by zoimulsylg for zjhrvqgsho.</dc:description>
  <dc:language>en</dc:language>
  <cp:keywords/>
  <dcterms:created xsi:type="dcterms:W3CDTF">2026-07-15T12:43:57Z</dcterms:created>
  <dcterms:modified xsi:type="dcterms:W3CDTF">2026-07-15T12:43:57Z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