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zwxegnwjoq</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zwxegnwjoq</w:t>
      </w:r>
    </w:p>
    <w:p>
      <w:pPr>
        <w:pStyle w:val="BodyText"/>
      </w:pPr>
      <w:r>
        <w:rPr>
          <w:bCs/>
          <w:b/>
        </w:rPr>
        <w:t xml:space="preserve">Company Name:</w:t>
      </w:r>
      <w:r>
        <w:t xml:space="preserve"> </w:t>
      </w:r>
      <w:r>
        <w:t xml:space="preserve">dwutfgnkho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lmdtuepody</w:t>
      </w:r>
    </w:p>
    <w:p>
      <w:pPr>
        <w:pStyle w:val="BodyText"/>
      </w:pPr>
      <w:r>
        <w:t xml:space="preserve">Disclaimer: This report is generated based on available data and industry standards at the time of publication. The calculations are based on the provided parameters and assumed generic emission factors where primary data was unavailable. While striving for accuracy, the results represent an estimate and should be used for informational and strategic planning purposes.</w:t>
      </w:r>
    </w:p>
    <w:bookmarkEnd w:id="20"/>
    <w:bookmarkStart w:id="38" w:name="Xe50b3b7c74152f2a35b34ad48a1728c1fc49f89"/>
    <w:p>
      <w:pPr>
        <w:pStyle w:val="Heading1"/>
      </w:pPr>
      <w:r>
        <w:t xml:space="preserve">Product Carbon Footprint Analysis Report for zwxegnwjoq</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zwxegnwjoq, manufactured by dwutfgnkho. The assessment, conducted by Senior Sustainability Consultant lmdtuepody, adheres strictly to the GHG Protocol standards, including the 2026 Land Sector and Removals (LSR) Update, and aims for at least 95% Scope 3 coverage. The analysis covers the entire lifecycle of the product up to the factory gate, with considerations for downstream impacts, providing a comprehensive understanding of its greenhouse gas emissions profile. The total Product Carbon Footprint for one functional unit of zwxegnwjoq is calculated to be</w:t>
      </w:r>
      <w:r>
        <w:t xml:space="preserve"> </w:t>
      </w:r>
      <w:r>
        <w:rPr>
          <w:bCs/>
          <w:b/>
        </w:rPr>
        <w:t xml:space="preserve">[Total PCF Value] kg CO2e</w:t>
      </w:r>
      <w:r>
        <w:t xml:space="preserv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for the Product Carbon Footprint (PCF) study of zwxegnwjoq.</w:t>
      </w:r>
    </w:p>
    <w:p>
      <w:pPr>
        <w:numPr>
          <w:ilvl w:val="0"/>
          <w:numId w:val="1001"/>
        </w:numPr>
        <w:pStyle w:val="Compact"/>
      </w:pPr>
      <w:r>
        <w:rPr>
          <w:bCs/>
          <w:b/>
        </w:rPr>
        <w:t xml:space="preserve">Functional Unit:</w:t>
      </w:r>
      <w:r>
        <w:t xml:space="preserve"> </w:t>
      </w:r>
      <w:r>
        <w:t xml:space="preserve">1.0 unit of zwxegnwjoq.</w:t>
      </w:r>
    </w:p>
    <w:p>
      <w:pPr>
        <w:numPr>
          <w:ilvl w:val="0"/>
          <w:numId w:val="1001"/>
        </w:numPr>
        <w:pStyle w:val="Compact"/>
      </w:pPr>
      <w:r>
        <w:rPr>
          <w:bCs/>
          <w:b/>
        </w:rPr>
        <w:t xml:space="preserve">System Boundary:</w:t>
      </w:r>
      <w:r>
        <w:t xml:space="preserve"> </w:t>
      </w:r>
      <w:r>
        <w:t xml:space="preserve">factory_gate. This boundary encompasses all processes from raw material extraction (cradle) through manufacturing and assembly, up to the point where the finished product leaves the factory gate. Downstream impacts (transport, use, and end-of-life) are also included to provide a holistic view.</w:t>
      </w:r>
    </w:p>
    <w:p>
      <w:pPr>
        <w:numPr>
          <w:ilvl w:val="0"/>
          <w:numId w:val="1001"/>
        </w:numPr>
        <w:pStyle w:val="Compact"/>
      </w:pPr>
      <w:r>
        <w:rPr>
          <w:bCs/>
          <w:b/>
        </w:rPr>
        <w:t xml:space="preserve">Geographic Scope:</w:t>
      </w:r>
      <w:r>
        <w:t xml:space="preserve"> </w:t>
      </w:r>
      <w:r>
        <w:t xml:space="preserve">Final Production Country: China. Supply Chain Focus: Europe Focused. This implies material sourcing and initial processing may occur in Europe, with final assembly in China. Use-phase assumptions are based on a European market context.</w:t>
      </w:r>
    </w:p>
    <w:p>
      <w:pPr>
        <w:numPr>
          <w:ilvl w:val="0"/>
          <w:numId w:val="1001"/>
        </w:numPr>
        <w:pStyle w:val="Compact"/>
      </w:pPr>
      <w:r>
        <w:rPr>
          <w:bCs/>
          <w:b/>
        </w:rPr>
        <w:t xml:space="preserve">Accounting Standard:</w:t>
      </w:r>
      <w:r>
        <w:t xml:space="preserve"> </w:t>
      </w:r>
      <w:r>
        <w:t xml:space="preserve">GHG Protocol Product Standard (ISO 14067 aligned), with specific adherence to the 2026 Land Sector and Removals (LSR) Standard for land use and carbon removals, and ensuring at least 95% coverage for Scope 3 reporting as per 2026 requirements.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For shared processes, a mass-based allocation is assumed where specific data is not available.</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The lifecycle of zwxegnwjoq is mapped across key stages, and data is collected from both primary (provided parameters) and secondary (industry-standard emission factors) sources. The emission factors used are consistent with Ecoinvent/DEFRA standards.</w:t>
      </w:r>
    </w:p>
    <w:bookmarkStart w:id="23" w:name="X1198c8af25dd1a2ebffa686809674f976343a37"/>
    <w:p>
      <w:pPr>
        <w:pStyle w:val="Heading3"/>
      </w:pPr>
      <w:r>
        <w:t xml:space="preserve">3.1. Material Acquisition &amp; Pre-processing (Scope 3 - Upstream)</w:t>
      </w:r>
    </w:p>
    <w:p>
      <w:pPr>
        <w:pStyle w:val="FirstParagraph"/>
      </w:pPr>
      <w:r>
        <w:t xml:space="preserve">The Detailed Bill of Materials (BOM) for zwxegnwjoq is utilized to calculate the emissions associated with raw material extraction, processing, and manufacturing of components. The provided "Total Carbon" values for each BOM item are directly incorporated into the calculation for material impact.</w:t>
      </w:r>
    </w:p>
    <w:p>
      <w:pPr>
        <w:pStyle w:val="BodyText"/>
      </w:pPr>
      <w:r>
        <w:rPr>
          <w:bCs/>
          <w:b/>
        </w:rPr>
        <w:t xml:space="preserve">Detailed Bill of Materials (BOM) Analysis: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ITEM001</w:t>
            </w:r>
          </w:p>
        </w:tc>
        <w:tc>
          <w:tcPr/>
          <w:p>
            <w:pPr>
              <w:pStyle w:val="Compact"/>
              <w:jc w:val="left"/>
            </w:pPr>
            <w:r>
              <w:t xml:space="preserve">Aluminum Enclosure</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ITEM002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ITEM003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bl>
    <w:p>
      <w:pPr>
        <w:pStyle w:val="BodyText"/>
      </w:pPr>
      <w:r>
        <w:rPr>
          <w:bCs/>
          <w:b/>
        </w:rPr>
        <w:t xml:space="preserve">Total Product Weight from BOM:</w:t>
      </w:r>
      <w:r>
        <w:t xml:space="preserve"> </w:t>
      </w:r>
      <w:r>
        <w:t xml:space="preserve">(0.5 kg + 0.2 kg + 0.1 kg [assuming 1 unit of circuit board is 0.1 kg]) = 0.8 kg</w:t>
      </w:r>
    </w:p>
    <w:p>
      <w:pPr>
        <w:pStyle w:val="BodyText"/>
      </w:pPr>
      <w:r>
        <w:rPr>
          <w:bCs/>
          <w:b/>
        </w:rPr>
        <w:t xml:space="preserve">Total Emissions from Materials (Scope 3):</w:t>
      </w:r>
      <w:r>
        <w:t xml:space="preserve"> </w:t>
      </w:r>
      <w:r>
        <w:t xml:space="preserve">3.5 kgCO2e (Aluminum) + 0.6 kgCO2e (Plastic) + 1.5 kgCO2e (Circuit Board) =</w:t>
      </w:r>
      <w:r>
        <w:t xml:space="preserve"> </w:t>
      </w:r>
      <w:r>
        <w:rPr>
          <w:bCs/>
          <w:b/>
        </w:rPr>
        <w:t xml:space="preserve">5.6 kgCO2e</w:t>
      </w:r>
    </w:p>
    <w:bookmarkEnd w:id="23"/>
    <w:bookmarkStart w:id="24" w:name="production-phase-scope-1-2"/>
    <w:p>
      <w:pPr>
        <w:pStyle w:val="Heading3"/>
      </w:pPr>
      <w:r>
        <w:t xml:space="preserve">3.2. Production Phase (Scope 1 &amp; 2)</w:t>
      </w:r>
    </w:p>
    <w:p>
      <w:pPr>
        <w:pStyle w:val="FirstParagraph"/>
      </w:pPr>
      <w:r>
        <w:t xml:space="preserve">The production phase covers the energy consumed at the manufacturing facility in China.</w:t>
      </w:r>
    </w:p>
    <w:p>
      <w:pPr>
        <w:numPr>
          <w:ilvl w:val="0"/>
          <w:numId w:val="1002"/>
        </w:numPr>
        <w:pStyle w:val="Compact"/>
      </w:pPr>
      <w:r>
        <w:rPr>
          <w:bCs/>
          <w:b/>
        </w:rPr>
        <w:t xml:space="preserve">Energy Intensity (kWh/unit):</w:t>
      </w:r>
      <w:r>
        <w:t xml:space="preserve"> </w:t>
      </w:r>
      <w:r>
        <w:t xml:space="preserve">nqtevjqjef (Assumed: 15 kWh/unit)</w:t>
      </w:r>
    </w:p>
    <w:p>
      <w:pPr>
        <w:numPr>
          <w:ilvl w:val="0"/>
          <w:numId w:val="1002"/>
        </w:numPr>
        <w:pStyle w:val="Compact"/>
      </w:pPr>
      <w:r>
        <w:rPr>
          <w:bCs/>
          <w:b/>
        </w:rPr>
        <w:t xml:space="preserve">Renewable Energy Usage:</w:t>
      </w:r>
      <w:r>
        <w:t xml:space="preserve"> </w:t>
      </w:r>
      <w:r>
        <w:t xml:space="preserve">wqqkedvxzd (Assumed: 40%)</w:t>
      </w:r>
    </w:p>
    <w:p>
      <w:pPr>
        <w:numPr>
          <w:ilvl w:val="0"/>
          <w:numId w:val="1002"/>
        </w:numPr>
        <w:pStyle w:val="Compact"/>
      </w:pPr>
      <w:r>
        <w:rPr>
          <w:bCs/>
          <w:b/>
        </w:rPr>
        <w:t xml:space="preserve">Non-Renewable Energy Usage:</w:t>
      </w:r>
      <w:r>
        <w:t xml:space="preserve"> </w:t>
      </w:r>
      <w:r>
        <w:t xml:space="preserve">(100% - 40%) = 60%</w:t>
      </w:r>
    </w:p>
    <w:p>
      <w:pPr>
        <w:numPr>
          <w:ilvl w:val="0"/>
          <w:numId w:val="1002"/>
        </w:numPr>
        <w:pStyle w:val="Compact"/>
      </w:pPr>
      <w:r>
        <w:rPr>
          <w:bCs/>
          <w:b/>
        </w:rPr>
        <w:t xml:space="preserve">China Electricity Grid Emission Factor:</w:t>
      </w:r>
      <w:r>
        <w:t xml:space="preserve"> </w:t>
      </w:r>
      <w:r>
        <w:t xml:space="preserve">0.6205 kgCO2e/kWh (national average for 2023).</w:t>
      </w:r>
    </w:p>
    <w:p>
      <w:pPr>
        <w:pStyle w:val="FirstParagraph"/>
      </w:pPr>
      <w:r>
        <w:rPr>
          <w:bCs/>
          <w:b/>
        </w:rPr>
        <w:t xml:space="preserve">Purchased Electricity (Non-Renewable):</w:t>
      </w:r>
      <w:r>
        <w:t xml:space="preserve"> </w:t>
      </w:r>
      <w:r>
        <w:t xml:space="preserve">15 kWh/unit * 60% = 9 kWh/unit</w:t>
      </w:r>
    </w:p>
    <w:p>
      <w:pPr>
        <w:pStyle w:val="BodyText"/>
      </w:pPr>
      <w:r>
        <w:rPr>
          <w:bCs/>
          <w:b/>
        </w:rPr>
        <w:t xml:space="preserve">Emissions from Purchased Electricity (Scope 2, Location-based):</w:t>
      </w:r>
      <w:r>
        <w:t xml:space="preserve"> </w:t>
      </w:r>
      <w:r>
        <w:t xml:space="preserve">9 kWh/unit * 0.6205 kgCO2e/kWh =</w:t>
      </w:r>
      <w:r>
        <w:t xml:space="preserve"> </w:t>
      </w:r>
      <w:r>
        <w:rPr>
          <w:bCs/>
          <w:b/>
        </w:rPr>
        <w:t xml:space="preserve">5.5845 kgCO2e/unit</w:t>
      </w:r>
    </w:p>
    <w:p>
      <w:pPr>
        <w:pStyle w:val="BodyText"/>
      </w:pPr>
      <w:r>
        <w:t xml:space="preserve">Note: The 40% renewable energy usage is assumed to be from purchased renewable electricity with zero market-based emissions, thus reducing the reliance on grid electricity for this portion of the energy consumption. If a location-based approach were strictly applied to the entire energy consumption without considering specific renewable energy procurement, the emissions would be higher.</w:t>
      </w:r>
    </w:p>
    <w:bookmarkEnd w:id="24"/>
    <w:bookmarkStart w:id="25" w:name="transport-scope-3---upstream-downstream"/>
    <w:p>
      <w:pPr>
        <w:pStyle w:val="Heading3"/>
      </w:pPr>
      <w:r>
        <w:t xml:space="preserve">3.3. Transport (Scope 3 - Upstream &amp; Downstream)</w:t>
      </w:r>
    </w:p>
    <w:p>
      <w:pPr>
        <w:pStyle w:val="FirstParagraph"/>
      </w:pPr>
      <w:r>
        <w:t xml:space="preserve">Logistics data incorporates both primary transport to the manufacturing facility (upstream) and potential last-mile delivery to the customer (downstream).</w:t>
      </w:r>
    </w:p>
    <w:p>
      <w:pPr>
        <w:numPr>
          <w:ilvl w:val="0"/>
          <w:numId w:val="1003"/>
        </w:numPr>
        <w:pStyle w:val="Compact"/>
      </w:pPr>
      <w:r>
        <w:rPr>
          <w:bCs/>
          <w:b/>
        </w:rPr>
        <w:t xml:space="preserve">Product Weight (Assumed for Transport):</w:t>
      </w:r>
      <w:r>
        <w:t xml:space="preserve"> </w:t>
      </w:r>
      <w:r>
        <w:t xml:space="preserve">0.8 kg (total material mass from BOM)</w:t>
      </w:r>
    </w:p>
    <w:p>
      <w:pPr>
        <w:numPr>
          <w:ilvl w:val="0"/>
          <w:numId w:val="1003"/>
        </w:numPr>
        <w:pStyle w:val="Compact"/>
      </w:pPr>
      <w:r>
        <w:rPr>
          <w:bCs/>
          <w:b/>
        </w:rPr>
        <w:t xml:space="preserve">Transport Mode (Assumed):</w:t>
      </w:r>
      <w:r>
        <w:t xml:space="preserve"> </w:t>
      </w:r>
      <w:r>
        <w:t xml:space="preserve">Sea freight for main leg (Europe to China), Road freight for secondary transport (within China), and Parcel delivery van for last-mile.</w:t>
      </w:r>
    </w:p>
    <w:p>
      <w:pPr>
        <w:numPr>
          <w:ilvl w:val="0"/>
          <w:numId w:val="1003"/>
        </w:numPr>
        <w:pStyle w:val="Compact"/>
      </w:pPr>
      <w:r>
        <w:rPr>
          <w:bCs/>
          <w:b/>
        </w:rPr>
        <w:t xml:space="preserve">Transport Distance (Assumed for Calculation):</w:t>
      </w:r>
    </w:p>
    <w:p>
      <w:pPr>
        <w:numPr>
          <w:ilvl w:val="1"/>
          <w:numId w:val="1004"/>
        </w:numPr>
        <w:pStyle w:val="Compact"/>
      </w:pPr>
      <w:r>
        <w:t xml:space="preserve">Sea Freight (Europe to China): 10,000 km</w:t>
      </w:r>
    </w:p>
    <w:p>
      <w:pPr>
        <w:numPr>
          <w:ilvl w:val="1"/>
          <w:numId w:val="1004"/>
        </w:numPr>
        <w:pStyle w:val="Compact"/>
      </w:pPr>
      <w:r>
        <w:t xml:space="preserve">Road Freight (within China/Europe): 500 km</w:t>
      </w:r>
    </w:p>
    <w:p>
      <w:pPr>
        <w:numPr>
          <w:ilvl w:val="1"/>
          <w:numId w:val="1004"/>
        </w:numPr>
        <w:pStyle w:val="Compact"/>
      </w:pPr>
      <w:r>
        <w:t xml:space="preserve">Last-Mile Delivery: 50 km</w:t>
      </w:r>
    </w:p>
    <w:p>
      <w:pPr>
        <w:numPr>
          <w:ilvl w:val="0"/>
          <w:numId w:val="1003"/>
        </w:numPr>
        <w:pStyle w:val="Compact"/>
      </w:pPr>
      <w:r>
        <w:rPr>
          <w:bCs/>
          <w:b/>
        </w:rPr>
        <w:t xml:space="preserve">Emission Factors:</w:t>
      </w:r>
    </w:p>
    <w:p>
      <w:pPr>
        <w:numPr>
          <w:ilvl w:val="1"/>
          <w:numId w:val="1005"/>
        </w:numPr>
        <w:pStyle w:val="Compact"/>
      </w:pPr>
      <w:r>
        <w:t xml:space="preserve">Sea Freight: 0.016 kgCO2e/tkm (16 g/tkm)</w:t>
      </w:r>
    </w:p>
    <w:p>
      <w:pPr>
        <w:numPr>
          <w:ilvl w:val="1"/>
          <w:numId w:val="1005"/>
        </w:numPr>
        <w:pStyle w:val="Compact"/>
      </w:pPr>
      <w:r>
        <w:t xml:space="preserve">Road Freight (Heavy duty truck): 0.090 kgCO2e/tkm (derived from EPA data)</w:t>
      </w:r>
    </w:p>
    <w:p>
      <w:pPr>
        <w:numPr>
          <w:ilvl w:val="1"/>
          <w:numId w:val="1005"/>
        </w:numPr>
        <w:pStyle w:val="Compact"/>
      </w:pPr>
      <w:r>
        <w:t xml:space="preserve">Parcel Delivery Van: 0.150 kgCO2e/tkm</w:t>
      </w:r>
    </w:p>
    <w:p>
      <w:pPr>
        <w:pStyle w:val="FirstParagraph"/>
      </w:pPr>
      <w:r>
        <w:rPr>
          <w:bCs/>
          <w:b/>
        </w:rPr>
        <w:t xml:space="preserve">Calculations:</w:t>
      </w:r>
    </w:p>
    <w:p>
      <w:pPr>
        <w:numPr>
          <w:ilvl w:val="0"/>
          <w:numId w:val="1006"/>
        </w:numPr>
        <w:pStyle w:val="Compact"/>
      </w:pPr>
      <w:r>
        <w:rPr>
          <w:bCs/>
          <w:b/>
        </w:rPr>
        <w:t xml:space="preserve">Sea Freight Emissions (Upstream):</w:t>
      </w:r>
      <w:r>
        <w:t xml:space="preserve"> </w:t>
      </w:r>
      <w:r>
        <w:t xml:space="preserve">(0.8 kg / 1000 kg/tonne) * 10,000 km * 0.016 kgCO2e/tkm =</w:t>
      </w:r>
      <w:r>
        <w:t xml:space="preserve"> </w:t>
      </w:r>
      <w:r>
        <w:rPr>
          <w:bCs/>
          <w:b/>
        </w:rPr>
        <w:t xml:space="preserve">0.128 kgCO2e/unit</w:t>
      </w:r>
    </w:p>
    <w:p>
      <w:pPr>
        <w:numPr>
          <w:ilvl w:val="0"/>
          <w:numId w:val="1006"/>
        </w:numPr>
        <w:pStyle w:val="Compact"/>
      </w:pPr>
      <w:r>
        <w:rPr>
          <w:bCs/>
          <w:b/>
        </w:rPr>
        <w:t xml:space="preserve">Road Freight Emissions (Upstream/Downstream):</w:t>
      </w:r>
      <w:r>
        <w:t xml:space="preserve"> </w:t>
      </w:r>
      <w:r>
        <w:t xml:space="preserve">(0.8 kg / 1000 kg/tonne) * 500 km * 0.090 kgCO2e/tkm =</w:t>
      </w:r>
      <w:r>
        <w:t xml:space="preserve"> </w:t>
      </w:r>
      <w:r>
        <w:rPr>
          <w:bCs/>
          <w:b/>
        </w:rPr>
        <w:t xml:space="preserve">0.036 kgCO2e/unit</w:t>
      </w:r>
    </w:p>
    <w:p>
      <w:pPr>
        <w:numPr>
          <w:ilvl w:val="0"/>
          <w:numId w:val="1006"/>
        </w:numPr>
        <w:pStyle w:val="Compact"/>
      </w:pPr>
      <w:r>
        <w:rPr>
          <w:bCs/>
          <w:b/>
        </w:rPr>
        <w:t xml:space="preserve">Last-Mile Delivery Emissions (Downstream):</w:t>
      </w:r>
      <w:r>
        <w:t xml:space="preserve"> </w:t>
      </w:r>
      <w:r>
        <w:t xml:space="preserve">(0.8 kg / 1000 kg/tonne) * 50 km * 0.150 kgCO2e/tkm =</w:t>
      </w:r>
      <w:r>
        <w:t xml:space="preserve"> </w:t>
      </w:r>
      <w:r>
        <w:rPr>
          <w:bCs/>
          <w:b/>
        </w:rPr>
        <w:t xml:space="preserve">0.006 kgCO2e/unit</w:t>
      </w:r>
    </w:p>
    <w:p>
      <w:pPr>
        <w:pStyle w:val="FirstParagraph"/>
      </w:pPr>
      <w:r>
        <w:rPr>
          <w:bCs/>
          <w:b/>
        </w:rPr>
        <w:t xml:space="preserve">Total Emissions from Transport (Scope 3):</w:t>
      </w:r>
      <w:r>
        <w:t xml:space="preserve"> </w:t>
      </w:r>
      <w:r>
        <w:t xml:space="preserve">0.128 + 0.036 + 0.006 =</w:t>
      </w:r>
      <w:r>
        <w:t xml:space="preserve"> </w:t>
      </w:r>
      <w:r>
        <w:rPr>
          <w:bCs/>
          <w:b/>
        </w:rPr>
        <w:t xml:space="preserve">0.170 kgCO2e/unit</w:t>
      </w:r>
    </w:p>
    <w:bookmarkEnd w:id="25"/>
    <w:bookmarkStart w:id="26" w:name="use-phase-scope-3---downstream"/>
    <w:p>
      <w:pPr>
        <w:pStyle w:val="Heading3"/>
      </w:pPr>
      <w:r>
        <w:t xml:space="preserve">3.4. Use Phase (Scope 3 - Downstream)</w:t>
      </w:r>
    </w:p>
    <w:p>
      <w:pPr>
        <w:pStyle w:val="FirstParagraph"/>
      </w:pPr>
      <w:r>
        <w:t xml:space="preserve">The use phase accounts for energy consumption during the product\'s lifespan.</w:t>
      </w:r>
    </w:p>
    <w:p>
      <w:pPr>
        <w:numPr>
          <w:ilvl w:val="0"/>
          <w:numId w:val="1007"/>
        </w:numPr>
        <w:pStyle w:val="Compact"/>
      </w:pPr>
      <w:r>
        <w:rPr>
          <w:bCs/>
          <w:b/>
        </w:rPr>
        <w:t xml:space="preserve">Product Lifespan:</w:t>
      </w:r>
      <w:r>
        <w:t xml:space="preserve"> </w:t>
      </w:r>
      <w:r>
        <w:t xml:space="preserve">jqemnthkju (Assumed: 7 years)</w:t>
      </w:r>
    </w:p>
    <w:p>
      <w:pPr>
        <w:numPr>
          <w:ilvl w:val="0"/>
          <w:numId w:val="1007"/>
        </w:numPr>
        <w:pStyle w:val="Compact"/>
      </w:pPr>
      <w:r>
        <w:rPr>
          <w:bCs/>
          <w:b/>
        </w:rPr>
        <w:t xml:space="preserve">Energy Consumption in Use:</w:t>
      </w:r>
      <w:r>
        <w:t xml:space="preserve"> </w:t>
      </w:r>
      <w:r>
        <w:t xml:space="preserve">ifgxstydvj (Assumed: 5 kWh/year)</w:t>
      </w:r>
    </w:p>
    <w:p>
      <w:pPr>
        <w:numPr>
          <w:ilvl w:val="0"/>
          <w:numId w:val="1007"/>
        </w:numPr>
        <w:pStyle w:val="Compact"/>
      </w:pPr>
      <w:r>
        <w:rPr>
          <w:bCs/>
          <w:b/>
        </w:rPr>
        <w:t xml:space="preserve">Total Energy Consumption over Lifespan:</w:t>
      </w:r>
      <w:r>
        <w:t xml:space="preserve"> </w:t>
      </w:r>
      <w:r>
        <w:t xml:space="preserve">5 kWh/year * 7 years = 35 kWh</w:t>
      </w:r>
    </w:p>
    <w:p>
      <w:pPr>
        <w:numPr>
          <w:ilvl w:val="0"/>
          <w:numId w:val="1007"/>
        </w:numPr>
        <w:pStyle w:val="Compact"/>
      </w:pPr>
      <w:r>
        <w:rPr>
          <w:bCs/>
          <w:b/>
        </w:rPr>
        <w:t xml:space="preserve">EU Electricity Grid Emission Factor (Assumed for use-phase):</w:t>
      </w:r>
      <w:r>
        <w:t xml:space="preserve"> </w:t>
      </w:r>
      <w:r>
        <w:t xml:space="preserve">0.238 kgCO2e/kWh (EU-27 for 2019, reasonable average).</w:t>
      </w:r>
    </w:p>
    <w:p>
      <w:pPr>
        <w:pStyle w:val="FirstParagraph"/>
      </w:pPr>
      <w:r>
        <w:rPr>
          <w:bCs/>
          <w:b/>
        </w:rPr>
        <w:t xml:space="preserve">Emissions from Use Phase (Scope 3):</w:t>
      </w:r>
      <w:r>
        <w:t xml:space="preserve"> </w:t>
      </w:r>
      <w:r>
        <w:t xml:space="preserve">35 kWh * 0.238 kgCO2e/kWh =</w:t>
      </w:r>
      <w:r>
        <w:t xml:space="preserve"> </w:t>
      </w:r>
      <w:r>
        <w:rPr>
          <w:bCs/>
          <w:b/>
        </w:rPr>
        <w:t xml:space="preserve">8.33 kgCO2e/unit</w:t>
      </w:r>
    </w:p>
    <w:bookmarkEnd w:id="26"/>
    <w:bookmarkStart w:id="27" w:name="X92fbc61eed99b9d9aafbebcbbd2c7ad7660f7e4"/>
    <w:p>
      <w:pPr>
        <w:pStyle w:val="Heading3"/>
      </w:pPr>
      <w:r>
        <w:t xml:space="preserve">3.5. End-of-Life (EoL) Phase (Scope 3 - Downstream)</w:t>
      </w:r>
    </w:p>
    <w:p>
      <w:pPr>
        <w:pStyle w:val="FirstParagraph"/>
      </w:pPr>
      <w:r>
        <w:t xml:space="preserve">The EoL phase considers the disposal or recycling of the product at the end of its useful life, reflecting circular economy impacts.</w:t>
      </w:r>
    </w:p>
    <w:p>
      <w:pPr>
        <w:numPr>
          <w:ilvl w:val="0"/>
          <w:numId w:val="1008"/>
        </w:numPr>
        <w:pStyle w:val="Compact"/>
      </w:pPr>
      <w:r>
        <w:rPr>
          <w:bCs/>
          <w:b/>
        </w:rPr>
        <w:t xml:space="preserve">Total Product Weight:</w:t>
      </w:r>
      <w:r>
        <w:t xml:space="preserve"> </w:t>
      </w:r>
      <w:r>
        <w:t xml:space="preserve">0.8 kg</w:t>
      </w:r>
    </w:p>
    <w:p>
      <w:pPr>
        <w:numPr>
          <w:ilvl w:val="0"/>
          <w:numId w:val="1008"/>
        </w:numPr>
        <w:pStyle w:val="Compact"/>
      </w:pPr>
      <w:r>
        <w:rPr>
          <w:bCs/>
          <w:b/>
        </w:rPr>
        <w:t xml:space="preserve">Recyclability Percentage:</w:t>
      </w:r>
      <w:r>
        <w:t xml:space="preserve"> </w:t>
      </w:r>
      <w:r>
        <w:t xml:space="preserve">xgdsjlyqtz (Assumed: 70%)</w:t>
      </w:r>
    </w:p>
    <w:p>
      <w:pPr>
        <w:numPr>
          <w:ilvl w:val="0"/>
          <w:numId w:val="1008"/>
        </w:numPr>
        <w:pStyle w:val="Compact"/>
      </w:pPr>
      <w:r>
        <w:rPr>
          <w:bCs/>
          <w:b/>
        </w:rPr>
        <w:t xml:space="preserve">Non-recycled Portion:</w:t>
      </w:r>
      <w:r>
        <w:t xml:space="preserve"> </w:t>
      </w:r>
      <w:r>
        <w:t xml:space="preserve">(100% - 70%) = 30%</w:t>
      </w:r>
    </w:p>
    <w:p>
      <w:pPr>
        <w:numPr>
          <w:ilvl w:val="0"/>
          <w:numId w:val="1008"/>
        </w:numPr>
        <w:pStyle w:val="Compact"/>
      </w:pPr>
      <w:r>
        <w:rPr>
          <w:bCs/>
          <w:b/>
        </w:rPr>
        <w:t xml:space="preserve">Mass to Landfill:</w:t>
      </w:r>
      <w:r>
        <w:t xml:space="preserve"> </w:t>
      </w:r>
      <w:r>
        <w:t xml:space="preserve">0.8 kg * 30% = 0.24 kg</w:t>
      </w:r>
    </w:p>
    <w:p>
      <w:pPr>
        <w:numPr>
          <w:ilvl w:val="0"/>
          <w:numId w:val="1008"/>
        </w:numPr>
        <w:pStyle w:val="Compact"/>
      </w:pPr>
      <w:r>
        <w:rPr>
          <w:bCs/>
          <w:b/>
        </w:rPr>
        <w:t xml:space="preserve">EoL Landfill Emission Factor (Mixed Waste):</w:t>
      </w:r>
      <w:r>
        <w:t xml:space="preserve"> </w:t>
      </w:r>
      <w:r>
        <w:t xml:space="preserve">0.3 kgCO2e/kg (for conventional landfilling of mixed waste).</w:t>
      </w:r>
    </w:p>
    <w:p>
      <w:pPr>
        <w:numPr>
          <w:ilvl w:val="0"/>
          <w:numId w:val="1008"/>
        </w:numPr>
        <w:pStyle w:val="Compact"/>
      </w:pPr>
      <w:r>
        <w:rPr>
          <w:bCs/>
          <w:b/>
        </w:rPr>
        <w:t xml:space="preserve">Circular/Take-back Programs:</w:t>
      </w:r>
      <w:r>
        <w:t xml:space="preserve"> </w:t>
      </w:r>
      <w:r>
        <w:t xml:space="preserve">oyvphelkqt (Company-wide take-back program available in key markets). This program facilitates the high recyclability percentage and ensures responsible end-of-life management, potentially reducing landfilling.</w:t>
      </w:r>
    </w:p>
    <w:p>
      <w:pPr>
        <w:pStyle w:val="FirstParagraph"/>
      </w:pPr>
      <w:r>
        <w:rPr>
          <w:bCs/>
          <w:b/>
        </w:rPr>
        <w:t xml:space="preserve">Emissions from End-of-Life (Scope 3):</w:t>
      </w:r>
      <w:r>
        <w:t xml:space="preserve"> </w:t>
      </w:r>
      <w:r>
        <w:t xml:space="preserve">0.24 kg * 0.3 kgCO2e/kg =</w:t>
      </w:r>
      <w:r>
        <w:t xml:space="preserve"> </w:t>
      </w:r>
      <w:r>
        <w:rPr>
          <w:bCs/>
          <w:b/>
        </w:rPr>
        <w:t xml:space="preserve">0.072 kgCO2e/unit</w:t>
      </w:r>
    </w:p>
    <w:p>
      <w:r>
        <w:pict>
          <v:rect style="width:0;height:1.5pt" o:hralign="center" o:hrstd="t" o:hr="t"/>
        </w:pict>
      </w:r>
    </w:p>
    <w:bookmarkEnd w:id="27"/>
    <w:bookmarkEnd w:id="28"/>
    <w:bookmarkStart w:id="33" w:name="Xb404f6bea4a0013006ec7a9103609d9ea6643c1"/>
    <w:p>
      <w:pPr>
        <w:pStyle w:val="Heading2"/>
      </w:pPr>
      <w:r>
        <w:t xml:space="preserve">4. Calculate Emissions (Activity * Emission Factor = CO2e)</w:t>
      </w:r>
    </w:p>
    <w:p>
      <w:pPr>
        <w:pStyle w:val="FirstParagraph"/>
      </w:pPr>
      <w:r>
        <w:t xml:space="preserve">The total Product Carbon Footprint is calculated by summing emissions from all lifecycle stages, categorized according to the GHG Protocol.</w:t>
      </w:r>
    </w:p>
    <w:bookmarkStart w:id="29" w:name="X0a47ed12edb61e94549ebe1cb746e656b997b42"/>
    <w:p>
      <w:pPr>
        <w:pStyle w:val="Heading3"/>
      </w:pPr>
      <w:r>
        <w:t xml:space="preserve">4.1. Summary of GHG Emissions by Scope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rPr>
                <w:bCs/>
                <w:b/>
              </w:rPr>
              <w:t xml:space="preserve">Scope 1</w:t>
            </w:r>
            <w:r>
              <w:t xml:space="preserve"> </w:t>
            </w:r>
            <w:r>
              <w:t xml:space="preserve">(Direct Emissions)</w:t>
            </w:r>
          </w:p>
        </w:tc>
        <w:tc>
          <w:tcPr/>
          <w:p>
            <w:pPr>
              <w:pStyle w:val="Compact"/>
              <w:jc w:val="left"/>
            </w:pPr>
            <w:r>
              <w:rPr>
                <w:iCs/>
                <w:i/>
              </w:rPr>
              <w:t xml:space="preserve">Not applicable at factory_gate boundary without direct fuel combustion by reporting company.</w:t>
            </w:r>
          </w:p>
        </w:tc>
        <w:tc>
          <w:tcPr/>
          <w:p>
            <w:pPr>
              <w:pStyle w:val="Compact"/>
              <w:jc w:val="left"/>
            </w:pPr>
            <w:r>
              <w:t xml:space="preserve">0.000</w:t>
            </w:r>
          </w:p>
        </w:tc>
      </w:tr>
      <w:tr>
        <w:tc>
          <w:tcPr/>
          <w:p>
            <w:pPr>
              <w:pStyle w:val="Compact"/>
              <w:jc w:val="left"/>
            </w:pPr>
            <w:r>
              <w:rPr>
                <w:bCs/>
                <w:b/>
              </w:rPr>
              <w:t xml:space="preserve">Scope 2</w:t>
            </w:r>
            <w:r>
              <w:t xml:space="preserve"> </w:t>
            </w:r>
            <w:r>
              <w:t xml:space="preserve">(Purchased Energy)</w:t>
            </w:r>
          </w:p>
        </w:tc>
        <w:tc>
          <w:tcPr/>
          <w:p>
            <w:pPr>
              <w:pStyle w:val="Compact"/>
              <w:jc w:val="left"/>
            </w:pPr>
            <w:r>
              <w:t xml:space="preserve">Production Phase Electricity (non-renewable)</w:t>
            </w:r>
          </w:p>
        </w:tc>
        <w:tc>
          <w:tcPr/>
          <w:p>
            <w:pPr>
              <w:pStyle w:val="Compact"/>
              <w:jc w:val="left"/>
            </w:pPr>
            <w:r>
              <w:t xml:space="preserve">5.5845</w:t>
            </w:r>
          </w:p>
        </w:tc>
      </w:tr>
      <w:tr>
        <w:tc>
          <w:tcPr>
            <w:vMerge w:val="restart"/>
          </w:tcPr>
          <w:p>
            <w:pPr>
              <w:pStyle w:val="Compact"/>
              <w:jc w:val="left"/>
            </w:pPr>
            <w:r>
              <w:rPr>
                <w:bCs/>
                <w:b/>
              </w:rPr>
              <w:t xml:space="preserve">Scope 3</w:t>
            </w:r>
            <w:r>
              <w:t xml:space="preserve"> </w:t>
            </w:r>
            <w:r>
              <w:t xml:space="preserve">(Value Chain Emissions)</w:t>
            </w:r>
          </w:p>
        </w:tc>
        <w:tc>
          <w:tcPr/>
          <w:p>
            <w:pPr>
              <w:pStyle w:val="Compact"/>
              <w:jc w:val="left"/>
            </w:pPr>
            <w:r>
              <w:t xml:space="preserve">Upstream: Material Acquisition &amp; Pre-processing</w:t>
            </w:r>
          </w:p>
        </w:tc>
        <w:tc>
          <w:tcPr/>
          <w:p>
            <w:pPr>
              <w:pStyle w:val="Compact"/>
              <w:jc w:val="left"/>
            </w:pPr>
            <w:r>
              <w:t xml:space="preserve">5.600</w:t>
            </w:r>
          </w:p>
        </w:tc>
      </w:tr>
      <w:tr>
        <w:tc>
          <w:tcPr>
            <w:gridSpan w:val="1"/>
            <w:vMerge w:val="continue"/>
          </w:tcPr>
          <w:p>
            <w:pPr/>
          </w:p>
        </w:tc>
        <w:tc>
          <w:tcPr/>
          <w:p>
            <w:pPr>
              <w:pStyle w:val="Compact"/>
              <w:jc w:val="left"/>
            </w:pPr>
            <w:r>
              <w:t xml:space="preserve">Upstream/Downstream: Transport</w:t>
            </w:r>
          </w:p>
        </w:tc>
        <w:tc>
          <w:tcPr/>
          <w:p>
            <w:pPr>
              <w:pStyle w:val="Compact"/>
              <w:jc w:val="left"/>
            </w:pPr>
            <w:r>
              <w:t xml:space="preserve">0.170</w:t>
            </w:r>
          </w:p>
        </w:tc>
      </w:tr>
      <w:tr>
        <w:tc>
          <w:tcPr>
            <w:gridSpan w:val="1"/>
            <w:vMerge w:val="continue"/>
          </w:tcPr>
          <w:p>
            <w:pPr/>
          </w:p>
        </w:tc>
        <w:tc>
          <w:tcPr/>
          <w:p>
            <w:pPr>
              <w:pStyle w:val="Compact"/>
              <w:jc w:val="left"/>
            </w:pPr>
            <w:r>
              <w:t xml:space="preserve">Downstream: Use Phase</w:t>
            </w:r>
          </w:p>
        </w:tc>
        <w:tc>
          <w:tcPr/>
          <w:p>
            <w:pPr>
              <w:pStyle w:val="Compact"/>
              <w:jc w:val="left"/>
            </w:pPr>
            <w:r>
              <w:t xml:space="preserve">8.330</w:t>
            </w:r>
          </w:p>
        </w:tc>
      </w:tr>
      <w:tr>
        <w:tc>
          <w:tcPr>
            <w:gridSpan w:val="1"/>
            <w:vMerge w:val="continue"/>
          </w:tcPr>
          <w:p>
            <w:pPr/>
          </w:p>
        </w:tc>
        <w:tc>
          <w:tcPr/>
          <w:p>
            <w:pPr>
              <w:pStyle w:val="Compact"/>
              <w:jc w:val="left"/>
            </w:pPr>
            <w:r>
              <w:t xml:space="preserve">Downstream: End-of-Life Treatment</w:t>
            </w:r>
          </w:p>
        </w:tc>
        <w:tc>
          <w:tcPr/>
          <w:p>
            <w:pPr>
              <w:pStyle w:val="Compact"/>
              <w:jc w:val="left"/>
            </w:pPr>
            <w:r>
              <w:t xml:space="preserve">0.072</w:t>
            </w:r>
          </w:p>
        </w:tc>
      </w:tr>
    </w:tbl>
    <w:bookmarkEnd w:id="29"/>
    <w:bookmarkStart w:id="30" w:name="total-product-carbon-footprint-pcf"/>
    <w:p>
      <w:pPr>
        <w:pStyle w:val="Heading3"/>
      </w:pPr>
      <w:r>
        <w:t xml:space="preserve">4.2. Total Product Carbon Footprint (PCF)</w:t>
      </w:r>
    </w:p>
    <w:p>
      <w:pPr>
        <w:pStyle w:val="FirstParagraph"/>
      </w:pPr>
      <w:r>
        <w:rPr>
          <w:bCs/>
          <w:b/>
        </w:rPr>
        <w:t xml:space="preserve">Total PCF for one unit of zwxegnwjoq:</w:t>
      </w:r>
      <w:r>
        <w:br/>
      </w:r>
      <w:r>
        <w:t xml:space="preserve">5.5845 kgCO2e (Scope 2) + 5.600 kgCO2e (Scope 3 Materials) + 0.170 kgCO2e (Scope 3 Transport) + 8.330 kgCO2e (Scope 3 Use) + 0.072 kgCO2e (Scope 3 EoL) =</w:t>
      </w:r>
      <w:r>
        <w:t xml:space="preserve"> </w:t>
      </w:r>
      <w:r>
        <w:rPr>
          <w:bCs/>
          <w:b/>
        </w:rPr>
        <w:t xml:space="preserve">19.7565 kgCO2e/unit</w:t>
      </w:r>
    </w:p>
    <w:bookmarkEnd w:id="30"/>
    <w:bookmarkStart w:id="31" w:name="lsr-update-application"/>
    <w:p>
      <w:pPr>
        <w:pStyle w:val="Heading3"/>
      </w:pPr>
      <w:r>
        <w:t xml:space="preserve">4.3. 2026 LSR Update Application</w:t>
      </w:r>
    </w:p>
    <w:p>
      <w:pPr>
        <w:pStyle w:val="FirstParagraph"/>
      </w:pPr>
      <w:r>
        <w:t xml:space="preserve">The Land Sector and Removals (LSR) Standard for land use and carbon removals has been considered. Given the provided Bill of Materials, no directly bio-based materials or land-use change impacts were explicitly identified. Should future product iterations include such materials (e.g., bio-plastics, wood-based components), a dedicated assessment in accordance with the LSR Standard would be integrated to quantify associated emissions or removals from land use, land-use change, and forestry activities.</w:t>
      </w:r>
    </w:p>
    <w:bookmarkEnd w:id="31"/>
    <w:bookmarkStart w:id="32" w:name="scope-3-compliance"/>
    <w:p>
      <w:pPr>
        <w:pStyle w:val="Heading3"/>
      </w:pPr>
      <w:r>
        <w:t xml:space="preserve">4.4. Scope 3 Compliance</w:t>
      </w:r>
    </w:p>
    <w:p>
      <w:pPr>
        <w:pStyle w:val="FirstParagraph"/>
      </w:pPr>
      <w:r>
        <w:t xml:space="preserve">This analysis has encompassed all significant Scope 3 categories: Purchased Goods and Services (materials), Upstream Transportation and Distribution, Downstream Transportation and Distribution, Use of Sold Products, and End-of-Life Treatment of Sold Products. By covering these comprehensive categories and utilizing detailed data where available, this report ensures at least 95% coverage for Scope 3 reporting, aligning with the 2026 requirements of the GHG Protocol.</w:t>
      </w:r>
    </w:p>
    <w:p>
      <w:r>
        <w:pict>
          <v:rect style="width:0;height:1.5pt" o:hralign="center" o:hrstd="t" o:hr="t"/>
        </w:pict>
      </w:r>
    </w:p>
    <w:bookmarkEnd w:id="32"/>
    <w:bookmarkEnd w:id="33"/>
    <w:bookmarkStart w:id="37" w:name="review-report"/>
    <w:p>
      <w:pPr>
        <w:pStyle w:val="Heading2"/>
      </w:pPr>
      <w:r>
        <w:t xml:space="preserve">5. Review &amp; Report</w:t>
      </w:r>
    </w:p>
    <w:bookmarkStart w:id="34" w:name="emissions-hotspots"/>
    <w:p>
      <w:pPr>
        <w:pStyle w:val="Heading3"/>
      </w:pPr>
      <w:r>
        <w:t xml:space="preserve">5.1. Emissions Hotspots</w:t>
      </w:r>
    </w:p>
    <w:p>
      <w:pPr>
        <w:pStyle w:val="FirstParagraph"/>
      </w:pPr>
      <w:r>
        <w:t xml:space="preserve">The primary hotspots for the zwxegnwjoq product\'s carbon footprint are:</w:t>
      </w:r>
    </w:p>
    <w:p>
      <w:pPr>
        <w:numPr>
          <w:ilvl w:val="0"/>
          <w:numId w:val="1009"/>
        </w:numPr>
        <w:pStyle w:val="Compact"/>
      </w:pPr>
      <w:r>
        <w:rPr>
          <w:bCs/>
          <w:b/>
        </w:rPr>
        <w:t xml:space="preserve">Use Phase (42.17%):</w:t>
      </w:r>
      <w:r>
        <w:t xml:space="preserve"> </w:t>
      </w:r>
      <w:r>
        <w:t xml:space="preserve">Energy consumption during the product\'s 7-year lifespan is the largest contributor to the PCF. This highlights the importance of energy efficiency in product design and encouraging renewable energy adoption by end-users.</w:t>
      </w:r>
    </w:p>
    <w:p>
      <w:pPr>
        <w:numPr>
          <w:ilvl w:val="0"/>
          <w:numId w:val="1009"/>
        </w:numPr>
        <w:pStyle w:val="Compact"/>
      </w:pPr>
      <w:r>
        <w:rPr>
          <w:bCs/>
          <w:b/>
        </w:rPr>
        <w:t xml:space="preserve">Material Acquisition &amp; Pre-processing (28.35%):</w:t>
      </w:r>
      <w:r>
        <w:t xml:space="preserve"> </w:t>
      </w:r>
      <w:r>
        <w:t xml:space="preserve">The embodied emissions in raw materials, particularly the Aluminum Enclosure and Circuit Board, contribute significantly. Efforts to use recycled content, low-carbon materials, and optimize material efficiency are crucial here.</w:t>
      </w:r>
    </w:p>
    <w:p>
      <w:pPr>
        <w:numPr>
          <w:ilvl w:val="0"/>
          <w:numId w:val="1009"/>
        </w:numPr>
        <w:pStyle w:val="Compact"/>
      </w:pPr>
      <w:r>
        <w:rPr>
          <w:bCs/>
          <w:b/>
        </w:rPr>
        <w:t xml:space="preserve">Production Phase (28.27%):</w:t>
      </w:r>
      <w:r>
        <w:t xml:space="preserve"> </w:t>
      </w:r>
      <w:r>
        <w:t xml:space="preserve">The energy used in manufacturing, despite 40% renewable energy usage, remains a substantial factor, largely due to the carbon intensity of the residual grid electricity in China. Increasing renewable energy procurement or investing in on-site renewables will be highly effective.</w:t>
      </w:r>
    </w:p>
    <w:bookmarkEnd w:id="34"/>
    <w:bookmarkStart w:id="36" w:name="reliability-of-data"/>
    <w:p>
      <w:pPr>
        <w:pStyle w:val="Heading3"/>
      </w:pPr>
      <w:r>
        <w:t xml:space="preserve">5.2. Reliability of Data</w:t>
      </w:r>
    </w:p>
    <w:p>
      <w:pPr>
        <w:pStyle w:val="FirstParagraph"/>
      </w:pPr>
      <w:r>
        <w:t xml:space="preserve">The reliability of this PCF analysis is high due to the utilization of specific primary data for the Bill of Materials, energy intensity, and product lifespan, as provided. Industry-standard emission factors (from sources like Ecoinvent/DEFRA equivalents) have been applied for electricity grids, transport, and end-of-life scenarios. Where placeholder parameters were provided (e.g., "Select Mode", "Delivery Type"), reasonable and conservative assumptions based on common industry practices and geographical context have been made and explicitly stated. These assumptions introduce a degree of uncertainty, which can be reduced with more precise, product-specific primary data for each transport leg and exact user behavior in the use phase.</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5" w:name="pageNumber"/>
      <w:bookmarkEnd w:id="35"/>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zwxegnwjoq</dc:title>
  <dc:creator/>
  <dc:description>High-detail Product Carbon Footprint (PCF) analysis for zwxegnwjoq by Senior Sustainability Consultant lmdtuepody, adhering to GHG Protocol standards and 2026 LSR Update requirements.</dc:description>
  <dc:language>en</dc:language>
  <cp:keywords/>
  <dcterms:created xsi:type="dcterms:W3CDTF">2026-07-15T16:32:09Z</dcterms:created>
  <dcterms:modified xsi:type="dcterms:W3CDTF">2026-07-15T16:32:09Z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