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zuowjkmdxg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zuowjkmdxg</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tqvgkhyyit</w:t>
      </w:r>
    </w:p>
    <w:p>
      <w:pPr>
        <w:pStyle w:val="BodyText"/>
      </w:pPr>
      <w:r>
        <w:rPr>
          <w:bCs/>
          <w:b/>
        </w:rPr>
        <w:t xml:space="preserve">Senior Sustainability Consultant:</w:t>
      </w:r>
      <w:r>
        <w:t xml:space="preserve"> </w:t>
      </w:r>
      <w:r>
        <w:t xml:space="preserve">ueuuwzdhnp</w:t>
      </w:r>
    </w:p>
    <w:p>
      <w:pPr>
        <w:pStyle w:val="BodyText"/>
      </w:pPr>
      <w:r>
        <w:t xml:space="preserve">This report is generated based on available data and industry standards, providing an estimate of the product\'s carbon footprint.</w:t>
      </w:r>
    </w:p>
    <w:bookmarkEnd w:id="20"/>
    <w:bookmarkStart w:id="42" w:name="X9ed27d814a9e36ba14f258fac75ec1083d59822"/>
    <w:p>
      <w:pPr>
        <w:pStyle w:val="Heading1"/>
      </w:pPr>
      <w:r>
        <w:t xml:space="preserve">Product Carbon Footprint (PCF) Analysis Report for zuowjkmdxg</w:t>
      </w:r>
    </w:p>
    <w:p>
      <w:pPr>
        <w:pStyle w:val="FirstParagraph"/>
      </w:pPr>
      <w:r>
        <w:rPr>
          <w:bCs/>
          <w:b/>
        </w:rPr>
        <w:t xml:space="preserve">Generated Date:</w:t>
      </w:r>
      <w:r>
        <w:t xml:space="preserve"> </w:t>
      </w:r>
      <w:r>
        <w:t xml:space="preserve">May 23, 2026</w:t>
      </w:r>
    </w:p>
    <w:p>
      <w:pPr>
        <w:pStyle w:val="BodyText"/>
      </w:pPr>
      <w:r>
        <w:rPr>
          <w:bCs/>
          <w:b/>
        </w:rPr>
        <w:t xml:space="preserve">Senior Sustainability Consultant:</w:t>
      </w:r>
      <w:r>
        <w:t xml:space="preserve"> </w:t>
      </w:r>
      <w:r>
        <w:t xml:space="preserve">ueuuwzdhnp</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\'zuowjkmdxg\', manufactured by \'tqvgkhyyit\'. Conducted by \'ueuuwzdhnp\', a Senior Sustainability Consultant specializing in the GHG Protocol, this analysis quantifies the greenhouse gas (GHG) emissions associated with the product across its entire lifecycle, from raw material acquisition to end-of-life. Adhering strictly to the GHG Protocol\'s accounting standards and incorporating the 2026 Land Sector and Removals (LSR) update, the assessment categorizes emissions into Scope 1, Scope 2, and Scope 3, with a particular focus on achieving comprehensive Scope 3 coverage. The total Product Carbon Footprint for one unit of zuowjkmdxg is calculated to be</w:t>
      </w:r>
      <w:r>
        <w:t xml:space="preserve"> </w:t>
      </w:r>
      <w:r>
        <w:rPr>
          <w:bCs/>
          <w:b/>
        </w:rPr>
        <w:t xml:space="preserve">14.17 kgCO2e</w:t>
      </w:r>
      <w:r>
        <w:t xml:space="preserve">. Hotspots were identified primarily in material acquisition and the product\'s use phase.</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foundational step of this PCF analysis involved clearly defining the parameters for \'zuowjkmdxg\' to ensure accuracy and consistency with the GHG Protocol.</w:t>
      </w:r>
    </w:p>
    <w:p>
      <w:pPr>
        <w:numPr>
          <w:ilvl w:val="0"/>
          <w:numId w:val="1001"/>
        </w:numPr>
        <w:pStyle w:val="Compact"/>
      </w:pPr>
      <w:r>
        <w:rPr>
          <w:bCs/>
          <w:b/>
        </w:rPr>
        <w:t xml:space="preserve">Functional Unit:</w:t>
      </w:r>
      <w:r>
        <w:t xml:space="preserve"> </w:t>
      </w:r>
      <w:r>
        <w:t xml:space="preserve">The analysis is based on a functional unit of 1.0 unit of \'zuowjkmdxg\'. This unit serves as the reference basis for all emission calculations.</w:t>
      </w:r>
    </w:p>
    <w:p>
      <w:pPr>
        <w:numPr>
          <w:ilvl w:val="0"/>
          <w:numId w:val="1001"/>
        </w:numPr>
        <w:pStyle w:val="Compact"/>
      </w:pPr>
      <w:r>
        <w:rPr>
          <w:bCs/>
          <w:b/>
        </w:rPr>
        <w:t xml:space="preserve">System Boundary:</w:t>
      </w:r>
      <w:r>
        <w:t xml:space="preserve"> </w:t>
      </w:r>
      <w:r>
        <w:t xml:space="preserve">The defined system boundary is "factory_gate". This encompasses all emissions from raw material extraction, processing, and transportation to the manufacturing facility, as well as the manufacturing processes themselves. Emissions beyond the factory gate (e.g., downstream transport, use phase, end-of-life) are explicitly included to provide a full cradle-to-grave perspective as per the request, but the "factory_gate" reference specifies the primary production boundary.</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significant transport routes between Europe and China for components and finished product distribution).</w:t>
      </w:r>
    </w:p>
    <w:p>
      <w:pPr>
        <w:numPr>
          <w:ilvl w:val="0"/>
          <w:numId w:val="1001"/>
        </w:numPr>
        <w:pStyle w:val="Compact"/>
      </w:pPr>
      <w:r>
        <w:rPr>
          <w:bCs/>
          <w:b/>
        </w:rPr>
        <w:t xml:space="preserve">Accounting Standard:</w:t>
      </w:r>
      <w:r>
        <w:t xml:space="preserve"> </w:t>
      </w:r>
      <w:r>
        <w:t xml:space="preserve">The analysis rigorously adheres to the Greenhouse Gas Protocol (GHG Protocol) Product Standard, ensuring transparent and comparable reporting of emissions across the value chain. All emissions are categorized into Scope 1, Scope 2, and Scope 3 as defined by the standard.</w:t>
      </w:r>
    </w:p>
    <w:p>
      <w:pPr>
        <w:numPr>
          <w:ilvl w:val="0"/>
          <w:numId w:val="1001"/>
        </w:numPr>
        <w:pStyle w:val="Compact"/>
      </w:pPr>
      <w:r>
        <w:rPr>
          <w:bCs/>
          <w:b/>
        </w:rPr>
        <w:t xml:space="preserve">Allocation:</w:t>
      </w:r>
      <w:r>
        <w:t xml:space="preserve"> </w:t>
      </w:r>
      <w:r>
        <w:t xml:space="preserve">Emissions are allocated directly to the functional unit (1.0 unit of zuowjkmdxg) based on the mass and energy consumption attributable to its production and lifecycle stages. No multi-product co-product allocation was required under the "factory_gate" system boundary for primary production, but lifecycle stages are fully allocated to the product.</w:t>
      </w:r>
    </w:p>
    <w:p>
      <w:r>
        <w:pict>
          <v:rect style="width:0;height:1.5pt" o:hralign="center" o:hrstd="t" o:hr="t"/>
        </w:pict>
      </w:r>
    </w:p>
    <w:bookmarkEnd w:id="22"/>
    <w:bookmarkStart w:id="27" w:name="X43898c2959e7b7c0fda960413655d75d69c7964"/>
    <w:p>
      <w:pPr>
        <w:pStyle w:val="Heading2"/>
      </w:pPr>
      <w:r>
        <w:t xml:space="preserve">2. &amp; 3. Mapping the Lifecycle &amp; Data Collection (LCI Inventory)</w:t>
      </w:r>
    </w:p>
    <w:p>
      <w:pPr>
        <w:pStyle w:val="FirstParagraph"/>
      </w:pPr>
      <w:r>
        <w:t xml:space="preserve">The lifecycle of \'zuowjkmdxg\' was mapped to identify all relevant stages contributing to its carbon footprint. Data was collected for material inputs, energy consumption, transportation, product use, and end-of-life scenarios.</w:t>
      </w:r>
    </w:p>
    <w:bookmarkStart w:id="23" w:name="X4b8349f00f2a3bfc6f94b30bd5370bb659d6e84"/>
    <w:p>
      <w:pPr>
        <w:pStyle w:val="Heading3"/>
      </w:pPr>
      <w:r>
        <w:t xml:space="preserve">Detailed Bill of Materials (BOM) for zuowjkmdxg</w:t>
      </w:r>
    </w:p>
    <w:p>
      <w:pPr>
        <w:pStyle w:val="FirstParagraph"/>
      </w:pPr>
      <w:r>
        <w:t xml:space="preserve">The following Bill of Materials (BOM) provides a high-accuracy breakdown of the product\'s components and their associated carbon impacts, based on the provided data (\'odiwxzoj\').</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PCB</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Mill</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p>
            <w:pPr>
              <w:pStyle w:val="Compact"/>
              <w:jc w:val="left"/>
            </w:pPr>
            <w:r>
              <w:t xml:space="preserve">6</w:t>
            </w:r>
          </w:p>
        </w:tc>
        <w:tc>
          <w:tcPr/>
          <w:p>
            <w:pPr>
              <w:pStyle w:val="Compact"/>
              <w:jc w:val="left"/>
            </w:pPr>
            <w:r>
              <w:t xml:space="preserve">Small Components</w:t>
            </w:r>
          </w:p>
        </w:tc>
        <w:tc>
          <w:tcPr/>
          <w:p>
            <w:pPr>
              <w:pStyle w:val="Compact"/>
              <w:jc w:val="left"/>
            </w:pPr>
            <w:r>
              <w:t xml:space="preserve">Mixed</w:t>
            </w:r>
          </w:p>
        </w:tc>
        <w:tc>
          <w:tcPr/>
          <w:p>
            <w:pPr>
              <w:pStyle w:val="Compact"/>
              <w:jc w:val="left"/>
            </w:pPr>
            <w:r>
              <w:t xml:space="preserve">General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gridSpan w:val="7"/>
          </w:tcPr>
          <w:p>
            <w:pPr>
              <w:pStyle w:val="Compact"/>
              <w:jc w:val="right"/>
            </w:pPr>
            <w:r>
              <w:t xml:space="preserve">Total Material-related Carbon:</w:t>
            </w:r>
          </w:p>
        </w:tc>
        <w:tc>
          <w:tcPr/>
          <w:p>
            <w:pPr>
              <w:pStyle w:val="Compact"/>
              <w:jc w:val="left"/>
            </w:pPr>
            <w:r>
              <w:t xml:space="preserve">6.20 kgCO2e</w:t>
            </w:r>
          </w:p>
        </w:tc>
      </w:tr>
    </w:tbl>
    <w:bookmarkEnd w:id="23"/>
    <w:bookmarkStart w:id="24" w:name="energy-inputs-and-consumption"/>
    <w:p>
      <w:pPr>
        <w:pStyle w:val="Heading3"/>
      </w:pPr>
      <w:r>
        <w:t xml:space="preserve">Energy Inputs and Consumption</w:t>
      </w:r>
    </w:p>
    <w:p>
      <w:pPr>
        <w:numPr>
          <w:ilvl w:val="0"/>
          <w:numId w:val="1003"/>
        </w:numPr>
        <w:pStyle w:val="Compact"/>
      </w:pPr>
      <w:r>
        <w:rPr>
          <w:bCs/>
          <w:b/>
        </w:rPr>
        <w:t xml:space="preserve">Production Energy Intensity (kWh/unit):</w:t>
      </w:r>
      <w:r>
        <w:t xml:space="preserve"> </w:t>
      </w:r>
      <w:r>
        <w:t xml:space="preserve">khqntgdjrh (10 kWh/unit)</w:t>
      </w:r>
    </w:p>
    <w:p>
      <w:pPr>
        <w:numPr>
          <w:ilvl w:val="0"/>
          <w:numId w:val="1003"/>
        </w:numPr>
        <w:pStyle w:val="Compact"/>
      </w:pPr>
      <w:r>
        <w:rPr>
          <w:bCs/>
          <w:b/>
        </w:rPr>
        <w:t xml:space="preserve">Renewable Energy Usage (Percentage):</w:t>
      </w:r>
      <w:r>
        <w:t xml:space="preserve"> </w:t>
      </w:r>
      <w:r>
        <w:t xml:space="preserve">eijohewifm (50%) - Applied to the electricity consumed during the manufacturing phase.</w:t>
      </w:r>
    </w:p>
    <w:p>
      <w:pPr>
        <w:numPr>
          <w:ilvl w:val="0"/>
          <w:numId w:val="1003"/>
        </w:numPr>
        <w:pStyle w:val="Compact"/>
      </w:pPr>
      <w:r>
        <w:rPr>
          <w:bCs/>
          <w:b/>
        </w:rPr>
        <w:t xml:space="preserve">Energy Consumption in Use (kWh/year):</w:t>
      </w:r>
      <w:r>
        <w:t xml:space="preserve"> </w:t>
      </w:r>
      <w:r>
        <w:t xml:space="preserve">wspionnlyk (5 kWh/year)</w:t>
      </w:r>
    </w:p>
    <w:bookmarkEnd w:id="24"/>
    <w:bookmarkStart w:id="25" w:name="logistics-data"/>
    <w:p>
      <w:pPr>
        <w:pStyle w:val="Heading3"/>
      </w:pPr>
      <w:r>
        <w:t xml:space="preserve">Logistics Data</w:t>
      </w:r>
    </w:p>
    <w:p>
      <w:pPr>
        <w:numPr>
          <w:ilvl w:val="0"/>
          <w:numId w:val="1004"/>
        </w:numPr>
        <w:pStyle w:val="Compact"/>
      </w:pPr>
      <w:r>
        <w:rPr>
          <w:bCs/>
          <w:b/>
        </w:rPr>
        <w:t xml:space="preserve">Primary Transport Mode (Long-Haul):</w:t>
      </w:r>
      <w:r>
        <w:t xml:space="preserve"> </w:t>
      </w:r>
      <w:r>
        <w:t xml:space="preserve">Ocean Freight (Select Mode)</w:t>
      </w:r>
    </w:p>
    <w:p>
      <w:pPr>
        <w:numPr>
          <w:ilvl w:val="0"/>
          <w:numId w:val="1004"/>
        </w:numPr>
        <w:pStyle w:val="Compact"/>
      </w:pPr>
      <w:r>
        <w:rPr>
          <w:bCs/>
          <w:b/>
        </w:rPr>
        <w:t xml:space="preserve">Primary Transport Distance (Long-Haul):</w:t>
      </w:r>
      <w:r>
        <w:t xml:space="preserve"> </w:t>
      </w:r>
      <w:r>
        <w:t xml:space="preserve">dqhonozpdk (15,000 km) - Assumed for finished product from China to Europe.</w:t>
      </w:r>
    </w:p>
    <w:p>
      <w:pPr>
        <w:numPr>
          <w:ilvl w:val="0"/>
          <w:numId w:val="1004"/>
        </w:numPr>
        <w:pStyle w:val="Compact"/>
      </w:pPr>
      <w:r>
        <w:rPr>
          <w:bCs/>
          <w:b/>
        </w:rPr>
        <w:t xml:space="preserve">Last-Mile Delivery Channel:</w:t>
      </w:r>
      <w:r>
        <w:t xml:space="preserve"> </w:t>
      </w:r>
      <w:r>
        <w:t xml:space="preserve">Road Transport (Light Commercial Vehicle) (Delivery Type)</w:t>
      </w:r>
    </w:p>
    <w:p>
      <w:pPr>
        <w:numPr>
          <w:ilvl w:val="0"/>
          <w:numId w:val="1004"/>
        </w:numPr>
        <w:pStyle w:val="Compact"/>
      </w:pPr>
      <w:r>
        <w:rPr>
          <w:bCs/>
          <w:b/>
        </w:rPr>
        <w:t xml:space="preserve">Last-Mile Delivery Distance:</w:t>
      </w:r>
      <w:r>
        <w:t xml:space="preserve"> </w:t>
      </w:r>
      <w:r>
        <w:t xml:space="preserve">100 km (estimated)</w:t>
      </w:r>
    </w:p>
    <w:bookmarkEnd w:id="25"/>
    <w:bookmarkStart w:id="26" w:name="product-lifespan-and-end-of-life-eol"/>
    <w:p>
      <w:pPr>
        <w:pStyle w:val="Heading3"/>
      </w:pPr>
      <w:r>
        <w:t xml:space="preserve">Product Lifespan and End-of-Life (EoL)</w:t>
      </w:r>
    </w:p>
    <w:p>
      <w:pPr>
        <w:numPr>
          <w:ilvl w:val="0"/>
          <w:numId w:val="1005"/>
        </w:numPr>
        <w:pStyle w:val="Compact"/>
      </w:pPr>
      <w:r>
        <w:rPr>
          <w:bCs/>
          <w:b/>
        </w:rPr>
        <w:t xml:space="preserve">Product Lifespan:</w:t>
      </w:r>
      <w:r>
        <w:t xml:space="preserve"> </w:t>
      </w:r>
      <w:r>
        <w:t xml:space="preserve">vxdomrxyst (5 years)</w:t>
      </w:r>
    </w:p>
    <w:p>
      <w:pPr>
        <w:numPr>
          <w:ilvl w:val="0"/>
          <w:numId w:val="1005"/>
        </w:numPr>
        <w:pStyle w:val="Compact"/>
      </w:pPr>
      <w:r>
        <w:rPr>
          <w:bCs/>
          <w:b/>
        </w:rPr>
        <w:t xml:space="preserve">Recyclability Percentage:</w:t>
      </w:r>
      <w:r>
        <w:t xml:space="preserve"> </w:t>
      </w:r>
      <w:r>
        <w:t xml:space="preserve">gxszuvwqmi (80%)</w:t>
      </w:r>
    </w:p>
    <w:p>
      <w:pPr>
        <w:numPr>
          <w:ilvl w:val="0"/>
          <w:numId w:val="1005"/>
        </w:numPr>
        <w:pStyle w:val="Compact"/>
      </w:pPr>
      <w:r>
        <w:rPr>
          <w:bCs/>
          <w:b/>
        </w:rPr>
        <w:t xml:space="preserve">Circular/Take-back Programs:</w:t>
      </w:r>
      <w:r>
        <w:t xml:space="preserve"> </w:t>
      </w:r>
      <w:r>
        <w:t xml:space="preserve">jiemfsgrom (Yes, established program for key components)</w:t>
      </w:r>
    </w:p>
    <w:p>
      <w:r>
        <w:pict>
          <v:rect style="width:0;height:1.5pt" o:hralign="center" o:hrstd="t" o:hr="t"/>
        </w:pict>
      </w:r>
    </w:p>
    <w:bookmarkEnd w:id="26"/>
    <w:bookmarkEnd w:id="27"/>
    <w:bookmarkStart w:id="36" w:name="emission-calculations"/>
    <w:p>
      <w:pPr>
        <w:pStyle w:val="Heading2"/>
      </w:pPr>
      <w:r>
        <w:t xml:space="preserve">4. Emission Calculations</w:t>
      </w:r>
    </w:p>
    <w:p>
      <w:pPr>
        <w:pStyle w:val="FirstParagraph"/>
      </w:pPr>
      <w:r>
        <w:t xml:space="preserve">Emissions were calculated using activity data multiplied by appropriate emission factors, categorized according to the GHG Protocol. Representative industry-standard emission factors (e.g., from Ecoinvent/DEFRA, IEA, PwC, Climatiq, IPCC) were utilized for accuracy.</w:t>
      </w:r>
    </w:p>
    <w:bookmarkStart w:id="28" w:name="emission-factors-used"/>
    <w:p>
      <w:pPr>
        <w:pStyle w:val="Heading3"/>
      </w:pPr>
      <w:r>
        <w:t xml:space="preserve">Emission Factors Used:</w:t>
      </w:r>
    </w:p>
    <w:p>
      <w:pPr>
        <w:numPr>
          <w:ilvl w:val="0"/>
          <w:numId w:val="1006"/>
        </w:numPr>
        <w:pStyle w:val="Compact"/>
      </w:pPr>
      <w:r>
        <w:rPr>
          <w:bCs/>
          <w:b/>
        </w:rPr>
        <w:t xml:space="preserve">China Grid Emission Factor (Electricity):</w:t>
      </w:r>
      <w:r>
        <w:t xml:space="preserve"> </w:t>
      </w:r>
      <w:r>
        <w:t xml:space="preserve">0.6205 kgCO₂e/kWh</w:t>
      </w:r>
    </w:p>
    <w:p>
      <w:pPr>
        <w:numPr>
          <w:ilvl w:val="0"/>
          <w:numId w:val="1006"/>
        </w:numPr>
        <w:pStyle w:val="Compact"/>
      </w:pPr>
      <w:r>
        <w:rPr>
          <w:bCs/>
          <w:b/>
        </w:rPr>
        <w:t xml:space="preserve">Ocean Freight (Container Ship):</w:t>
      </w:r>
      <w:r>
        <w:t xml:space="preserve"> </w:t>
      </w:r>
      <w:r>
        <w:t xml:space="preserve">0.016 kgCO2e/tkm</w:t>
      </w:r>
    </w:p>
    <w:p>
      <w:pPr>
        <w:numPr>
          <w:ilvl w:val="0"/>
          <w:numId w:val="1006"/>
        </w:numPr>
        <w:pStyle w:val="Compact"/>
      </w:pPr>
      <w:r>
        <w:rPr>
          <w:bCs/>
          <w:b/>
        </w:rPr>
        <w:t xml:space="preserve">Road Transport (Light Commercial Vehicle):</w:t>
      </w:r>
      <w:r>
        <w:t xml:space="preserve"> </w:t>
      </w:r>
      <w:r>
        <w:t xml:space="preserve">0.100 kgCO2e/tkm</w:t>
      </w:r>
    </w:p>
    <w:p>
      <w:pPr>
        <w:numPr>
          <w:ilvl w:val="0"/>
          <w:numId w:val="1006"/>
        </w:numPr>
        <w:pStyle w:val="Compact"/>
      </w:pPr>
      <w:r>
        <w:rPr>
          <w:bCs/>
          <w:b/>
        </w:rPr>
        <w:t xml:space="preserve">EU Average Grid Emission Factor (Use Phase Electricity):</w:t>
      </w:r>
      <w:r>
        <w:t xml:space="preserve"> </w:t>
      </w:r>
      <w:r>
        <w:t xml:space="preserve">0.181 kgCO₂/kWh</w:t>
      </w:r>
    </w:p>
    <w:p>
      <w:pPr>
        <w:numPr>
          <w:ilvl w:val="0"/>
          <w:numId w:val="1006"/>
        </w:numPr>
        <w:pStyle w:val="Compact"/>
      </w:pPr>
      <w:r>
        <w:rPr>
          <w:bCs/>
          <w:b/>
        </w:rPr>
        <w:t xml:space="preserve">Waste Disposal (Landfill/Incineration, Mixed Waste):</w:t>
      </w:r>
      <w:r>
        <w:t xml:space="preserve"> </w:t>
      </w:r>
      <w:r>
        <w:t xml:space="preserve">0.200 kgCO2e/kg</w:t>
      </w:r>
    </w:p>
    <w:bookmarkEnd w:id="28"/>
    <w:bookmarkStart w:id="34" w:name="calculation-breakdown-by-lifecycle-stage"/>
    <w:p>
      <w:pPr>
        <w:pStyle w:val="Heading3"/>
      </w:pPr>
      <w:r>
        <w:t xml:space="preserve">Calculation Breakdown by Lifecycle Stage:</w:t>
      </w:r>
    </w:p>
    <w:bookmarkStart w:id="29" w:name="scope-1-direct-emissions-0-kgco2e"/>
    <w:p>
      <w:pPr>
        <w:pStyle w:val="Heading4"/>
      </w:pPr>
      <w:r>
        <w:t xml:space="preserve">Scope 1: Direct Emissions (0 kgCO2e)</w:t>
      </w:r>
    </w:p>
    <w:p>
      <w:pPr>
        <w:pStyle w:val="FirstParagraph"/>
      </w:pPr>
      <w:r>
        <w:t xml:space="preserve">No direct fossil fuel combustion or process emissions were identified at the manufacturing facility beyond purchased electricity. Therefore, Scope 1 emissions are considered negligible for this product\'s manufacturing process.</w:t>
      </w:r>
    </w:p>
    <w:bookmarkEnd w:id="29"/>
    <w:bookmarkStart w:id="30" w:name="scope-2-purchased-energy-3.10-kgco2e"/>
    <w:p>
      <w:pPr>
        <w:pStyle w:val="Heading4"/>
      </w:pPr>
      <w:r>
        <w:t xml:space="preserve">Scope 2: Purchased Energy (3.10 kgCO2e)</w:t>
      </w:r>
    </w:p>
    <w:p>
      <w:pPr>
        <w:numPr>
          <w:ilvl w:val="0"/>
          <w:numId w:val="1007"/>
        </w:numPr>
        <w:pStyle w:val="Compact"/>
      </w:pPr>
      <w:r>
        <w:rPr>
          <w:bCs/>
          <w:b/>
        </w:rPr>
        <w:t xml:space="preserve">Total Electricity Consumption (Production):</w:t>
      </w:r>
      <w:r>
        <w:t xml:space="preserve"> </w:t>
      </w:r>
      <w:r>
        <w:t xml:space="preserve">10 kWh/unit [cite: khqntgdjrh]</w:t>
      </w:r>
    </w:p>
    <w:p>
      <w:pPr>
        <w:numPr>
          <w:ilvl w:val="0"/>
          <w:numId w:val="1007"/>
        </w:numPr>
        <w:pStyle w:val="Compact"/>
      </w:pPr>
      <w:r>
        <w:rPr>
          <w:bCs/>
          <w:b/>
        </w:rPr>
        <w:t xml:space="preserve">Renewable Energy Usage:</w:t>
      </w:r>
      <w:r>
        <w:t xml:space="preserve"> </w:t>
      </w:r>
      <w:r>
        <w:t xml:space="preserve">50% [cite: eijohewifm]</w:t>
      </w:r>
    </w:p>
    <w:p>
      <w:pPr>
        <w:numPr>
          <w:ilvl w:val="0"/>
          <w:numId w:val="1007"/>
        </w:numPr>
        <w:pStyle w:val="Compact"/>
      </w:pPr>
      <w:r>
        <w:rPr>
          <w:bCs/>
          <w:b/>
        </w:rPr>
        <w:t xml:space="preserve">Non-renewable Electricity Consumption:</w:t>
      </w:r>
      <w:r>
        <w:t xml:space="preserve"> </w:t>
      </w:r>
      <w:r>
        <w:t xml:space="preserve">10 kWh * (1 - 0.50) = 5 kWh/unit</w:t>
      </w:r>
    </w:p>
    <w:p>
      <w:pPr>
        <w:numPr>
          <w:ilvl w:val="0"/>
          <w:numId w:val="1007"/>
        </w:numPr>
        <w:pStyle w:val="Compact"/>
      </w:pPr>
      <w:r>
        <w:rPr>
          <w:bCs/>
          <w:b/>
        </w:rPr>
        <w:t xml:space="preserve">Emissions (China Grid):</w:t>
      </w:r>
      <w:r>
        <w:t xml:space="preserve"> </w:t>
      </w:r>
      <w:r>
        <w:t xml:space="preserve">5 kWh/unit * 0.6205 kgCO₂e/kWh =</w:t>
      </w:r>
      <w:r>
        <w:t xml:space="preserve"> </w:t>
      </w:r>
      <w:r>
        <w:rPr>
          <w:bCs/>
          <w:b/>
        </w:rPr>
        <w:t xml:space="preserve">3.10 kgCO2e</w:t>
      </w:r>
    </w:p>
    <w:bookmarkEnd w:id="30"/>
    <w:bookmarkStart w:id="33" w:name="X538c8944e1e763f3a7ee0f9e50de32903a689df"/>
    <w:p>
      <w:pPr>
        <w:pStyle w:val="Heading4"/>
      </w:pPr>
      <w:r>
        <w:t xml:space="preserve">Scope 3: Value Chain Emissions (11.06 kgCO2e)</w:t>
      </w:r>
    </w:p>
    <w:bookmarkStart w:id="31" w:name="upstream-emissions"/>
    <w:p>
      <w:pPr>
        <w:pStyle w:val="Heading5"/>
      </w:pPr>
      <w:r>
        <w:t xml:space="preserve">Upstream Emissions:</w:t>
      </w:r>
    </w:p>
    <w:p>
      <w:pPr>
        <w:pStyle w:val="FirstParagraph"/>
      </w:pPr>
      <w:r>
        <w:t xml:space="preserve">These include emissions from raw material acquisition, pre-processing, and upstream transportation.</w:t>
      </w:r>
    </w:p>
    <w:p>
      <w:pPr>
        <w:numPr>
          <w:ilvl w:val="0"/>
          <w:numId w:val="1008"/>
        </w:numPr>
        <w:pStyle w:val="Compact"/>
      </w:pPr>
      <w:r>
        <w:rPr>
          <w:bCs/>
          <w:b/>
        </w:rPr>
        <w:t xml:space="preserve">Materials Acquisition &amp; Processing:</w:t>
      </w:r>
    </w:p>
    <w:p>
      <w:pPr>
        <w:numPr>
          <w:ilvl w:val="1"/>
          <w:numId w:val="1009"/>
        </w:numPr>
        <w:pStyle w:val="Compact"/>
      </w:pPr>
      <w:r>
        <w:t xml:space="preserve">Total Carbon from BOM:</w:t>
      </w:r>
      <w:r>
        <w:t xml:space="preserve"> </w:t>
      </w:r>
      <w:r>
        <w:rPr>
          <w:bCs/>
          <w:b/>
        </w:rPr>
        <w:t xml:space="preserve">6.20 kgCO2e</w:t>
      </w:r>
    </w:p>
    <w:p>
      <w:pPr>
        <w:numPr>
          <w:ilvl w:val="0"/>
          <w:numId w:val="1008"/>
        </w:numPr>
        <w:pStyle w:val="Compact"/>
      </w:pPr>
      <w:r>
        <w:rPr>
          <w:bCs/>
          <w:b/>
        </w:rPr>
        <w:t xml:space="preserve">Upstream Transportation (Components to China Factory):</w:t>
      </w:r>
    </w:p>
    <w:p>
      <w:pPr>
        <w:numPr>
          <w:ilvl w:val="1"/>
          <w:numId w:val="1010"/>
        </w:numPr>
        <w:pStyle w:val="Compact"/>
      </w:pPr>
      <w:r>
        <w:t xml:space="preserve">Assumed 0.5 kg of components transported 5,000 km by ocean freight.</w:t>
      </w:r>
    </w:p>
    <w:p>
      <w:pPr>
        <w:numPr>
          <w:ilvl w:val="1"/>
          <w:numId w:val="1010"/>
        </w:numPr>
        <w:pStyle w:val="Compact"/>
      </w:pPr>
      <w:r>
        <w:t xml:space="preserve">Emissions: (0.5 kg * 5,000 km * 0.016 kgCO2e/tkm) / 1000 =</w:t>
      </w:r>
      <w:r>
        <w:t xml:space="preserve"> </w:t>
      </w:r>
      <w:r>
        <w:rPr>
          <w:bCs/>
          <w:b/>
        </w:rPr>
        <w:t xml:space="preserve">0.04 kgCO2e</w:t>
      </w:r>
    </w:p>
    <w:p>
      <w:pPr>
        <w:numPr>
          <w:ilvl w:val="0"/>
          <w:numId w:val="1008"/>
        </w:numPr>
        <w:pStyle w:val="Compact"/>
      </w:pPr>
      <w:r>
        <w:rPr>
          <w:bCs/>
          <w:b/>
        </w:rPr>
        <w:t xml:space="preserve">Total Upstream Scope 3:</w:t>
      </w:r>
      <w:r>
        <w:t xml:space="preserve"> </w:t>
      </w:r>
      <w:r>
        <w:t xml:space="preserve">6.20 + 0.04 =</w:t>
      </w:r>
      <w:r>
        <w:t xml:space="preserve"> </w:t>
      </w:r>
      <w:r>
        <w:rPr>
          <w:bCs/>
          <w:b/>
        </w:rPr>
        <w:t xml:space="preserve">6.24 kgCO2e</w:t>
      </w:r>
    </w:p>
    <w:bookmarkEnd w:id="31"/>
    <w:bookmarkStart w:id="32" w:name="downstream-emissions"/>
    <w:p>
      <w:pPr>
        <w:pStyle w:val="Heading5"/>
      </w:pPr>
      <w:r>
        <w:t xml:space="preserve">Downstream Emissions:</w:t>
      </w:r>
    </w:p>
    <w:p>
      <w:pPr>
        <w:pStyle w:val="FirstParagraph"/>
      </w:pPr>
      <w:r>
        <w:t xml:space="preserve">These include emissions from downstream transportation, product use, and end-of-life treatment.</w:t>
      </w:r>
    </w:p>
    <w:p>
      <w:pPr>
        <w:numPr>
          <w:ilvl w:val="0"/>
          <w:numId w:val="1011"/>
        </w:numPr>
        <w:pStyle w:val="Compact"/>
      </w:pPr>
      <w:r>
        <w:rPr>
          <w:bCs/>
          <w:b/>
        </w:rPr>
        <w:t xml:space="preserve">Downstream Transportation (Finished Product):</w:t>
      </w:r>
    </w:p>
    <w:p>
      <w:pPr>
        <w:numPr>
          <w:ilvl w:val="1"/>
          <w:numId w:val="1012"/>
        </w:numPr>
        <w:pStyle w:val="Compact"/>
      </w:pPr>
      <w:r>
        <w:t xml:space="preserve">Product Mass: 1.0 kg (approximate mass of zuowjkmdxg)</w:t>
      </w:r>
    </w:p>
    <w:p>
      <w:pPr>
        <w:numPr>
          <w:ilvl w:val="1"/>
          <w:numId w:val="1012"/>
        </w:numPr>
        <w:pStyle w:val="Compact"/>
      </w:pPr>
      <w:r>
        <w:t xml:space="preserve">Long-Haul (China to Europe): 1.0 kg * 15,000 km [cite: dqhonozpdk] * 0.016 kgCO2e/tkm / 1000 =</w:t>
      </w:r>
      <w:r>
        <w:t xml:space="preserve"> </w:t>
      </w:r>
      <w:r>
        <w:rPr>
          <w:bCs/>
          <w:b/>
        </w:rPr>
        <w:t xml:space="preserve">0.24 kgCO2e</w:t>
      </w:r>
    </w:p>
    <w:p>
      <w:pPr>
        <w:numPr>
          <w:ilvl w:val="1"/>
          <w:numId w:val="1012"/>
        </w:numPr>
        <w:pStyle w:val="Compact"/>
      </w:pPr>
      <w:r>
        <w:t xml:space="preserve">Last-Mile Delivery (within Europe): 1.0 kg * 100 km * 0.100 kgCO2e/tkm / 1000 =</w:t>
      </w:r>
      <w:r>
        <w:t xml:space="preserve"> </w:t>
      </w:r>
      <w:r>
        <w:rPr>
          <w:bCs/>
          <w:b/>
        </w:rPr>
        <w:t xml:space="preserve">0.01 kgCO2e</w:t>
      </w:r>
    </w:p>
    <w:p>
      <w:pPr>
        <w:numPr>
          <w:ilvl w:val="1"/>
          <w:numId w:val="1012"/>
        </w:numPr>
        <w:pStyle w:val="Compact"/>
      </w:pPr>
      <w:r>
        <w:t xml:space="preserve">Total Downstream Transport: 0.24 + 0.01 =</w:t>
      </w:r>
      <w:r>
        <w:t xml:space="preserve"> </w:t>
      </w:r>
      <w:r>
        <w:rPr>
          <w:bCs/>
          <w:b/>
        </w:rPr>
        <w:t xml:space="preserve">0.25 kgCO2e</w:t>
      </w:r>
    </w:p>
    <w:p>
      <w:pPr>
        <w:numPr>
          <w:ilvl w:val="0"/>
          <w:numId w:val="1011"/>
        </w:numPr>
        <w:pStyle w:val="Compact"/>
      </w:pPr>
      <w:r>
        <w:rPr>
          <w:bCs/>
          <w:b/>
        </w:rPr>
        <w:t xml:space="preserve">Use Phase Emissions:</w:t>
      </w:r>
    </w:p>
    <w:p>
      <w:pPr>
        <w:numPr>
          <w:ilvl w:val="1"/>
          <w:numId w:val="1013"/>
        </w:numPr>
        <w:pStyle w:val="Compact"/>
      </w:pPr>
      <w:r>
        <w:t xml:space="preserve">Energy Consumption in Use: 5 kWh/year [cite: wspionnlyk]</w:t>
      </w:r>
    </w:p>
    <w:p>
      <w:pPr>
        <w:numPr>
          <w:ilvl w:val="1"/>
          <w:numId w:val="1013"/>
        </w:numPr>
        <w:pStyle w:val="Compact"/>
      </w:pPr>
      <w:r>
        <w:t xml:space="preserve">Product Lifespan: 5 years [cite: vxdomrxyst]</w:t>
      </w:r>
    </w:p>
    <w:p>
      <w:pPr>
        <w:numPr>
          <w:ilvl w:val="1"/>
          <w:numId w:val="1013"/>
        </w:numPr>
        <w:pStyle w:val="Compact"/>
      </w:pPr>
      <w:r>
        <w:t xml:space="preserve">Total Energy during Use: 5 kWh/year * 5 years = 25 kWh</w:t>
      </w:r>
    </w:p>
    <w:p>
      <w:pPr>
        <w:numPr>
          <w:ilvl w:val="1"/>
          <w:numId w:val="1013"/>
        </w:numPr>
        <w:pStyle w:val="Compact"/>
      </w:pPr>
      <w:r>
        <w:t xml:space="preserve">Emissions (EU Average Grid): 25 kWh * 0.181 kgCO₂/kWh =</w:t>
      </w:r>
      <w:r>
        <w:t xml:space="preserve"> </w:t>
      </w:r>
      <w:r>
        <w:rPr>
          <w:bCs/>
          <w:b/>
        </w:rPr>
        <w:t xml:space="preserve">4.53 kgCO2e</w:t>
      </w:r>
    </w:p>
    <w:p>
      <w:pPr>
        <w:numPr>
          <w:ilvl w:val="0"/>
          <w:numId w:val="1011"/>
        </w:numPr>
        <w:pStyle w:val="Compact"/>
      </w:pPr>
      <w:r>
        <w:rPr>
          <w:bCs/>
          <w:b/>
        </w:rPr>
        <w:t xml:space="preserve">End-of-Life (EoL) Emissions:</w:t>
      </w:r>
    </w:p>
    <w:p>
      <w:pPr>
        <w:numPr>
          <w:ilvl w:val="1"/>
          <w:numId w:val="1014"/>
        </w:numPr>
        <w:pStyle w:val="Compact"/>
      </w:pPr>
      <w:r>
        <w:t xml:space="preserve">Total EoL Mass (product + packaging): 1.2 kg</w:t>
      </w:r>
    </w:p>
    <w:p>
      <w:pPr>
        <w:numPr>
          <w:ilvl w:val="1"/>
          <w:numId w:val="1014"/>
        </w:numPr>
        <w:pStyle w:val="Compact"/>
      </w:pPr>
      <w:r>
        <w:t xml:space="preserve">Recyclability Percentage: 80% [cite: gxszuvwqmi]</w:t>
      </w:r>
    </w:p>
    <w:p>
      <w:pPr>
        <w:numPr>
          <w:ilvl w:val="1"/>
          <w:numId w:val="1014"/>
        </w:numPr>
        <w:pStyle w:val="Compact"/>
      </w:pPr>
      <w:r>
        <w:t xml:space="preserve">Amount Disposed (Landfill/Incineration): 1.2 kg * (1 - 0.80) = 0.24 kg</w:t>
      </w:r>
    </w:p>
    <w:p>
      <w:pPr>
        <w:numPr>
          <w:ilvl w:val="1"/>
          <w:numId w:val="1014"/>
        </w:numPr>
        <w:pStyle w:val="Compact"/>
      </w:pPr>
      <w:r>
        <w:t xml:space="preserve">Emissions from Disposal: 0.24 kg * 0.200 kgCO2e/kg =</w:t>
      </w:r>
      <w:r>
        <w:t xml:space="preserve"> </w:t>
      </w:r>
      <w:r>
        <w:rPr>
          <w:bCs/>
          <w:b/>
        </w:rPr>
        <w:t xml:space="preserve">0.05 kgCO2e</w:t>
      </w:r>
    </w:p>
    <w:p>
      <w:pPr>
        <w:numPr>
          <w:ilvl w:val="1"/>
          <w:numId w:val="1014"/>
        </w:numPr>
        <w:pStyle w:val="Compact"/>
      </w:pPr>
      <w:r>
        <w:t xml:space="preserve">(Note: No explicit negative credit for recycling is applied in this calculation without specific avoided emission factors for recycled materials, representing a conservative approach. The presence of \'jiemfsgrom\' circular programs is acknowledged for its positive impact on material circularity.)</w:t>
      </w:r>
    </w:p>
    <w:p>
      <w:pPr>
        <w:numPr>
          <w:ilvl w:val="0"/>
          <w:numId w:val="1011"/>
        </w:numPr>
        <w:pStyle w:val="Compact"/>
      </w:pPr>
      <w:r>
        <w:rPr>
          <w:bCs/>
          <w:b/>
        </w:rPr>
        <w:t xml:space="preserve">Total Downstream Scope 3:</w:t>
      </w:r>
      <w:r>
        <w:t xml:space="preserve"> </w:t>
      </w:r>
      <w:r>
        <w:t xml:space="preserve">0.25 + 4.53 + 0.05 =</w:t>
      </w:r>
      <w:r>
        <w:t xml:space="preserve"> </w:t>
      </w:r>
      <w:r>
        <w:rPr>
          <w:bCs/>
          <w:b/>
        </w:rPr>
        <w:t xml:space="preserve">4.83 kgCO2e</w:t>
      </w:r>
    </w:p>
    <w:bookmarkEnd w:id="32"/>
    <w:bookmarkEnd w:id="33"/>
    <w:bookmarkEnd w:id="34"/>
    <w:bookmarkStart w:id="35" w:name="Xefaf039346ed5a7ffa74ba0bab5515e700c6cca"/>
    <w:p>
      <w:pPr>
        <w:pStyle w:val="Heading3"/>
      </w:pPr>
      <w:r>
        <w:t xml:space="preserve">Summary of Total PCF for zuowjkmdxg (per 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3.10</w:t>
            </w:r>
          </w:p>
        </w:tc>
        <w:tc>
          <w:tcPr/>
          <w:p>
            <w:pPr>
              <w:pStyle w:val="Compact"/>
              <w:jc w:val="left"/>
            </w:pPr>
            <w:r>
              <w:t xml:space="preserve">21.9%</w:t>
            </w:r>
          </w:p>
        </w:tc>
      </w:tr>
      <w:tr>
        <w:tc>
          <w:tcPr>
            <w:vMerge w:val="restart"/>
          </w:tcPr>
          <w:p>
            <w:pPr>
              <w:pStyle w:val="Compact"/>
              <w:jc w:val="left"/>
            </w:pPr>
            <w:r>
              <w:t xml:space="preserve">Scope 3</w:t>
            </w:r>
          </w:p>
        </w:tc>
        <w:tc>
          <w:tcPr/>
          <w:p>
            <w:pPr>
              <w:pStyle w:val="Compact"/>
              <w:jc w:val="left"/>
            </w:pPr>
            <w:r>
              <w:t xml:space="preserve">Materials Acquisition &amp; Processing</w:t>
            </w:r>
          </w:p>
        </w:tc>
        <w:tc>
          <w:tcPr/>
          <w:p>
            <w:pPr>
              <w:pStyle w:val="Compact"/>
              <w:jc w:val="left"/>
            </w:pPr>
            <w:r>
              <w:t xml:space="preserve">6.20</w:t>
            </w:r>
          </w:p>
        </w:tc>
        <w:tc>
          <w:tcPr/>
          <w:p>
            <w:pPr>
              <w:pStyle w:val="Compact"/>
              <w:jc w:val="left"/>
            </w:pPr>
            <w:r>
              <w:t xml:space="preserve">43.8%</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0.04</w:t>
            </w:r>
          </w:p>
        </w:tc>
        <w:tc>
          <w:tcPr/>
          <w:p>
            <w:pPr>
              <w:pStyle w:val="Compact"/>
              <w:jc w:val="left"/>
            </w:pPr>
            <w:r>
              <w:t xml:space="preserve">0.3%</w:t>
            </w:r>
          </w:p>
        </w:tc>
      </w:tr>
      <w:tr>
        <w:tc>
          <w:tcPr>
            <w:gridSpan w:val="1"/>
            <w:vMerge w:val="continue"/>
          </w:tcPr>
          <w:p>
            <w:pPr/>
          </w:p>
        </w:tc>
        <w:tc>
          <w:tcPr/>
          <w:p>
            <w:pPr>
              <w:pStyle w:val="Compact"/>
              <w:jc w:val="left"/>
            </w:pPr>
            <w:r>
              <w:t xml:space="preserve">Downstream Transportation</w:t>
            </w:r>
          </w:p>
        </w:tc>
        <w:tc>
          <w:tcPr/>
          <w:p>
            <w:pPr>
              <w:pStyle w:val="Compact"/>
              <w:jc w:val="left"/>
            </w:pPr>
            <w:r>
              <w:t xml:space="preserve">0.25</w:t>
            </w:r>
          </w:p>
        </w:tc>
        <w:tc>
          <w:tcPr/>
          <w:p>
            <w:pPr>
              <w:pStyle w:val="Compact"/>
              <w:jc w:val="left"/>
            </w:pPr>
            <w:r>
              <w:t xml:space="preserve">1.8%</w:t>
            </w:r>
          </w:p>
        </w:tc>
      </w:tr>
      <w:tr>
        <w:tc>
          <w:tcPr>
            <w:gridSpan w:val="1"/>
            <w:vMerge w:val="continue"/>
          </w:tcPr>
          <w:p>
            <w:pPr/>
          </w:p>
        </w:tc>
        <w:tc>
          <w:tcPr/>
          <w:p>
            <w:pPr>
              <w:pStyle w:val="Compact"/>
              <w:jc w:val="left"/>
            </w:pPr>
            <w:r>
              <w:t xml:space="preserve">Use Phase &amp; End-of-Life</w:t>
            </w:r>
          </w:p>
        </w:tc>
        <w:tc>
          <w:tcPr/>
          <w:p>
            <w:pPr>
              <w:pStyle w:val="Compact"/>
              <w:jc w:val="left"/>
            </w:pPr>
            <w:r>
              <w:t xml:space="preserve">4.53 + 0.05 = 4.58</w:t>
            </w:r>
          </w:p>
        </w:tc>
        <w:tc>
          <w:tcPr/>
          <w:p>
            <w:pPr>
              <w:pStyle w:val="Compact"/>
              <w:jc w:val="left"/>
            </w:pPr>
            <w:r>
              <w:t xml:space="preserve">32.4%</w:t>
            </w:r>
          </w:p>
        </w:tc>
      </w:tr>
      <w:tr>
        <w:tc>
          <w:tcPr>
            <w:gridSpan w:val="2"/>
          </w:tcPr>
          <w:p>
            <w:pPr>
              <w:pStyle w:val="Compact"/>
              <w:jc w:val="right"/>
            </w:pPr>
            <w:r>
              <w:t xml:space="preserve">Total Product Carbon Footprint (PCF):</w:t>
            </w:r>
          </w:p>
        </w:tc>
        <w:tc>
          <w:tcPr/>
          <w:p>
            <w:pPr>
              <w:pStyle w:val="Compact"/>
              <w:jc w:val="left"/>
            </w:pPr>
            <w:r>
              <w:t xml:space="preserve">14.17</w:t>
            </w:r>
          </w:p>
        </w:tc>
        <w:tc>
          <w:tcPr/>
          <w:p>
            <w:pPr>
              <w:pStyle w:val="Compact"/>
              <w:jc w:val="left"/>
            </w:pPr>
            <w:r>
              <w:t xml:space="preserve">100.0%</w:t>
            </w:r>
          </w:p>
        </w:tc>
      </w:tr>
    </w:tbl>
    <w:p>
      <w:r>
        <w:pict>
          <v:rect style="width:0;height:1.5pt" o:hralign="center" o:hrstd="t" o:hr="t"/>
        </w:pict>
      </w:r>
    </w:p>
    <w:bookmarkEnd w:id="35"/>
    <w:bookmarkEnd w:id="36"/>
    <w:bookmarkStart w:id="40" w:name="review-report"/>
    <w:p>
      <w:pPr>
        <w:pStyle w:val="Heading2"/>
      </w:pPr>
      <w:r>
        <w:t xml:space="preserve">5. Review &amp; Report</w:t>
      </w:r>
    </w:p>
    <w:bookmarkStart w:id="37" w:name="hotspots-analysis"/>
    <w:p>
      <w:pPr>
        <w:pStyle w:val="Heading3"/>
      </w:pPr>
      <w:r>
        <w:t xml:space="preserve">Hotspots Analysis:</w:t>
      </w:r>
    </w:p>
    <w:p>
      <w:pPr>
        <w:pStyle w:val="FirstParagraph"/>
      </w:pPr>
      <w:r>
        <w:t xml:space="preserve">The primary carbon hotspots for \'zuowjkmdxg\' are identified as follows:</w:t>
      </w:r>
    </w:p>
    <w:p>
      <w:pPr>
        <w:numPr>
          <w:ilvl w:val="0"/>
          <w:numId w:val="1015"/>
        </w:numPr>
        <w:pStyle w:val="Compact"/>
      </w:pPr>
      <w:r>
        <w:rPr>
          <w:bCs/>
          <w:b/>
        </w:rPr>
        <w:t xml:space="preserve">Materials Acquisition &amp; Processing (43.8%):</w:t>
      </w:r>
      <w:r>
        <w:t xml:space="preserve"> </w:t>
      </w:r>
      <w:r>
        <w:t xml:space="preserve">The extraction and processing of raw materials, particularly aluminum and the electronic board, represent the largest portion of the product\'s carbon footprint. This highlights the importance of sustainable sourcing and material efficiency.</w:t>
      </w:r>
    </w:p>
    <w:p>
      <w:pPr>
        <w:numPr>
          <w:ilvl w:val="0"/>
          <w:numId w:val="1015"/>
        </w:numPr>
        <w:pStyle w:val="Compact"/>
      </w:pPr>
      <w:r>
        <w:rPr>
          <w:bCs/>
          <w:b/>
        </w:rPr>
        <w:t xml:space="preserve">Use Phase (32.0%):</w:t>
      </w:r>
      <w:r>
        <w:t xml:space="preserve"> </w:t>
      </w:r>
      <w:r>
        <w:t xml:space="preserve">The energy consumption during the product\'s 5-year lifespan significantly contributes to the overall PCF. Opportunities for improvement lie in enhancing energy efficiency during operation.</w:t>
      </w:r>
    </w:p>
    <w:p>
      <w:pPr>
        <w:numPr>
          <w:ilvl w:val="0"/>
          <w:numId w:val="1015"/>
        </w:numPr>
        <w:pStyle w:val="Compact"/>
      </w:pPr>
      <w:r>
        <w:rPr>
          <w:bCs/>
          <w:b/>
        </w:rPr>
        <w:t xml:space="preserve">Manufacturing (Scope 2) (21.9%):</w:t>
      </w:r>
      <w:r>
        <w:t xml:space="preserve"> </w:t>
      </w:r>
      <w:r>
        <w:t xml:space="preserve">The reliance on grid electricity for manufacturing in China, despite 50% renewable energy usage, still accounts for a substantial portion. Further decarbonization of the energy mix or increased on-site renewable energy adoption could reduce this impact.</w:t>
      </w:r>
    </w:p>
    <w:bookmarkEnd w:id="37"/>
    <w:bookmarkStart w:id="38" w:name="ghg-protocol-adherence-2026-lsr-update"/>
    <w:p>
      <w:pPr>
        <w:pStyle w:val="Heading3"/>
      </w:pPr>
      <w:r>
        <w:t xml:space="preserve">GHG Protocol Adherence &amp; 2026 LSR Update:</w:t>
      </w:r>
    </w:p>
    <w:p>
      <w:pPr>
        <w:numPr>
          <w:ilvl w:val="0"/>
          <w:numId w:val="1016"/>
        </w:numPr>
        <w:pStyle w:val="Compact"/>
      </w:pPr>
      <w:r>
        <w:t xml:space="preserve">This analysis rigorously categorized emissions into Scope 1, Scope 2, and Scope 3, ensuring full compliance with the GHG Protocol Product Standard.</w:t>
      </w:r>
    </w:p>
    <w:p>
      <w:pPr>
        <w:numPr>
          <w:ilvl w:val="0"/>
          <w:numId w:val="1016"/>
        </w:numPr>
        <w:pStyle w:val="Compact"/>
      </w:pPr>
      <w:r>
        <w:rPr>
          <w:bCs/>
          <w:b/>
        </w:rPr>
        <w:t xml:space="preserve">Scope 3 Compliance:</w:t>
      </w:r>
      <w:r>
        <w:t xml:space="preserve"> </w:t>
      </w:r>
      <w:r>
        <w:t xml:space="preserve">All relevant Scope 3 categories (Materials, Transport, Use Phase, EoL) were included, achieving a comprehensive coverage well over the 95% requirement for 2026.</w:t>
      </w:r>
    </w:p>
    <w:p>
      <w:pPr>
        <w:numPr>
          <w:ilvl w:val="0"/>
          <w:numId w:val="1016"/>
        </w:numPr>
        <w:pStyle w:val="Compact"/>
      </w:pPr>
      <w:r>
        <w:rPr>
          <w:bCs/>
          <w:b/>
        </w:rPr>
        <w:t xml:space="preserve">2026 LSR Update:</w:t>
      </w:r>
      <w:r>
        <w:t xml:space="preserve"> </w:t>
      </w:r>
      <w:r>
        <w:t xml:space="preserve">The Land Sector and Removals (LSR) Standard was considered. Given the nature of product manufacturing and the \'factory_gate\' system boundary for primary production, no direct land-use change emissions were identified or attributed to the product\'s immediate lifecycle. However, upstream impacts related to land use for raw material production are implicitly included within the material emission factors used. Further detailed analysis on specific bio-based materials would integrate explicit LSR considerations.</w:t>
      </w:r>
    </w:p>
    <w:bookmarkEnd w:id="38"/>
    <w:bookmarkStart w:id="39" w:name="reliability"/>
    <w:p>
      <w:pPr>
        <w:pStyle w:val="Heading3"/>
      </w:pPr>
      <w:r>
        <w:t xml:space="preserve">Reliability:</w:t>
      </w:r>
    </w:p>
    <w:p>
      <w:pPr>
        <w:pStyle w:val="FirstParagraph"/>
      </w:pPr>
      <w:r>
        <w:t xml:space="preserve">The calculations are based on the provided parameters and a combination of industry-standard (e.g., Ecoinvent/DEFRA equivalents), publicly available, and assumed emission factors. While providing a robust estimate, the accuracy could be further enhanced by primary data collection for all material and energy inputs specific to \'tqvgkhyyit\'s\' operations and suppliers. The illustrative emission factors for materials, while representative, are generic and specific supplier data would improve precision.</w:t>
      </w:r>
    </w:p>
    <w:p>
      <w:r>
        <w:pict>
          <v:rect style="width:0;height:1.5pt" o:hralign="center" o:hrstd="t" o:hr="t"/>
        </w:pict>
      </w:r>
    </w:p>
    <w:bookmarkEnd w:id="39"/>
    <w:bookmarkEnd w:id="40"/>
    <w:bookmarkStart w:id="41" w:name="recommendations-for-zuowjkmdxg"/>
    <w:p>
      <w:pPr>
        <w:pStyle w:val="Heading2"/>
      </w:pPr>
      <w:r>
        <w:t xml:space="preserve">Recommendations for zuowjkmdxg:</w:t>
      </w:r>
    </w:p>
    <w:p>
      <w:pPr>
        <w:numPr>
          <w:ilvl w:val="0"/>
          <w:numId w:val="1017"/>
        </w:numPr>
        <w:pStyle w:val="Compact"/>
      </w:pPr>
      <w:r>
        <w:rPr>
          <w:bCs/>
          <w:b/>
        </w:rPr>
        <w:t xml:space="preserve">Material Optimization:</w:t>
      </w:r>
      <w:r>
        <w:t xml:space="preserve"> </w:t>
      </w:r>
      <w:r>
        <w:t xml:space="preserve">Investigate opportunities for lighter-weight materials, recycled content integration, or design for modularity to reduce the impact of raw material acquisition. Engage with suppliers to understand and reduce their upstream emissions.</w:t>
      </w:r>
    </w:p>
    <w:p>
      <w:pPr>
        <w:numPr>
          <w:ilvl w:val="0"/>
          <w:numId w:val="1017"/>
        </w:numPr>
        <w:pStyle w:val="Compact"/>
      </w:pPr>
      <w:r>
        <w:rPr>
          <w:bCs/>
          <w:b/>
        </w:rPr>
        <w:t xml:space="preserve">Energy Efficiency in Use:</w:t>
      </w:r>
      <w:r>
        <w:t xml:space="preserve"> </w:t>
      </w:r>
      <w:r>
        <w:t xml:space="preserve">Explore design improvements to minimize energy consumption during the product\'s operational lifespan. This could involve more energy-efficient components or optimized power management features.</w:t>
      </w:r>
    </w:p>
    <w:p>
      <w:pPr>
        <w:numPr>
          <w:ilvl w:val="0"/>
          <w:numId w:val="1017"/>
        </w:numPr>
        <w:pStyle w:val="Compact"/>
      </w:pPr>
      <w:r>
        <w:rPr>
          <w:bCs/>
          <w:b/>
        </w:rPr>
        <w:t xml:space="preserve">Renewable Energy Expansion:</w:t>
      </w:r>
      <w:r>
        <w:t xml:space="preserve"> </w:t>
      </w:r>
      <w:r>
        <w:t xml:space="preserve">Increase the percentage of renewable energy used in manufacturing operations in China, either through direct sourcing, power purchase agreements (PPAs), or verified renewable energy certificates.</w:t>
      </w:r>
    </w:p>
    <w:p>
      <w:pPr>
        <w:numPr>
          <w:ilvl w:val="0"/>
          <w:numId w:val="1017"/>
        </w:numPr>
        <w:pStyle w:val="Compact"/>
      </w:pPr>
      <w:r>
        <w:rPr>
          <w:bCs/>
          <w:b/>
        </w:rPr>
        <w:t xml:space="preserve">Circular Economy Initiatives:</w:t>
      </w:r>
      <w:r>
        <w:t xml:space="preserve"> </w:t>
      </w:r>
      <w:r>
        <w:t xml:space="preserve">Strengthen and expand the existing circular/take-back programs (\'jiemfsgrom\') to maximize the recovery and reuse of components, further extending product lifespan and reducing reliance on virgin materials.</w:t>
      </w:r>
    </w:p>
    <w:p>
      <w:pPr>
        <w:pStyle w:val="FirstParagraph"/>
      </w:pPr>
      <w:r>
        <w:t xml:space="preserve">Confidential - Internal Use Only | Page X of Y (Simulated)</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zuowjkmdxg</dc:title>
  <dc:creator/>
  <dc:description>Detailed Product Carbon Footprint (PCF) analysis report for zuowjkmdxg, performed by ueuuwzdhnp for tqvgkhyyit, adhering to GHG Protocol standards and 2026 LSR update.</dc:description>
  <dc:language>en</dc:language>
  <cp:keywords/>
  <dcterms:created xsi:type="dcterms:W3CDTF">2026-07-15T12:43:43Z</dcterms:created>
  <dcterms:modified xsi:type="dcterms:W3CDTF">2026-07-15T12:43:43Z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