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zumestgzoq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zumestgzoq</w:t>
      </w:r>
    </w:p>
    <w:p>
      <w:pPr>
        <w:pStyle w:val="BodyText"/>
      </w:pPr>
      <w:r>
        <w:rPr>
          <w:bCs/>
          <w:b/>
        </w:rPr>
        <w:t xml:space="preserve">Company:</w:t>
      </w:r>
      <w:r>
        <w:t xml:space="preserve"> </w:t>
      </w:r>
      <w:r>
        <w:t xml:space="preserve">ytuhpovvdt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ifexykkqfj</w:t>
      </w:r>
    </w:p>
    <w:p>
      <w:pPr>
        <w:pStyle w:val="BodyText"/>
      </w:pPr>
      <w:r>
        <w:t xml:space="preserve">Disclaimer: This report is generated based on available data and industry standards as of June 2, 2026. The accuracy of the analysis is dependent on the completeness and reliability of the provided input parameters and the emission factors utilized.</w:t>
      </w:r>
    </w:p>
    <w:bookmarkEnd w:id="20"/>
    <w:bookmarkStart w:id="21" w:name="Xc768df4f352ebe4f387a0a012fd096f0084acbc"/>
    <w:p>
      <w:pPr>
        <w:pStyle w:val="Heading1"/>
      </w:pPr>
      <w:r>
        <w:t xml:space="preserve">Product Carbon Footprint Analysis Report for zumestgzoq</w:t>
      </w:r>
    </w:p>
    <w:p>
      <w:pPr>
        <w:pStyle w:val="FirstParagraph"/>
      </w:pPr>
      <w:r>
        <w:rPr>
          <w:bCs/>
          <w:b/>
        </w:rPr>
        <w:t xml:space="preserve">Generated Date:</w:t>
      </w:r>
      <w:r>
        <w:t xml:space="preserve"> </w:t>
      </w:r>
      <w:r>
        <w:t xml:space="preserve">June 2,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Product Carbon Footprint (PCF) analysis, conducted by ifexykkqfj, a Senior Sustainability Consultant, provides a high-detail assessment of the greenhouse gas (GHG) emissions associated with the product zumestgzoq manufactured by ytuhpovvdt. Adhering to the GHG Protocol, including the 2026 Land Sector and Removals (LSR) Standard and targeting at least 95% Scope 3 coverage, this report quantifies emissions across the product\'s lifecycle from material acquisition to end-of-life. The analysis identifies key emission hotspots and offers a foundational understanding for strategic decarbonization efforts.</w:t>
      </w:r>
    </w:p>
    <w:p>
      <w:r>
        <w:pict>
          <v:rect style="width:0;height:1.5pt" o:hralign="center" o:hrstd="t" o:hr="t"/>
        </w:pict>
      </w:r>
    </w:p>
    <w:bookmarkEnd w:id="22"/>
    <w:bookmarkStart w:id="28" w:name="methodology-and-scope-definition"/>
    <w:p>
      <w:pPr>
        <w:pStyle w:val="Heading2"/>
      </w:pPr>
      <w:r>
        <w:t xml:space="preserve">2. Methodology and Scope Definition</w:t>
      </w:r>
    </w:p>
    <w:p>
      <w:pPr>
        <w:pStyle w:val="FirstParagraph"/>
      </w:pPr>
      <w:r>
        <w:t xml:space="preserve">The Product Carbon Footprint (PCF) for zumestgzoq has been calculated following the five-step methodology as outlined:</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accounting-standard"/>
    <w:p>
      <w:pPr>
        <w:pStyle w:val="Heading3"/>
      </w:pPr>
      <w:r>
        <w:t xml:space="preserve">2.1. Accounting Standard</w:t>
      </w:r>
    </w:p>
    <w:p>
      <w:pPr>
        <w:pStyle w:val="FirstParagraph"/>
      </w:pPr>
      <w:r>
        <w:t xml:space="preserve">This PCF analysis strictly adheres to the</w:t>
      </w:r>
      <w:r>
        <w:t xml:space="preserve"> </w:t>
      </w:r>
      <w:r>
        <w:rPr>
          <w:bCs/>
          <w:b/>
        </w:rPr>
        <w:t xml:space="preserve">GHG Protocol</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 both upstream and downstream). The 2026 Land Sector and Removals (LSR) Standard is applied for relevant land use and carbon removals, and specific attention has been given to achieving at least 95% coverage for Scope 3 reporting, in line with 2026 requirements.</w:t>
      </w:r>
    </w:p>
    <w:bookmarkEnd w:id="23"/>
    <w:bookmarkStart w:id="24"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zumestgzoq</w:t>
      </w:r>
      <w:r>
        <w:t xml:space="preserve">. This unit serves as the reference basis for quantifying all inputs and outputs throughout the product\'s lifecycle.</w:t>
      </w:r>
    </w:p>
    <w:bookmarkEnd w:id="24"/>
    <w:bookmarkStart w:id="25" w:name="system-boundary"/>
    <w:p>
      <w:pPr>
        <w:pStyle w:val="Heading3"/>
      </w:pPr>
      <w:r>
        <w:t xml:space="preserve">2.3. System Boundary</w:t>
      </w:r>
    </w:p>
    <w:p>
      <w:pPr>
        <w:pStyle w:val="FirstParagraph"/>
      </w:pPr>
      <w:r>
        <w:t xml:space="preserve">The primary system boundary for direct corporate emissions is defined as</w:t>
      </w:r>
      <w:r>
        <w:t xml:space="preserve"> </w:t>
      </w:r>
      <w:r>
        <w:rPr>
          <w:bCs/>
          <w:b/>
        </w:rPr>
        <w:t xml:space="preserve">"factory_gate"</w:t>
      </w:r>
      <w:r>
        <w:t xml:space="preserve">. However, to provide a comprehensive high-detail Product Carbon Footprint as requested, this report extends the analysis to include crucial downstream Scope 3 categories: Use Phase and End-of-Life, effectively adopting a "Cradle-to-Grave" perspective for the product\'s environmental impact while highlighting the main operational boundary.</w:t>
      </w:r>
    </w:p>
    <w:bookmarkEnd w:id="25"/>
    <w:bookmarkStart w:id="26" w:name="geographic-scope"/>
    <w:p>
      <w:pPr>
        <w:pStyle w:val="Heading3"/>
      </w:pPr>
      <w:r>
        <w:t xml:space="preserve">2.4.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6"/>
    <w:bookmarkStart w:id="27" w:name="allocation"/>
    <w:p>
      <w:pPr>
        <w:pStyle w:val="Heading3"/>
      </w:pPr>
      <w:r>
        <w:t xml:space="preserve">2.5. Allocation</w:t>
      </w:r>
    </w:p>
    <w:p>
      <w:pPr>
        <w:pStyle w:val="FirstParagraph"/>
      </w:pPr>
      <w:r>
        <w:t xml:space="preserve">Emissions are allocated directly to the functional unit (1.0 unit of zumestgzoq). For shared processes (e.g., transportation of multiple goods), allocation is performed based on mass-distance, where applicable. Recycling benefits are accounted for using a "closed-loop" approach, providing credits for recovered materials that offset virgin material production.</w:t>
      </w:r>
    </w:p>
    <w:p>
      <w:r>
        <w:pict>
          <v:rect style="width:0;height:1.5pt" o:hralign="center" o:hrstd="t" o:hr="t"/>
        </w:pict>
      </w:r>
    </w:p>
    <w:bookmarkEnd w:id="27"/>
    <w:bookmarkEnd w:id="28"/>
    <w:bookmarkStart w:id="34" w:name="life-cycle-mapping-data-collection-lci"/>
    <w:p>
      <w:pPr>
        <w:pStyle w:val="Heading2"/>
      </w:pPr>
      <w:r>
        <w:t xml:space="preserve">3. Life Cycle Mapping &amp; Data Collection (LCI)</w:t>
      </w:r>
    </w:p>
    <w:p>
      <w:pPr>
        <w:pStyle w:val="FirstParagraph"/>
      </w:pPr>
      <w:r>
        <w:t xml:space="preserve">The lifecycle of zumestgzoq is mapped into several key stages, and data has been collected from both primary (provided parameters) and secondary (industry-standard emission factors) sources.</w:t>
      </w:r>
    </w:p>
    <w:bookmarkStart w:id="29" w:name="X219e9682c871a776741b45d406b8dff818f3762"/>
    <w:p>
      <w:pPr>
        <w:pStyle w:val="Heading3"/>
      </w:pPr>
      <w:r>
        <w:t xml:space="preserve">3.1. Detailed Bill of Materials (BOM) for zumestgzoq</w:t>
      </w:r>
    </w:p>
    <w:p>
      <w:pPr>
        <w:pStyle w:val="FirstParagraph"/>
      </w:pPr>
      <w:r>
        <w:t xml:space="preserve">The following detailed Bill of Materials (BOM) (ofhponio) was used to calculate the material acquisition and pre-processing impacts, providing high-accuracy material impact calculation instead of default estimates: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(g)</w:t>
            </w:r>
          </w:p>
        </w:tc>
        <w:tc>
          <w:tcPr/>
          <w:p>
            <w:pPr>
              <w:pStyle w:val="Compact"/>
              <w:jc w:val="left"/>
            </w:pPr>
            <w:r>
              <w:t xml:space="preserve">Quantity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AL001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500</w:t>
            </w:r>
          </w:p>
        </w:tc>
        <w:tc>
          <w:tcPr/>
          <w:p>
            <w:pPr>
              <w:pStyle w:val="Compact"/>
              <w:jc w:val="left"/>
            </w:pPr>
            <w:r>
              <w:t xml:space="preserve">0.5</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PL002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200</w:t>
            </w:r>
          </w:p>
        </w:tc>
        <w:tc>
          <w:tcPr/>
          <w:p>
            <w:pPr>
              <w:pStyle w:val="Compact"/>
              <w:jc w:val="left"/>
            </w:pPr>
            <w:r>
              <w:t xml:space="preserve">0.2</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EL003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0.1</w:t>
            </w:r>
          </w:p>
        </w:tc>
        <w:tc>
          <w:tcPr/>
          <w:p>
            <w:pPr>
              <w:pStyle w:val="Compact"/>
              <w:jc w:val="left"/>
            </w:pPr>
            <w:r>
              <w:t xml:space="preserve">20.0</w:t>
            </w:r>
          </w:p>
        </w:tc>
        <w:tc>
          <w:tcPr/>
          <w:p>
            <w:pPr>
              <w:pStyle w:val="Compact"/>
              <w:jc w:val="left"/>
            </w:pPr>
            <w:r>
              <w:t xml:space="preserve">2.0</w:t>
            </w:r>
          </w:p>
        </w:tc>
      </w:tr>
      <w:tr>
        <w:tc>
          <w:tcPr/>
          <w:p>
            <w:pPr>
              <w:pStyle w:val="Compact"/>
              <w:jc w:val="left"/>
            </w:pPr>
            <w:r>
              <w:t xml:space="preserve">PK004</w:t>
            </w:r>
          </w:p>
        </w:tc>
        <w:tc>
          <w:tcPr/>
          <w:p>
            <w:pPr>
              <w:pStyle w:val="Compact"/>
              <w:jc w:val="left"/>
            </w:pPr>
            <w:r>
              <w:t xml:space="preserve">Cardboard Box</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50</w:t>
            </w:r>
          </w:p>
        </w:tc>
        <w:tc>
          <w:tcPr/>
          <w:p>
            <w:pPr>
              <w:pStyle w:val="Compact"/>
              <w:jc w:val="left"/>
            </w:pPr>
            <w:r>
              <w:t xml:space="preserve">0.05</w:t>
            </w:r>
          </w:p>
        </w:tc>
        <w:tc>
          <w:tcPr/>
          <w:p>
            <w:pPr>
              <w:pStyle w:val="Compact"/>
              <w:jc w:val="left"/>
            </w:pPr>
            <w:r>
              <w:t xml:space="preserve">1.0</w:t>
            </w:r>
          </w:p>
        </w:tc>
        <w:tc>
          <w:tcPr/>
          <w:p>
            <w:pPr>
              <w:pStyle w:val="Compact"/>
              <w:jc w:val="left"/>
            </w:pPr>
            <w:r>
              <w:t xml:space="preserve">0.05</w:t>
            </w:r>
          </w:p>
        </w:tc>
      </w:tr>
    </w:tbl>
    <w:p>
      <w:pPr>
        <w:pStyle w:val="BodyText"/>
      </w:pPr>
      <w:r>
        <w:rPr>
          <w:bCs/>
          <w:b/>
        </w:rPr>
        <w:t xml:space="preserve">Total Product Weight:</w:t>
      </w:r>
      <w:r>
        <w:t xml:space="preserve"> </w:t>
      </w:r>
      <w:r>
        <w:t xml:space="preserve">0.85 kg</w:t>
      </w:r>
    </w:p>
    <w:bookmarkEnd w:id="29"/>
    <w:bookmarkStart w:id="30" w:name="energy-inputs-production-phase"/>
    <w:p>
      <w:pPr>
        <w:pStyle w:val="Heading3"/>
      </w:pPr>
      <w:r>
        <w:t xml:space="preserve">3.2. Energy Inputs (Production Phase)</w:t>
      </w:r>
    </w:p>
    <w:p>
      <w:pPr>
        <w:numPr>
          <w:ilvl w:val="0"/>
          <w:numId w:val="1003"/>
        </w:numPr>
        <w:pStyle w:val="Compact"/>
      </w:pPr>
      <w:r>
        <w:rPr>
          <w:bCs/>
          <w:b/>
        </w:rPr>
        <w:t xml:space="preserve">Energy Intensity (kWh/unit):</w:t>
      </w:r>
      <w:r>
        <w:t xml:space="preserve"> </w:t>
      </w:r>
      <w:r>
        <w:t xml:space="preserve">lowqutygzo (e.g., 25 kWh/unit)</w:t>
      </w:r>
    </w:p>
    <w:p>
      <w:pPr>
        <w:numPr>
          <w:ilvl w:val="0"/>
          <w:numId w:val="1003"/>
        </w:numPr>
        <w:pStyle w:val="Compact"/>
      </w:pPr>
      <w:r>
        <w:rPr>
          <w:bCs/>
          <w:b/>
        </w:rPr>
        <w:t xml:space="preserve">Renewable Energy Usage:</w:t>
      </w:r>
      <w:r>
        <w:t xml:space="preserve"> </w:t>
      </w:r>
      <w:r>
        <w:t xml:space="preserve">klpujyxnls (e.g., 70%)</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China Grid Emission Factor (2026 estimate):</w:t>
      </w:r>
      <w:r>
        <w:t xml:space="preserve"> </w:t>
      </w:r>
      <w:r>
        <w:t xml:space="preserve">0.5 kg CO2e/kWh</w:t>
      </w:r>
    </w:p>
    <w:bookmarkEnd w:id="30"/>
    <w:bookmarkStart w:id="31" w:name="logistics-data"/>
    <w:p>
      <w:pPr>
        <w:pStyle w:val="Heading3"/>
      </w:pPr>
      <w:r>
        <w:t xml:space="preserve">3.3. Logistics Data</w:t>
      </w:r>
    </w:p>
    <w:p>
      <w:pPr>
        <w:numPr>
          <w:ilvl w:val="0"/>
          <w:numId w:val="1004"/>
        </w:numPr>
        <w:pStyle w:val="Compact"/>
      </w:pPr>
      <w:r>
        <w:rPr>
          <w:bCs/>
          <w:b/>
        </w:rPr>
        <w:t xml:space="preserve">Main Transport Mode:</w:t>
      </w:r>
      <w:r>
        <w:t xml:space="preserve"> </w:t>
      </w:r>
      <w:r>
        <w:t xml:space="preserve">Select Mode (e.g., Road freight (HGV))</w:t>
      </w:r>
    </w:p>
    <w:p>
      <w:pPr>
        <w:numPr>
          <w:ilvl w:val="0"/>
          <w:numId w:val="1004"/>
        </w:numPr>
        <w:pStyle w:val="Compact"/>
      </w:pPr>
      <w:r>
        <w:rPr>
          <w:bCs/>
          <w:b/>
        </w:rPr>
        <w:t xml:space="preserve">Main Transport Distance:</w:t>
      </w:r>
      <w:r>
        <w:t xml:space="preserve"> </w:t>
      </w:r>
      <w:r>
        <w:t xml:space="preserve">msrsdryjvk (e.g., 1500 km)</w:t>
      </w:r>
    </w:p>
    <w:p>
      <w:pPr>
        <w:numPr>
          <w:ilvl w:val="0"/>
          <w:numId w:val="1004"/>
        </w:numPr>
        <w:pStyle w:val="Compact"/>
      </w:pPr>
      <w:r>
        <w:rPr>
          <w:bCs/>
          <w:b/>
        </w:rPr>
        <w:t xml:space="preserve">Last-Mile Delivery Channel:</w:t>
      </w:r>
      <w:r>
        <w:t xml:space="preserve"> </w:t>
      </w:r>
      <w:r>
        <w:t xml:space="preserve">Delivery Type (e.g., Road freight (van))</w:t>
      </w:r>
    </w:p>
    <w:p>
      <w:pPr>
        <w:numPr>
          <w:ilvl w:val="0"/>
          <w:numId w:val="1004"/>
        </w:numPr>
        <w:pStyle w:val="Compact"/>
      </w:pPr>
      <w:r>
        <w:rPr>
          <w:bCs/>
          <w:b/>
        </w:rPr>
        <w:t xml:space="preserve">Assumed Last-Mile Distance:</w:t>
      </w:r>
      <w:r>
        <w:t xml:space="preserve"> </w:t>
      </w:r>
      <w:r>
        <w:t xml:space="preserve">100 km</w:t>
      </w:r>
    </w:p>
    <w:p>
      <w:pPr>
        <w:numPr>
          <w:ilvl w:val="0"/>
          <w:numId w:val="1004"/>
        </w:numPr>
        <w:pStyle w:val="Compact"/>
      </w:pPr>
      <w:r>
        <w:rPr>
          <w:bCs/>
          <w:b/>
        </w:rPr>
        <w:t xml:space="preserve">Road Freight (HGV) Emission Factor:</w:t>
      </w:r>
      <w:r>
        <w:t xml:space="preserve"> </w:t>
      </w:r>
      <w:r>
        <w:t xml:space="preserve">0.053 kg CO2e/tonne-km</w:t>
      </w:r>
    </w:p>
    <w:p>
      <w:pPr>
        <w:numPr>
          <w:ilvl w:val="0"/>
          <w:numId w:val="1004"/>
        </w:numPr>
        <w:pStyle w:val="Compact"/>
      </w:pPr>
      <w:r>
        <w:rPr>
          <w:bCs/>
          <w:b/>
        </w:rPr>
        <w:t xml:space="preserve">Road Freight (Van) Emission Factor (for last-mile):</w:t>
      </w:r>
      <w:r>
        <w:t xml:space="preserve"> </w:t>
      </w:r>
      <w:r>
        <w:t xml:space="preserve">0.105 kg CO2e/tonne-km</w:t>
      </w:r>
    </w:p>
    <w:bookmarkEnd w:id="31"/>
    <w:bookmarkStart w:id="32"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xzjjjqkeyg (e.g., 7 years)</w:t>
      </w:r>
    </w:p>
    <w:p>
      <w:pPr>
        <w:numPr>
          <w:ilvl w:val="0"/>
          <w:numId w:val="1005"/>
        </w:numPr>
        <w:pStyle w:val="Compact"/>
      </w:pPr>
      <w:r>
        <w:rPr>
          <w:bCs/>
          <w:b/>
        </w:rPr>
        <w:t xml:space="preserve">Energy Consumption in Use:</w:t>
      </w:r>
      <w:r>
        <w:t xml:space="preserve"> </w:t>
      </w:r>
      <w:r>
        <w:t xml:space="preserve">ppvfvuwogx (e.g., 10 kWh/year)</w:t>
      </w:r>
    </w:p>
    <w:p>
      <w:pPr>
        <w:numPr>
          <w:ilvl w:val="0"/>
          <w:numId w:val="1005"/>
        </w:numPr>
        <w:pStyle w:val="Compact"/>
      </w:pPr>
      <w:r>
        <w:rPr>
          <w:bCs/>
          <w:b/>
        </w:rPr>
        <w:t xml:space="preserve">European Grid Emission Factor (2026 estimate):</w:t>
      </w:r>
      <w:r>
        <w:t xml:space="preserve"> </w:t>
      </w:r>
      <w:r>
        <w:t xml:space="preserve">0.165 kg CO2e/kWh</w:t>
      </w:r>
    </w:p>
    <w:bookmarkEnd w:id="32"/>
    <w:bookmarkStart w:id="33"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ymuspyooin (e.g., 90%)</w:t>
      </w:r>
    </w:p>
    <w:p>
      <w:pPr>
        <w:numPr>
          <w:ilvl w:val="0"/>
          <w:numId w:val="1006"/>
        </w:numPr>
        <w:pStyle w:val="Compact"/>
      </w:pPr>
      <w:r>
        <w:rPr>
          <w:bCs/>
          <w:b/>
        </w:rPr>
        <w:t xml:space="preserve">Circular/Take-back Programs:</w:t>
      </w:r>
      <w:r>
        <w:t xml:space="preserve"> </w:t>
      </w:r>
      <w:r>
        <w:t xml:space="preserve">nlmmjesxhn (e.g., Active regional program)</w:t>
      </w:r>
    </w:p>
    <w:p>
      <w:pPr>
        <w:numPr>
          <w:ilvl w:val="0"/>
          <w:numId w:val="1006"/>
        </w:numPr>
        <w:pStyle w:val="Compact"/>
      </w:pPr>
      <w:r>
        <w:rPr>
          <w:bCs/>
          <w:b/>
        </w:rPr>
        <w:t xml:space="preserve">Aluminum Recycling Credit:</w:t>
      </w:r>
      <w:r>
        <w:t xml:space="preserve"> </w:t>
      </w:r>
      <w:r>
        <w:t xml:space="preserve">-8.14 kg CO2e/kg</w:t>
      </w:r>
    </w:p>
    <w:p>
      <w:pPr>
        <w:numPr>
          <w:ilvl w:val="0"/>
          <w:numId w:val="1006"/>
        </w:numPr>
        <w:pStyle w:val="Compact"/>
      </w:pPr>
      <w:r>
        <w:rPr>
          <w:bCs/>
          <w:b/>
        </w:rPr>
        <w:t xml:space="preserve">Plastic Recycling Credit:</w:t>
      </w:r>
      <w:r>
        <w:t xml:space="preserve"> </w:t>
      </w:r>
      <w:r>
        <w:t xml:space="preserve">-1.08 kg CO2e/kg</w:t>
      </w:r>
    </w:p>
    <w:p>
      <w:pPr>
        <w:numPr>
          <w:ilvl w:val="0"/>
          <w:numId w:val="1006"/>
        </w:numPr>
        <w:pStyle w:val="Compact"/>
      </w:pPr>
      <w:r>
        <w:rPr>
          <w:bCs/>
          <w:b/>
        </w:rPr>
        <w:t xml:space="preserve">Plastic Landfill Debit:</w:t>
      </w:r>
      <w:r>
        <w:t xml:space="preserve"> </w:t>
      </w:r>
      <w:r>
        <w:t xml:space="preserve">0.033 kg CO2e/kg</w:t>
      </w:r>
    </w:p>
    <w:p>
      <w:r>
        <w:pict>
          <v:rect style="width:0;height:1.5pt" o:hralign="center" o:hrstd="t" o:hr="t"/>
        </w:pict>
      </w:r>
    </w:p>
    <w:bookmarkEnd w:id="33"/>
    <w:bookmarkEnd w:id="34"/>
    <w:bookmarkStart w:id="45" w:name="emissions-calculation"/>
    <w:p>
      <w:pPr>
        <w:pStyle w:val="Heading2"/>
      </w:pPr>
      <w:r>
        <w:t xml:space="preserve">4. Emissions Calculation</w:t>
      </w:r>
    </w:p>
    <w:p>
      <w:pPr>
        <w:pStyle w:val="FirstParagraph"/>
      </w:pPr>
      <w:r>
        <w:t xml:space="preserve">All calculations are presented in kg CO2e per functional unit (1.0 unit of zumestgzoq). Industry-standard emission factors from sources like Ecoinvent/DEFRA (or publicly available estimates based on them) have been used where specific values were not provided, as outlined in the data collection section.</w:t>
      </w:r>
    </w:p>
    <w:bookmarkStart w:id="37" w:name="scope-3-upstream-emissions"/>
    <w:p>
      <w:pPr>
        <w:pStyle w:val="Heading3"/>
      </w:pPr>
      <w:r>
        <w:t xml:space="preserve">4.1. Scope 3: Upstream Emissions</w:t>
      </w:r>
    </w:p>
    <w:bookmarkStart w:id="35" w:name="material-acquisition-pre-processing"/>
    <w:p>
      <w:pPr>
        <w:pStyle w:val="Heading4"/>
      </w:pPr>
      <w:r>
        <w:t xml:space="preserve">4.1.1. Material Acquisition &amp; Pre-processing</w:t>
      </w:r>
    </w:p>
    <w:bookmarkEnd w:id="35"/>
    <w:bookmarkStart w:id="36" w:name="upstream-transportation"/>
    <w:p>
      <w:pPr>
        <w:pStyle w:val="Heading4"/>
      </w:pPr>
      <w:r>
        <w:t xml:space="preserve">4.1.2. Upstream Transportation</w:t>
      </w:r>
    </w:p>
    <w:bookmarkEnd w:id="36"/>
    <w:bookmarkEnd w:id="37"/>
    <w:bookmarkStart w:id="40" w:name="scope-1-2-manufacturing-emissions"/>
    <w:p>
      <w:pPr>
        <w:pStyle w:val="Heading3"/>
      </w:pPr>
      <w:r>
        <w:t xml:space="preserve">4.2. Scope 1 &amp; 2: Manufacturing Emissions</w:t>
      </w:r>
    </w:p>
    <w:bookmarkStart w:id="38" w:name="scope-1-direct-emissions"/>
    <w:p>
      <w:pPr>
        <w:pStyle w:val="Heading4"/>
      </w:pPr>
      <w:r>
        <w:t xml:space="preserve">4.2.1. Scope 1 (Direct Emissions)</w:t>
      </w:r>
    </w:p>
    <w:p>
      <w:pPr>
        <w:pStyle w:val="FirstParagraph"/>
      </w:pPr>
      <w:r>
        <w:t xml:space="preserve">For the "factory_gate" boundary focused on purchased electricity, direct fuel combustion emissions (Scope 1) are assumed to be negligible or implicitly covered within the electricity consumption for manufacturing, as specific direct fuel usage data was not provided. If direct fuel combustion occurs, it would be separately quantified here.</w:t>
      </w:r>
    </w:p>
    <w:p>
      <w:pPr>
        <w:pStyle w:val="BodyText"/>
      </w:pPr>
      <w:r>
        <w:rPr>
          <w:bCs/>
          <w:b/>
        </w:rPr>
        <w:t xml:space="preserve">Total Scope 1 Emissions: 0.0 kgCO2e (Assumed negligible / covered by Scope 2 for this analysis)</w:t>
      </w:r>
    </w:p>
    <w:bookmarkEnd w:id="38"/>
    <w:bookmarkStart w:id="39" w:name="scope-2-purchased-electricity"/>
    <w:p>
      <w:pPr>
        <w:pStyle w:val="Heading4"/>
      </w:pPr>
      <w:r>
        <w:t xml:space="preserve">4.2.2. Scope 2 (Purchased Electricity)</w:t>
      </w:r>
    </w:p>
    <w:bookmarkEnd w:id="39"/>
    <w:bookmarkEnd w:id="40"/>
    <w:bookmarkStart w:id="44" w:name="scope-3-downstream-emissions"/>
    <w:p>
      <w:pPr>
        <w:pStyle w:val="Heading3"/>
      </w:pPr>
      <w:r>
        <w:t xml:space="preserve">4.3. Scope 3: Downstream Emissions</w:t>
      </w:r>
    </w:p>
    <w:bookmarkStart w:id="41" w:name="downstream-transportation-distribution"/>
    <w:p>
      <w:pPr>
        <w:pStyle w:val="Heading4"/>
      </w:pPr>
      <w:r>
        <w:t xml:space="preserve">4.3.1. Downstream Transportation &amp; Distribution</w:t>
      </w:r>
    </w:p>
    <w:bookmarkEnd w:id="41"/>
    <w:bookmarkStart w:id="42" w:name="use-phase-emissions"/>
    <w:p>
      <w:pPr>
        <w:pStyle w:val="Heading4"/>
      </w:pPr>
      <w:r>
        <w:t xml:space="preserve">4.3.2. Use Phase Emissions</w:t>
      </w:r>
    </w:p>
    <w:bookmarkEnd w:id="42"/>
    <w:bookmarkStart w:id="43" w:name="end-of-life-eol-emissions-credits"/>
    <w:p>
      <w:pPr>
        <w:pStyle w:val="Heading4"/>
      </w:pPr>
      <w:r>
        <w:t xml:space="preserve">4.3.3. End-of-Life (EoL) Emissions / Credits</w:t>
      </w:r>
    </w:p>
    <w:p>
      <w:r>
        <w:pict>
          <v:rect style="width:0;height:1.5pt" o:hralign="center" o:hrstd="t" o:hr="t"/>
        </w:pict>
      </w:r>
    </w:p>
    <w:bookmarkEnd w:id="43"/>
    <w:bookmarkEnd w:id="44"/>
    <w:bookmarkEnd w:id="45"/>
    <w:bookmarkStart w:id="48" w:name="total-product-carbon-footprint"/>
    <w:p>
      <w:pPr>
        <w:pStyle w:val="Heading2"/>
      </w:pPr>
      <w:r>
        <w:t xml:space="preserve">5. Total Product Carbon Footprint</w:t>
      </w:r>
    </w:p>
    <w:bookmarkStart w:id="46" w:name="hotspots-and-reliability"/>
    <w:p>
      <w:pPr>
        <w:pStyle w:val="Heading3"/>
      </w:pPr>
      <w:r>
        <w:t xml:space="preserve">5.1. Hotspots and Reliability</w:t>
      </w:r>
    </w:p>
    <w:p>
      <w:pPr>
        <w:pStyle w:val="FirstParagraph"/>
      </w:pPr>
      <w:r>
        <w:t xml:space="preserve">The primary emission hotspots for zumestgzoq are identified in:</w:t>
      </w:r>
    </w:p>
    <w:p>
      <w:pPr>
        <w:numPr>
          <w:ilvl w:val="0"/>
          <w:numId w:val="1007"/>
        </w:numPr>
        <w:pStyle w:val="Compact"/>
      </w:pPr>
      <w:r>
        <w:rPr>
          <w:bCs/>
          <w:b/>
        </w:rPr>
        <w:t xml:space="preserve">Material Acquisition &amp; Pre-processing (Scope 3 Upstream):</w:t>
      </w:r>
      <w:r>
        <w:t xml:space="preserve"> </w:t>
      </w:r>
      <w:r>
        <w:t xml:space="preserve">This stage contributes significantly due to the embedded carbon in raw materials, particularly metals and complex electronic components.</w:t>
      </w:r>
    </w:p>
    <w:p>
      <w:pPr>
        <w:numPr>
          <w:ilvl w:val="0"/>
          <w:numId w:val="1007"/>
        </w:numPr>
        <w:pStyle w:val="Compact"/>
      </w:pPr>
      <w:r>
        <w:rPr>
          <w:bCs/>
          <w:b/>
        </w:rPr>
        <w:t xml:space="preserve">Use Phase (Scope 3 Downstream):</w:t>
      </w:r>
      <w:r>
        <w:t xml:space="preserve"> </w:t>
      </w:r>
      <w:r>
        <w:t xml:space="preserve">The energy consumption during the product\'s lifespan, even with Europe\'s relatively lower grid emission factor, accumulates to a substantial impact over several years.</w:t>
      </w:r>
    </w:p>
    <w:p>
      <w:pPr>
        <w:numPr>
          <w:ilvl w:val="0"/>
          <w:numId w:val="1007"/>
        </w:numPr>
        <w:pStyle w:val="Compact"/>
      </w:pPr>
      <w:r>
        <w:rPr>
          <w:bCs/>
          <w:b/>
        </w:rPr>
        <w:t xml:space="preserve">Manufacturing (Scope 2):</w:t>
      </w:r>
      <w:r>
        <w:t xml:space="preserve"> </w:t>
      </w:r>
      <w:r>
        <w:t xml:space="preserve">While partially offset by renewable energy usage, the energy intensity of production in China\'s grid mix still presents a notable footprint.</w:t>
      </w:r>
    </w:p>
    <w:p>
      <w:pPr>
        <w:pStyle w:val="FirstParagraph"/>
      </w:pPr>
      <w:r>
        <w:t xml:space="preserve">The reliability of this assessment is high for the stages where specific primary data (BOM, energy intensity) was provided. For other parameters, industry-average emission factors have been utilized. The 95% Scope 3 coverage goal aligns with current best practices under the GHG Protocol for comprehensive value chain accounting.</w:t>
      </w:r>
    </w:p>
    <w:bookmarkEnd w:id="46"/>
    <w:bookmarkStart w:id="47" w:name="lsr-update-considerations"/>
    <w:p>
      <w:pPr>
        <w:pStyle w:val="Heading3"/>
      </w:pPr>
      <w:r>
        <w:t xml:space="preserve">5.2. 2026 LSR Update Considerations</w:t>
      </w:r>
    </w:p>
    <w:p>
      <w:pPr>
        <w:pStyle w:val="FirstParagraph"/>
      </w:pPr>
      <w:r>
        <w:t xml:space="preserve">While direct land use change or carbon removals were not explicitly identified within the provided product parameters, this report acknowledges the importance of the 2026 Land Sector and Removals (LSR) Standard. For products with significant bio-based materials, forestry, or land-intensive processes, a more detailed analysis under the LSR standard would be crucial to accurately reflect carbon removals and emissions from land use changes.</w:t>
      </w:r>
    </w:p>
    <w:p>
      <w:r>
        <w:pict>
          <v:rect style="width:0;height:1.5pt" o:hralign="center" o:hrstd="t" o:hr="t"/>
        </w:pict>
      </w:r>
    </w:p>
    <w:bookmarkEnd w:id="47"/>
    <w:bookmarkEnd w:id="48"/>
    <w:bookmarkStart w:id="49" w:name="recommendations-for-decarbonization"/>
    <w:p>
      <w:pPr>
        <w:pStyle w:val="Heading2"/>
      </w:pPr>
      <w:r>
        <w:t xml:space="preserve">6. Recommendations for Decarbonization</w:t>
      </w:r>
    </w:p>
    <w:p>
      <w:pPr>
        <w:pStyle w:val="FirstParagraph"/>
      </w:pPr>
      <w:r>
        <w:t xml:space="preserve">Based on this PCF analysis, ytuhpovvdt can focus on the following areas to reduce the carbon footprint of zumestgzoq:</w:t>
      </w:r>
    </w:p>
    <w:p>
      <w:pPr>
        <w:numPr>
          <w:ilvl w:val="0"/>
          <w:numId w:val="1008"/>
        </w:numPr>
        <w:pStyle w:val="Compact"/>
      </w:pPr>
      <w:r>
        <w:rPr>
          <w:bCs/>
          <w:b/>
        </w:rPr>
        <w:t xml:space="preserve">Material Optimization:</w:t>
      </w:r>
      <w:r>
        <w:t xml:space="preserve"> </w:t>
      </w:r>
      <w:r>
        <w:t xml:space="preserve">Investigate opportunities for using lower-carbon materials, increasing recycled content beyond the end-of-life percentage, and working with suppliers for transparent, low-carbon sourcing. Engage with suppliers to understand their decarbonization pathways.</w:t>
      </w:r>
    </w:p>
    <w:p>
      <w:pPr>
        <w:numPr>
          <w:ilvl w:val="0"/>
          <w:numId w:val="1008"/>
        </w:numPr>
        <w:pStyle w:val="Compact"/>
      </w:pPr>
      <w:r>
        <w:rPr>
          <w:bCs/>
          <w:b/>
        </w:rPr>
        <w:t xml:space="preserve">Manufacturing Efficiency:</w:t>
      </w:r>
      <w:r>
        <w:t xml:space="preserve"> </w:t>
      </w:r>
      <w:r>
        <w:t xml:space="preserve">Further increase renewable energy procurement at the manufacturing facilities in China. Explore energy efficiency improvements in production processes to reduce the overall energy intensity (lowqutygzo).</w:t>
      </w:r>
    </w:p>
    <w:p>
      <w:pPr>
        <w:numPr>
          <w:ilvl w:val="0"/>
          <w:numId w:val="1008"/>
        </w:numPr>
        <w:pStyle w:val="Compact"/>
      </w:pPr>
      <w:r>
        <w:rPr>
          <w:bCs/>
          <w:b/>
        </w:rPr>
        <w:t xml:space="preserve">Logistics Optimization:</w:t>
      </w:r>
      <w:r>
        <w:t xml:space="preserve"> </w:t>
      </w:r>
      <w:r>
        <w:t xml:space="preserve">Optimize transportation routes and modes, particularly for long-distance freight, by prioritizing more efficient options like rail or sea where feasible, or consolidating shipments.</w:t>
      </w:r>
    </w:p>
    <w:p>
      <w:pPr>
        <w:numPr>
          <w:ilvl w:val="0"/>
          <w:numId w:val="1008"/>
        </w:numPr>
        <w:pStyle w:val="Compact"/>
      </w:pPr>
      <w:r>
        <w:rPr>
          <w:bCs/>
          <w:b/>
        </w:rPr>
        <w:t xml:space="preserve">Use Phase Enhancement:</w:t>
      </w:r>
      <w:r>
        <w:t xml:space="preserve"> </w:t>
      </w:r>
      <w:r>
        <w:t xml:space="preserve">Explore design choices that reduce energy consumption during the product\'s lifespan, or extend product durability to maximize the value from embodied emissions.</w:t>
      </w:r>
    </w:p>
    <w:p>
      <w:pPr>
        <w:numPr>
          <w:ilvl w:val="0"/>
          <w:numId w:val="1008"/>
        </w:numPr>
        <w:pStyle w:val="Compact"/>
      </w:pPr>
      <w:r>
        <w:rPr>
          <w:bCs/>
          <w:b/>
        </w:rPr>
        <w:t xml:space="preserve">Circular Economy Integration:</w:t>
      </w:r>
      <w:r>
        <w:t xml:space="preserve"> </w:t>
      </w:r>
      <w:r>
        <w:t xml:space="preserve">Strengthen existing circular/take-back programs (nlmmjesxhn) to maximize material recovery and re-use, aiming for even higher recyclability rates (ymuspyooin) and exploring closed-loop systems for key materials.</w:t>
      </w:r>
    </w:p>
    <w:p>
      <w:r>
        <w:pict>
          <v:rect style="width:0;height:1.5pt" o:hralign="center" o:hrstd="t" o:hr="t"/>
        </w:pict>
      </w:r>
    </w:p>
    <w:bookmarkEnd w:id="49"/>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zumestgzoq</dc:title>
  <dc:creator/>
  <dc:description>High-detail Product Carbon Footprint (PCF) analysis report for zumestgzoq by Senior Sustainability Consultant ifexykkqfj, adhering to GHG Protocol standards with a focus on Scope 3 emissions.</dc:description>
  <dc:language>en</dc:language>
  <cp:keywords/>
  <dcterms:created xsi:type="dcterms:W3CDTF">2026-07-15T01:39:55Z</dcterms:created>
  <dcterms:modified xsi:type="dcterms:W3CDTF">2026-07-15T01:39:55Z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