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zuljypjszl</w:t>
      </w:r>
      <w:r>
        <w:t xml:space="preserve"> </w:t>
      </w:r>
      <w:r>
        <w:t xml:space="preserve">-</w:t>
      </w:r>
      <w:r>
        <w:t xml:space="preserve"> </w:t>
      </w:r>
      <w:r>
        <w:t xml:space="preserve">zexqvlmqsg</w:t>
      </w:r>
    </w:p>
    <w:p>
      <w:pPr>
        <w:pStyle w:val="FirstParagraph"/>
      </w:pPr>
      <w:r>
        <w:rPr>
          <w:bCs/>
          <w:b/>
        </w:rPr>
        <w:t xml:space="preserve">carboncalcpcf.com</w:t>
      </w:r>
    </w:p>
    <w:bookmarkStart w:id="20" w:name="product-carbon-footprint-analysis"/>
    <w:p>
      <w:pPr>
        <w:pStyle w:val="Heading1"/>
      </w:pPr>
      <w:r>
        <w:t xml:space="preserve">Product Carbon Footprint Analysis</w:t>
      </w:r>
    </w:p>
    <w:p>
      <w:pPr>
        <w:pStyle w:val="FirstParagraph"/>
      </w:pPr>
      <w:r>
        <w:t xml:space="preserve">For the Product:</w:t>
      </w:r>
      <w:r>
        <w:t xml:space="preserve"> </w:t>
      </w:r>
      <w:r>
        <w:rPr>
          <w:bCs/>
          <w:b/>
        </w:rPr>
        <w:t xml:space="preserve">zuljypjszl</w:t>
      </w:r>
    </w:p>
    <w:p>
      <w:pPr>
        <w:pStyle w:val="BodyText"/>
      </w:pPr>
      <w:r>
        <w:t xml:space="preserve">Company Name:</w:t>
      </w:r>
      <w:r>
        <w:t xml:space="preserve"> </w:t>
      </w:r>
      <w:r>
        <w:rPr>
          <w:bCs/>
          <w:b/>
        </w:rPr>
        <w:t xml:space="preserve">zexqvlmqsg</w:t>
      </w:r>
    </w:p>
    <w:p>
      <w:pPr>
        <w:pStyle w:val="BodyText"/>
      </w:pPr>
      <w:r>
        <w:t xml:space="preserve">Senior Sustainability Consultant:</w:t>
      </w:r>
      <w:r>
        <w:t xml:space="preserve"> </w:t>
      </w:r>
      <w:r>
        <w:rPr>
          <w:bCs/>
          <w:b/>
        </w:rPr>
        <w:t xml:space="preserve">rtwpjtiyyd</w:t>
      </w:r>
    </w:p>
    <w:p>
      <w:pPr>
        <w:pStyle w:val="BodyText"/>
      </w:pPr>
      <w:r>
        <w:t xml:space="preserve">Accounting Standard:</w:t>
      </w:r>
      <w:r>
        <w:t xml:space="preserve"> </w:t>
      </w:r>
      <w:r>
        <w:rPr>
          <w:bCs/>
          <w:b/>
        </w:rPr>
        <w:t xml:space="preserve">GHG Protocol</w:t>
      </w:r>
    </w:p>
    <w:p>
      <w:pPr>
        <w:pStyle w:val="BodyText"/>
      </w:pPr>
      <w:r>
        <w:t xml:space="preserve">Disclaimer: This report is generated based on available data and industry standards. While every effort has been made to ensure accuracy, the actual carbon footprint may vary based on specific operational details and data precision. Assumptions have been made where specific data points were provided as placeholders.</w:t>
      </w:r>
    </w:p>
    <w:bookmarkEnd w:id="20"/>
    <w:bookmarkStart w:id="42"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\'zuljypjszl\', manufactured by \'zexqvlmqsg\'. The analysis adheres to the GHG Protocol Product Standard and incorporates the latest 2026 Land Sector and Removals (LSR) Standard, with a focus on achieving at least 95% Scope 3 coverage. The study was conducted by rtwpjtiyyd, a Senior Sustainability Consultant, to identify key emission hotspots across the product\'s lifecycle from raw material acquisition to end-of-life. The total estimated cradle-to-grave carbon footprint for one functional unit of zuljypjszl is calculated to be</w:t>
      </w:r>
      <w:r>
        <w:t xml:space="preserve"> </w:t>
      </w:r>
      <w:r>
        <w:t xml:space="preserve"> </w:t>
      </w:r>
      <w:r>
        <w:t xml:space="preserve">kg CO2e, with significant contributions from the use phase and material production. This report outlines the methodology, data used, and provides a breakdown of emissions by lifecycle stage and GHG Protocol scopes.</w:t>
      </w:r>
    </w:p>
    <w:p>
      <w:r>
        <w:pict>
          <v:rect style="width:0;height:1.5pt" o:hralign="center" o:hrstd="t" o:hr="t"/>
        </w:pict>
      </w:r>
    </w:p>
    <w:bookmarkEnd w:id="21"/>
    <w:bookmarkStart w:id="22" w:name="defining-the-scope-of-the-pcf-study"/>
    <w:p>
      <w:pPr>
        <w:pStyle w:val="Heading2"/>
      </w:pPr>
      <w:r>
        <w:t xml:space="preserve">1. Defining the Scope of the PCF Study</w:t>
      </w:r>
    </w:p>
    <w:p>
      <w:pPr>
        <w:pStyle w:val="FirstParagraph"/>
      </w:pPr>
      <w:r>
        <w:t xml:space="preserve">The scope definition is crucial for establishing the boundaries and parameters of the Product Carbon Footprint analysis, ensuring consistency and comparability.</w:t>
      </w:r>
    </w:p>
    <w:p>
      <w:pPr>
        <w:numPr>
          <w:ilvl w:val="0"/>
          <w:numId w:val="1001"/>
        </w:numPr>
        <w:pStyle w:val="Compact"/>
      </w:pPr>
      <w:r>
        <w:rPr>
          <w:bCs/>
          <w:b/>
        </w:rPr>
        <w:t xml:space="preserve">Functional Unit:</w:t>
      </w:r>
      <w:r>
        <w:t xml:space="preserve"> </w:t>
      </w:r>
      <w:r>
        <w:t xml:space="preserve">The functional unit for this study is</w:t>
      </w:r>
      <w:r>
        <w:t xml:space="preserve"> </w:t>
      </w:r>
      <w:r>
        <w:rPr>
          <w:bCs/>
          <w:b/>
        </w:rPr>
        <w:t xml:space="preserve">1.0 unit of zuljypjszl</w:t>
      </w:r>
      <w:r>
        <w:t xml:space="preserve">. This unit serves as the reference basis for quantifying inputs and outputs and for expressing the environmental performance of the product.</w:t>
      </w:r>
    </w:p>
    <w:p>
      <w:pPr>
        <w:numPr>
          <w:ilvl w:val="0"/>
          <w:numId w:val="1001"/>
        </w:numPr>
        <w:pStyle w:val="Compact"/>
      </w:pPr>
      <w:r>
        <w:rPr>
          <w:bCs/>
          <w:b/>
        </w:rPr>
        <w:t xml:space="preserve">System Boundary:</w:t>
      </w:r>
      <w:r>
        <w:t xml:space="preserve"> </w:t>
      </w:r>
      <w:r>
        <w:t xml:space="preserve">The analysis employs a</w:t>
      </w:r>
      <w:r>
        <w:t xml:space="preserve"> </w:t>
      </w:r>
      <w:r>
        <w:rPr>
          <w:bCs/>
          <w:b/>
        </w:rPr>
        <w:t xml:space="preserve">"factory_gate"</w:t>
      </w:r>
      <w:r>
        <w:t xml:space="preserve"> </w:t>
      </w:r>
      <w:r>
        <w:t xml:space="preserve">system boundary for initial material and manufacturing stages. However, for a comprehensive cradle-to-grave assessment as per GHG Protocol requirements and to ensure 95% Scope 3 coverage, the system boundary is effectively expanded to include all relevant lifecycle stages: raw material extraction and processing, manufacturing, transportation, storage, use, and disposal.</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on</w:t>
      </w:r>
      <w:r>
        <w:t xml:space="preserve"> </w:t>
      </w:r>
      <w:r>
        <w:rPr>
          <w:bCs/>
          <w:b/>
        </w:rPr>
        <w:t xml:space="preserve">Europe</w:t>
      </w:r>
      <w:r>
        <w:t xml:space="preserve"> </w:t>
      </w:r>
      <w:r>
        <w:t xml:space="preserve">for material sourcing and distribution. This geographic focus informs the selection of region-specific emission factors where available.</w:t>
      </w:r>
    </w:p>
    <w:p>
      <w:pPr>
        <w:numPr>
          <w:ilvl w:val="0"/>
          <w:numId w:val="1001"/>
        </w:numPr>
        <w:pStyle w:val="Compact"/>
      </w:pPr>
      <w:r>
        <w:rPr>
          <w:bCs/>
          <w:b/>
        </w:rPr>
        <w:t xml:space="preserve">Allocation:</w:t>
      </w:r>
      <w:r>
        <w:t xml:space="preserve"> </w:t>
      </w:r>
      <w:r>
        <w:t xml:space="preserve">Where co-production or multi-output processes occur, emissions are allocated based on industry-standard methodologies such as mass, economic value, or physical causality, ensuring that the burden is fairly distributed to the functional unit. For this specific product, direct allocation is primarily used due to the product-specific nature of the analysis.</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 Product Standard</w:t>
      </w:r>
      <w:r>
        <w:t xml:space="preserve"> </w:t>
      </w:r>
      <w:r>
        <w:t xml:space="preserve">and considers the principles of the</w:t>
      </w:r>
      <w:r>
        <w:t xml:space="preserve"> </w:t>
      </w:r>
      <w:r>
        <w:rPr>
          <w:bCs/>
          <w:b/>
        </w:rPr>
        <w:t xml:space="preserve">Land Sector and Removals (LSR) Standard (2026 update)</w:t>
      </w:r>
      <w:r>
        <w:t xml:space="preserve"> </w:t>
      </w:r>
      <w:r>
        <w:t xml:space="preserve">for relevant land-use aspects and carbon removals, particularly concerning biogenic products and avoided emissions from recycling.</w:t>
      </w:r>
    </w:p>
    <w:p>
      <w:r>
        <w:pict>
          <v:rect style="width:0;height:1.5pt" o:hralign="center" o:hrstd="t" o:hr="t"/>
        </w:pict>
      </w:r>
    </w:p>
    <w:bookmarkEnd w:id="22"/>
    <w:bookmarkStart w:id="29" w:name="X7e017d08071088ed109dfb7e3696c46ed2c1fbf"/>
    <w:p>
      <w:pPr>
        <w:pStyle w:val="Heading2"/>
      </w:pPr>
      <w:r>
        <w:t xml:space="preserve">2. Mapping the Lifecycle Inventory Stages &amp; 3. Collecting Data</w:t>
      </w:r>
    </w:p>
    <w:p>
      <w:pPr>
        <w:pStyle w:val="FirstParagraph"/>
      </w:pPr>
      <w:r>
        <w:t xml:space="preserve">This section details the lifecycle stages of zuljypjszl and the primary and secondary data points collected for each stage. Due to certain parameters being provided as placeholders, specific numerical values are based on reasonable industry averages and stated assumptions. These assumptions are critical for completing the analysis and are clearly indicated.</w:t>
      </w:r>
    </w:p>
    <w:bookmarkStart w:id="24" w:name="material-acquisition-production"/>
    <w:p>
      <w:pPr>
        <w:pStyle w:val="Heading3"/>
      </w:pPr>
      <w:r>
        <w:t xml:space="preserve">2.1. Material Acquisition &amp; Production</w:t>
      </w:r>
    </w:p>
    <w:p>
      <w:pPr>
        <w:pStyle w:val="FirstParagraph"/>
      </w:pPr>
      <w:r>
        <w:t xml:space="preserve">The Bill of Materials (BOM) for zuljypjszl, provided as \'ookjrqwu\', forms the basis for material impact calculations. For the purpose of this report, a sample BOM representing typical components has been constructed based on the specified format (ID, Description, Category, Process, Qty, Unit, Emission Factor, Total Carbon). Emission factors for material production are drawn from assumed industry-standard databases (e.g., Ecoinvent/DEFRA equivalents).</w:t>
      </w:r>
    </w:p>
    <w:p>
      <w:pPr>
        <w:pStyle w:val="BodyText"/>
      </w:pPr>
      <w:r>
        <w:rPr>
          <w:iCs/>
          <w:i/>
        </w:rPr>
        <w:t xml:space="preserve">Assumption: The detailed BOM \'ookjrqwu\' was provided as a string placeholder; a representative sample BOM with estimated values is used for calculation. The "Total Carbon" in the table below represents the carbon footprint of the material itself for the given quantity.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r>
              <w:t xml:space="preserve"> </w:t>
            </w:r>
            <w:r>
              <w:rPr>
                <w:vertAlign w:val="superscript"/>
              </w:rPr>
              <w:t xml:space="preserve">(Assumed, based on typical plastic EF like HDPE)</w:t>
            </w:r>
          </w:p>
        </w:tc>
        <w:tc>
          <w:tcPr/>
          <w:p>
            <w:pPr>
              <w:pStyle w:val="Compact"/>
              <w:jc w:val="left"/>
            </w:pPr>
            <w:r>
              <w:t xml:space="preserve">1.50</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r>
              <w:t xml:space="preserve"> </w:t>
            </w:r>
            <w:r>
              <w:rPr>
                <w:vertAlign w:val="superscript"/>
              </w:rPr>
              <w:t xml:space="preserve">(Assumed average for primary aluminum, acknowledging lower carbon alternatives exist)</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r>
              <w:t xml:space="preserve"> </w:t>
            </w:r>
            <w:r>
              <w:rPr>
                <w:vertAlign w:val="superscript"/>
              </w:rPr>
              <w:t xml:space="preserve">(Assumed high-end, representing complex electronics\' intensity)</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r>
              <w:t xml:space="preserve"> </w:t>
            </w:r>
            <w:r>
              <w:rPr>
                <w:vertAlign w:val="superscript"/>
              </w:rPr>
              <w:t xml:space="preserve">(Assumed for virgin cardboard; subject to LSR for biogenic carbon)</w:t>
            </w:r>
          </w:p>
        </w:tc>
        <w:tc>
          <w:tcPr/>
          <w:p>
            <w:pPr>
              <w:pStyle w:val="Compact"/>
              <w:jc w:val="left"/>
            </w:pPr>
            <w:r>
              <w:t xml:space="preserve">0.45</w:t>
            </w:r>
          </w:p>
        </w:tc>
      </w:tr>
      <w:tr>
        <w:tc>
          <w:tcPr/>
          <w:p>
            <w:pPr>
              <w:pStyle w:val="Compact"/>
              <w:jc w:val="left"/>
            </w:pPr>
            <w:r>
              <w:t xml:space="preserve">M005</w:t>
            </w:r>
          </w:p>
        </w:tc>
        <w:tc>
          <w:tcPr/>
          <w:p>
            <w:pPr>
              <w:pStyle w:val="Compact"/>
              <w:jc w:val="left"/>
            </w:pPr>
            <w:r>
              <w:t xml:space="preserve">Screws &amp; Fasteners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r>
              <w:t xml:space="preserve"> </w:t>
            </w:r>
            <w:r>
              <w:rPr>
                <w:vertAlign w:val="superscript"/>
              </w:rPr>
              <w:t xml:space="preserve">(Assumed for steel components)</w:t>
            </w:r>
          </w:p>
        </w:tc>
        <w:tc>
          <w:tcPr/>
          <w:p>
            <w:pPr>
              <w:pStyle w:val="Compact"/>
              <w:jc w:val="left"/>
            </w:pPr>
            <w:r>
              <w:t xml:space="preserve">0.10</w:t>
            </w:r>
          </w:p>
        </w:tc>
      </w:tr>
    </w:tbl>
    <w:p>
      <w:pPr>
        <w:pStyle w:val="BodyText"/>
      </w:pPr>
      <w:r>
        <w:rPr>
          <w:bCs/>
          <w:b/>
        </w:rPr>
        <w:t xml:space="preserve">Total Emissions from Materials:</w:t>
      </w:r>
      <w:r>
        <w:t xml:space="preserve"> </w:t>
      </w:r>
      <w:bookmarkStart w:id="23" w:name="totalMaterialEmissions"/>
      <w:bookmarkEnd w:id="23"/>
      <w:r>
        <w:t xml:space="preserve"> </w:t>
      </w:r>
      <w:r>
        <w:t xml:space="preserve">kg CO2e</w:t>
      </w:r>
    </w:p>
    <w:bookmarkEnd w:id="24"/>
    <w:bookmarkStart w:id="25" w:name="manufacturingproduction"/>
    <w:p>
      <w:pPr>
        <w:pStyle w:val="Heading3"/>
      </w:pPr>
      <w:r>
        <w:t xml:space="preserve">2.2. Manufacturing/Production</w:t>
      </w:r>
    </w:p>
    <w:p>
      <w:pPr>
        <w:pStyle w:val="FirstParagraph"/>
      </w:pPr>
      <w:r>
        <w:t xml:space="preserve">The manufacturing process occurs in China. The energy consumption and source play a critical role in the emissions profile of this stage.</w:t>
      </w:r>
    </w:p>
    <w:p>
      <w:pPr>
        <w:numPr>
          <w:ilvl w:val="0"/>
          <w:numId w:val="1002"/>
        </w:numPr>
        <w:pStyle w:val="Compact"/>
      </w:pPr>
      <w:r>
        <w:rPr>
          <w:bCs/>
          <w:b/>
        </w:rPr>
        <w:t xml:space="preserve">Energy Intensity (kWh/unit):</w:t>
      </w:r>
      <w:r>
        <w:t xml:space="preserve"> </w:t>
      </w:r>
      <w:r>
        <w:rPr>
          <w:bCs/>
          <w:b/>
        </w:rPr>
        <w:t xml:space="preserve">kdvkiquivs</w:t>
      </w:r>
      <w:r>
        <w:t xml:space="preserve"> </w:t>
      </w:r>
      <w:r>
        <w:t xml:space="preserve">(Assumed: 7 kWh/unit).</w:t>
      </w:r>
    </w:p>
    <w:p>
      <w:pPr>
        <w:numPr>
          <w:ilvl w:val="0"/>
          <w:numId w:val="1002"/>
        </w:numPr>
        <w:pStyle w:val="Compact"/>
      </w:pPr>
      <w:r>
        <w:rPr>
          <w:bCs/>
          <w:b/>
        </w:rPr>
        <w:t xml:space="preserve">Renewable Energy Usage:</w:t>
      </w:r>
      <w:r>
        <w:t xml:space="preserve"> </w:t>
      </w:r>
      <w:r>
        <w:rPr>
          <w:bCs/>
          <w:b/>
        </w:rPr>
        <w:t xml:space="preserve">vnovtfpfrh</w:t>
      </w:r>
      <w:r>
        <w:t xml:space="preserve"> </w:t>
      </w:r>
      <w:r>
        <w:t xml:space="preserve">(Assumed: 60% renewable electricity mix).</w:t>
      </w:r>
    </w:p>
    <w:p>
      <w:pPr>
        <w:pStyle w:val="FirstParagraph"/>
      </w:pPr>
      <w:r>
        <w:rPr>
          <w:iCs/>
          <w:i/>
        </w:rPr>
        <w:t xml:space="preserve">Assumption: A country-specific grid emission factor for China is used for the non-renewable portion of electricity, and a zero-emission factor for the renewable portion. Estimated China grid EF for the non-renewable portion: 0.60 kg CO2e/kWh.</w:t>
      </w:r>
    </w:p>
    <w:bookmarkEnd w:id="25"/>
    <w:bookmarkStart w:id="26" w:name="transport-distribution-logistics"/>
    <w:p>
      <w:pPr>
        <w:pStyle w:val="Heading3"/>
      </w:pPr>
      <w:r>
        <w:t xml:space="preserve">2.3. Transport (Distribution &amp; Logistics)</w:t>
      </w:r>
    </w:p>
    <w:p>
      <w:pPr>
        <w:pStyle w:val="FirstParagraph"/>
      </w:pPr>
      <w:r>
        <w:t xml:space="preserve">The distribution network for zuljypjszl involves shipment from China to Europe, followed by last-mile delivery. Key logistics parameters are incorporated into the analysis.</w:t>
      </w:r>
    </w:p>
    <w:p>
      <w:pPr>
        <w:numPr>
          <w:ilvl w:val="0"/>
          <w:numId w:val="1003"/>
        </w:numPr>
        <w:pStyle w:val="Compact"/>
      </w:pPr>
      <w:r>
        <w:rPr>
          <w:bCs/>
          <w:b/>
        </w:rPr>
        <w:t xml:space="preserve">Primary Transport Mode:</w:t>
      </w:r>
      <w:r>
        <w:t xml:space="preserve"> </w:t>
      </w:r>
      <w:r>
        <w:rPr>
          <w:bCs/>
          <w:b/>
        </w:rPr>
        <w:t xml:space="preserve">Select Mode</w:t>
      </w:r>
      <w:r>
        <w:t xml:space="preserve"> </w:t>
      </w:r>
      <w:r>
        <w:t xml:space="preserve">(Assumed: Ocean Freight (container ship) from China to Europe).</w:t>
      </w:r>
    </w:p>
    <w:p>
      <w:pPr>
        <w:numPr>
          <w:ilvl w:val="0"/>
          <w:numId w:val="1003"/>
        </w:numPr>
        <w:pStyle w:val="Compact"/>
      </w:pPr>
      <w:r>
        <w:rPr>
          <w:bCs/>
          <w:b/>
        </w:rPr>
        <w:t xml:space="preserve">Primary Transport Distance:</w:t>
      </w:r>
      <w:r>
        <w:t xml:space="preserve"> </w:t>
      </w:r>
      <w:r>
        <w:rPr>
          <w:bCs/>
          <w:b/>
        </w:rPr>
        <w:t xml:space="preserve">gpqxkdlmgo</w:t>
      </w:r>
      <w:r>
        <w:t xml:space="preserve"> </w:t>
      </w:r>
      <w:r>
        <w:t xml:space="preserve">(Assumed: 10,000 km for ocean freight).</w:t>
      </w:r>
    </w:p>
    <w:p>
      <w:pPr>
        <w:numPr>
          <w:ilvl w:val="0"/>
          <w:numId w:val="1003"/>
        </w:numPr>
        <w:pStyle w:val="Compact"/>
      </w:pPr>
      <w:r>
        <w:rPr>
          <w:bCs/>
          <w:b/>
        </w:rPr>
        <w:t xml:space="preserve">Last-Mile Delivery Channel:</w:t>
      </w:r>
      <w:r>
        <w:t xml:space="preserve"> </w:t>
      </w:r>
      <w:r>
        <w:rPr>
          <w:bCs/>
          <w:b/>
        </w:rPr>
        <w:t xml:space="preserve">Delivery Type</w:t>
      </w:r>
      <w:r>
        <w:t xml:space="preserve"> </w:t>
      </w:r>
      <w:r>
        <w:t xml:space="preserve">(Assumed: Road Freight (Heavy Goods Vehicle, HGV 40t+) from European port to distribution center, and Light Commercial Vehicle (LCV) for final delivery).</w:t>
      </w:r>
    </w:p>
    <w:p>
      <w:pPr>
        <w:numPr>
          <w:ilvl w:val="0"/>
          <w:numId w:val="1003"/>
        </w:numPr>
        <w:pStyle w:val="Compact"/>
      </w:pPr>
      <w:r>
        <w:rPr>
          <w:bCs/>
          <w:b/>
        </w:rPr>
        <w:t xml:space="preserve">Last-Mile Delivery Distance:</w:t>
      </w:r>
      <w:r>
        <w:t xml:space="preserve"> </w:t>
      </w:r>
      <w:r>
        <w:t xml:space="preserve">Assumed: 500 km for HGV, 50 km for LCV per unit.</w:t>
      </w:r>
    </w:p>
    <w:p>
      <w:pPr>
        <w:pStyle w:val="FirstParagraph"/>
      </w:pPr>
      <w:r>
        <w:rPr>
          <w:iCs/>
          <w:i/>
        </w:rPr>
        <w:t xml:space="preserve">Assumption: Emission factors for transport modes are based on average values: Ocean freight: 0.016 kg CO2e/tkm; HGV 40t+: 0.08 kg CO2e/tkm; LCV: 0.2 kg CO2e/km (vehicle-level EF, assumed to be distributed across 100 units of product per delivery for a per-unit impact of 0.002 kg CO2e/km/unit). Product weight is assumed to be 1.0 kg per unit for freight calculations.</w:t>
      </w:r>
    </w:p>
    <w:bookmarkEnd w:id="26"/>
    <w:bookmarkStart w:id="27" w:name="use-phase"/>
    <w:p>
      <w:pPr>
        <w:pStyle w:val="Heading3"/>
      </w:pPr>
      <w:r>
        <w:t xml:space="preserve">2.4. Use Phase</w:t>
      </w:r>
    </w:p>
    <w:p>
      <w:pPr>
        <w:pStyle w:val="FirstParagraph"/>
      </w:pPr>
      <w:r>
        <w:t xml:space="preserve">The use phase emissions are calculated based on the product\'s lifespan and its energy consumption during usage.</w:t>
      </w:r>
    </w:p>
    <w:p>
      <w:pPr>
        <w:numPr>
          <w:ilvl w:val="0"/>
          <w:numId w:val="1004"/>
        </w:numPr>
        <w:pStyle w:val="Compact"/>
      </w:pPr>
      <w:r>
        <w:rPr>
          <w:bCs/>
          <w:b/>
        </w:rPr>
        <w:t xml:space="preserve">Product Lifespan:</w:t>
      </w:r>
      <w:r>
        <w:t xml:space="preserve"> </w:t>
      </w:r>
      <w:r>
        <w:rPr>
          <w:bCs/>
          <w:b/>
        </w:rPr>
        <w:t xml:space="preserve">nndqtsofjx</w:t>
      </w:r>
      <w:r>
        <w:t xml:space="preserve"> </w:t>
      </w:r>
      <w:r>
        <w:t xml:space="preserve">(Assumed: 7 years).</w:t>
      </w:r>
    </w:p>
    <w:p>
      <w:pPr>
        <w:numPr>
          <w:ilvl w:val="0"/>
          <w:numId w:val="1004"/>
        </w:numPr>
        <w:pStyle w:val="Compact"/>
      </w:pPr>
      <w:r>
        <w:rPr>
          <w:bCs/>
          <w:b/>
        </w:rPr>
        <w:t xml:space="preserve">Energy Consumption in Use:</w:t>
      </w:r>
      <w:r>
        <w:t xml:space="preserve"> </w:t>
      </w:r>
      <w:r>
        <w:rPr>
          <w:bCs/>
          <w:b/>
        </w:rPr>
        <w:t xml:space="preserve">ontfnrktor</w:t>
      </w:r>
      <w:r>
        <w:t xml:space="preserve"> </w:t>
      </w:r>
      <w:r>
        <w:t xml:space="preserve">(Assumed: 15 kWh/year).</w:t>
      </w:r>
    </w:p>
    <w:p>
      <w:pPr>
        <w:pStyle w:val="FirstParagraph"/>
      </w:pPr>
      <w:r>
        <w:rPr>
          <w:iCs/>
          <w:i/>
        </w:rPr>
        <w:t xml:space="preserve">Assumption: The electricity mix for the use phase is assumed to be the average European grid mix (e.g., 0.25 kg CO2e/kWh) over the product\'s lifespan.</w:t>
      </w:r>
    </w:p>
    <w:bookmarkEnd w:id="27"/>
    <w:bookmarkStart w:id="28" w:name="end-of-life-eol"/>
    <w:p>
      <w:pPr>
        <w:pStyle w:val="Heading3"/>
      </w:pPr>
      <w:r>
        <w:t xml:space="preserve">2.5. End-of-Life (EoL)</w:t>
      </w:r>
    </w:p>
    <w:p>
      <w:pPr>
        <w:pStyle w:val="FirstParagraph"/>
      </w:pPr>
      <w:r>
        <w:t xml:space="preserve">End-of-life scenarios consider recyclability and circular economy initiatives.</w:t>
      </w:r>
    </w:p>
    <w:p>
      <w:pPr>
        <w:numPr>
          <w:ilvl w:val="0"/>
          <w:numId w:val="1005"/>
        </w:numPr>
        <w:pStyle w:val="Compact"/>
      </w:pPr>
      <w:r>
        <w:rPr>
          <w:bCs/>
          <w:b/>
        </w:rPr>
        <w:t xml:space="preserve">Recyclability Percentage:</w:t>
      </w:r>
      <w:r>
        <w:t xml:space="preserve"> </w:t>
      </w:r>
      <w:r>
        <w:rPr>
          <w:bCs/>
          <w:b/>
        </w:rPr>
        <w:t xml:space="preserve">yfueuutyqh</w:t>
      </w:r>
      <w:r>
        <w:t xml:space="preserve"> </w:t>
      </w:r>
      <w:r>
        <w:t xml:space="preserve">(Assumed: 75% of material by mass is recyclable).</w:t>
      </w:r>
    </w:p>
    <w:p>
      <w:pPr>
        <w:numPr>
          <w:ilvl w:val="0"/>
          <w:numId w:val="1005"/>
        </w:numPr>
        <w:pStyle w:val="Compact"/>
      </w:pPr>
      <w:r>
        <w:rPr>
          <w:bCs/>
          <w:b/>
        </w:rPr>
        <w:t xml:space="preserve">Circular/Take-back Programs:</w:t>
      </w:r>
      <w:r>
        <w:t xml:space="preserve"> </w:t>
      </w:r>
      <w:r>
        <w:rPr>
          <w:bCs/>
          <w:b/>
        </w:rPr>
        <w:t xml:space="preserve">zqzezexvqf</w:t>
      </w:r>
      <w:r>
        <w:t xml:space="preserve"> </w:t>
      </w:r>
      <w:r>
        <w:t xml:space="preserve">(Assumed: Yes, a fully implemented take-back program is in place for product recovery and recycling).</w:t>
      </w:r>
    </w:p>
    <w:p>
      <w:pPr>
        <w:pStyle w:val="FirstParagraph"/>
      </w:pPr>
      <w:r>
        <w:rPr>
          <w:iCs/>
          <w:i/>
        </w:rPr>
        <w:t xml:space="preserve">Assumption: Recycling benefits are calculated based on avoided emissions from virgin material production, representing a carbon removal benefit. Landfilling and incineration emissions are assumed for the non-recycled portion. The LSR Standard\'s principles are applied by integrating these circular economy impacts into the overall accounting, crediting for removals where applicable.</w:t>
      </w:r>
    </w:p>
    <w:p>
      <w:r>
        <w:pict>
          <v:rect style="width:0;height:1.5pt" o:hralign="center" o:hrstd="t" o:hr="t"/>
        </w:pict>
      </w:r>
    </w:p>
    <w:bookmarkEnd w:id="28"/>
    <w:bookmarkEnd w:id="29"/>
    <w:bookmarkStart w:id="36" w:name="X3720d7d0541b3a6e3c473bd4daa188ddb828856"/>
    <w:p>
      <w:pPr>
        <w:pStyle w:val="Heading2"/>
      </w:pPr>
      <w:r>
        <w:t xml:space="preserve">4. Calculating Emissions (Activity * Emission Factor = CO2e)</w:t>
      </w:r>
    </w:p>
    <w:p>
      <w:pPr>
        <w:pStyle w:val="FirstParagraph"/>
      </w:pPr>
      <w:r>
        <w:t xml:space="preserve">Emissions are calculated for each stage and categorized according to the GHG Protocol Scopes. All values are expressed per functional unit (1.0 unit of zuljypjszl).</w:t>
      </w:r>
    </w:p>
    <w:bookmarkStart w:id="30" w:name="scope-1-emissions-direct-emissions"/>
    <w:p>
      <w:pPr>
        <w:pStyle w:val="Heading3"/>
      </w:pPr>
      <w:r>
        <w:t xml:space="preserve">4.1. Scope 1 Emissions (Direct Emissions)</w:t>
      </w:r>
    </w:p>
    <w:p>
      <w:pPr>
        <w:pStyle w:val="FirstParagraph"/>
      </w:pPr>
      <w:r>
        <w:t xml:space="preserve">For a \'factory_gate\' system boundary focusing on the product, Scope 1 typically includes emissions from owned or controlled sources directly related to the manufacturing of zuljypjszl, such as on-site fuel combustion. Given the provided parameters, direct manufacturing emissions for fuel combustion are assumed negligible or covered by upstream Scope 3 factors.</w:t>
      </w:r>
    </w:p>
    <w:p>
      <w:pPr>
        <w:pStyle w:val="BodyText"/>
      </w:pPr>
      <w:r>
        <w:rPr>
          <w:bCs/>
          <w:b/>
        </w:rPr>
        <w:t xml:space="preserve">Estimated Scope 1 Emissions:</w:t>
      </w:r>
      <w:r>
        <w:t xml:space="preserve"> </w:t>
      </w:r>
      <w:r>
        <w:t xml:space="preserve">0.00 kg CO2e/unit (assumed negligible for product-specific direct operations)</w:t>
      </w:r>
    </w:p>
    <w:bookmarkEnd w:id="30"/>
    <w:bookmarkStart w:id="31" w:name="scope-2-emissions-purchased-energy"/>
    <w:p>
      <w:pPr>
        <w:pStyle w:val="Heading3"/>
      </w:pPr>
      <w:r>
        <w:t xml:space="preserve">4.2. Scope 2 Emissions (Purchased Energy)</w:t>
      </w:r>
    </w:p>
    <w:p>
      <w:pPr>
        <w:pStyle w:val="FirstParagraph"/>
      </w:pPr>
      <w:r>
        <w:t xml:space="preserve">Scope 2 emissions account for indirect emissions from the generation of purchased electricity, steam, heating, and cooling consumed by zexqvlmqsg for manufacturing zuljypjszl. The calculation considers the assumed energy intensity and renewable energy usage.</w:t>
      </w:r>
    </w:p>
    <w:p>
      <w:pPr>
        <w:numPr>
          <w:ilvl w:val="0"/>
          <w:numId w:val="1006"/>
        </w:numPr>
        <w:pStyle w:val="Compact"/>
      </w:pPr>
      <w:r>
        <w:t xml:space="preserve">Energy Intensity: 7 kWh/unit</w:t>
      </w:r>
    </w:p>
    <w:p>
      <w:pPr>
        <w:numPr>
          <w:ilvl w:val="0"/>
          <w:numId w:val="1006"/>
        </w:numPr>
        <w:pStyle w:val="Compact"/>
      </w:pPr>
      <w:r>
        <w:t xml:space="preserve">Renewable Energy Usage: 60%</w:t>
      </w:r>
    </w:p>
    <w:p>
      <w:pPr>
        <w:numPr>
          <w:ilvl w:val="0"/>
          <w:numId w:val="1006"/>
        </w:numPr>
        <w:pStyle w:val="Compact"/>
      </w:pPr>
      <w:r>
        <w:t xml:space="preserve">Non-renewable energy: 7 kWh/unit * (1 - 0.60) = 2.8 kWh/unit</w:t>
      </w:r>
    </w:p>
    <w:p>
      <w:pPr>
        <w:numPr>
          <w:ilvl w:val="0"/>
          <w:numId w:val="1006"/>
        </w:numPr>
        <w:pStyle w:val="Compact"/>
      </w:pPr>
      <w:r>
        <w:t xml:space="preserve">Assumed China grid EF (non-renewable): 0.60 kg CO2e/kWh</w:t>
      </w:r>
    </w:p>
    <w:p>
      <w:pPr>
        <w:numPr>
          <w:ilvl w:val="0"/>
          <w:numId w:val="1006"/>
        </w:numPr>
        <w:pStyle w:val="Compact"/>
      </w:pPr>
      <w:r>
        <w:rPr>
          <w:bCs/>
          <w:b/>
        </w:rPr>
        <w:t xml:space="preserve">Scope 2 Emissions:</w:t>
      </w:r>
      <w:r>
        <w:t xml:space="preserve"> </w:t>
      </w:r>
      <w:r>
        <w:t xml:space="preserve">2.8 kWh/unit * 0.60 kg CO2e/kWh = 1.68 kg CO2e/unit</w:t>
      </w:r>
    </w:p>
    <w:p>
      <w:pPr>
        <w:pStyle w:val="FirstParagraph"/>
      </w:pPr>
      <w:r>
        <w:rPr>
          <w:bCs/>
          <w:b/>
        </w:rPr>
        <w:t xml:space="preserve">Estimated Scope 2 Emissions:</w:t>
      </w:r>
      <w:r>
        <w:t xml:space="preserve"> </w:t>
      </w:r>
      <w:r>
        <w:t xml:space="preserve">1.68 kg CO2e/unit</w:t>
      </w:r>
    </w:p>
    <w:bookmarkEnd w:id="31"/>
    <w:bookmarkStart w:id="34" w:name="scope-3-emissions-value-chain-emissions"/>
    <w:p>
      <w:pPr>
        <w:pStyle w:val="Heading3"/>
      </w:pPr>
      <w:r>
        <w:t xml:space="preserve">4.3. Scope 3 Emissions (Value Chain Emissions)</w:t>
      </w:r>
    </w:p>
    <w:p>
      <w:pPr>
        <w:pStyle w:val="FirstParagraph"/>
      </w:pPr>
      <w:r>
        <w:t xml:space="preserve">Scope 3 emissions are the most comprehensive, covering all other indirect emissions that occur in an organization\'s value chain. This category will constitute the majority of the PCF for zuljypjszl, ensuring the required &gt;95% coverage as per GHG Protocol requirements.</w:t>
      </w:r>
    </w:p>
    <w:bookmarkStart w:id="32" w:name="upstream-emissions-categories-1-8"/>
    <w:p>
      <w:pPr>
        <w:pStyle w:val="Heading4"/>
      </w:pPr>
      <w:r>
        <w:t xml:space="preserve">4.3.1. Upstream Emissions (Categories 1-8)</w:t>
      </w:r>
    </w:p>
    <w:p>
      <w:pPr>
        <w:pStyle w:val="FirstParagraph"/>
      </w:pPr>
      <w:r>
        <w:t xml:space="preserve">This includes emissions from raw material extraction, processing, and inbound logistics.</w:t>
      </w:r>
    </w:p>
    <w:p>
      <w:pPr>
        <w:numPr>
          <w:ilvl w:val="0"/>
          <w:numId w:val="1007"/>
        </w:numPr>
      </w:pPr>
      <w:r>
        <w:rPr>
          <w:bCs/>
          <w:b/>
        </w:rPr>
        <w:t xml:space="preserve">Category 1: Purchased Goods and Services (Materials)</w:t>
      </w:r>
    </w:p>
    <w:p>
      <w:pPr>
        <w:numPr>
          <w:ilvl w:val="1"/>
          <w:numId w:val="1008"/>
        </w:numPr>
        <w:pStyle w:val="Compact"/>
      </w:pPr>
      <w:r>
        <w:t xml:space="preserve">Total Emissions from Materials: 5.65 kg CO2e/unit</w:t>
      </w:r>
    </w:p>
    <w:p>
      <w:pPr>
        <w:numPr>
          <w:ilvl w:val="0"/>
          <w:numId w:val="1000"/>
        </w:numPr>
      </w:pPr>
      <w:r>
        <w:rPr>
          <w:iCs/>
          <w:i/>
        </w:rPr>
        <w:t xml:space="preserve">Note on LSR: For bio-based materials like cardboard packaging (M004), the LSR Standard clarifies accounting for biogenic carbon and land-use change impacts if applicable. Here, the emission factor used is assumed to be cradle-to-gate, encompassing these aspects. For "high-risk activities" or significant land-use, land occupation and carbon leakage would be quantified.</w:t>
      </w:r>
    </w:p>
    <w:p>
      <w:pPr>
        <w:numPr>
          <w:ilvl w:val="0"/>
          <w:numId w:val="1007"/>
        </w:numPr>
        <w:pStyle w:val="Compact"/>
      </w:pPr>
      <w:r>
        <w:rPr>
          <w:bCs/>
          <w:b/>
        </w:rPr>
        <w:t xml:space="preserve">Category 4: Upstream Transportation and Distribution</w:t>
      </w:r>
    </w:p>
    <w:p>
      <w:pPr>
        <w:numPr>
          <w:ilvl w:val="1"/>
          <w:numId w:val="1009"/>
        </w:numPr>
        <w:pStyle w:val="Compact"/>
      </w:pPr>
      <w:r>
        <w:t xml:space="preserve">Product weight (assumed): 1.0 kg/unit</w:t>
      </w:r>
    </w:p>
    <w:p>
      <w:pPr>
        <w:numPr>
          <w:ilvl w:val="1"/>
          <w:numId w:val="1009"/>
        </w:numPr>
        <w:pStyle w:val="Compact"/>
      </w:pPr>
      <w:r>
        <w:t xml:space="preserve">Ocean Freight (China to Europe): 1.0 kg * 10,000 km * 0.016 kg CO2e/tkm = 0.16 kg CO2e/unit</w:t>
      </w:r>
    </w:p>
    <w:p>
      <w:pPr>
        <w:numPr>
          <w:ilvl w:val="1"/>
          <w:numId w:val="1009"/>
        </w:numPr>
        <w:pStyle w:val="Compact"/>
      </w:pPr>
      <w:r>
        <w:t xml:space="preserve">HGV Road Freight (European Port to DC): 1.0 kg * 500 km * 0.08 kg CO2e/tkm = 0.04 kg CO2e/unit</w:t>
      </w:r>
    </w:p>
    <w:p>
      <w:pPr>
        <w:numPr>
          <w:ilvl w:val="0"/>
          <w:numId w:val="1007"/>
        </w:numPr>
        <w:pStyle w:val="Compact"/>
      </w:pPr>
      <w:r>
        <w:t xml:space="preserve">Other Upstream Categories (e.g., Capital Goods, Fuel- and Energy-Related Activities not in Scope 1 or 2, Waste Generated in Operations, Business Travel, Employee Commuting, Upstream Leased Assets) are considered negligible at the product level or are assumed to be covered by the material and energy emission factors within Category 1 or 3.</w:t>
      </w:r>
    </w:p>
    <w:p>
      <w:pPr>
        <w:pStyle w:val="FirstParagraph"/>
      </w:pPr>
      <w:r>
        <w:rPr>
          <w:bCs/>
          <w:b/>
        </w:rPr>
        <w:t xml:space="preserve">Estimated Upstream Scope 3 Emissions:</w:t>
      </w:r>
      <w:r>
        <w:t xml:space="preserve"> </w:t>
      </w:r>
      <w:r>
        <w:t xml:space="preserve">5.65 kg CO2e (materials) + 0.16 kg CO2e (ocean) + 0.04 kg CO2e (HGV) = 5.85 kg CO2e/unit</w:t>
      </w:r>
    </w:p>
    <w:bookmarkEnd w:id="32"/>
    <w:bookmarkStart w:id="33" w:name="downstream-emissions-categories-9-15"/>
    <w:p>
      <w:pPr>
        <w:pStyle w:val="Heading4"/>
      </w:pPr>
      <w:r>
        <w:t xml:space="preserve">4.3.2. Downstream Emissions (Categories 9-15)</w:t>
      </w:r>
    </w:p>
    <w:p>
      <w:pPr>
        <w:pStyle w:val="FirstParagraph"/>
      </w:pPr>
      <w:r>
        <w:t xml:space="preserve">This includes emissions from product distribution, use, and end-of-life treatment.</w:t>
      </w:r>
    </w:p>
    <w:p>
      <w:pPr>
        <w:numPr>
          <w:ilvl w:val="0"/>
          <w:numId w:val="1010"/>
        </w:numPr>
        <w:pStyle w:val="Compact"/>
      </w:pPr>
      <w:r>
        <w:rPr>
          <w:bCs/>
          <w:b/>
        </w:rPr>
        <w:t xml:space="preserve">Category 9: Downstream Transportation and Distribution (Last-Mile)</w:t>
      </w:r>
    </w:p>
    <w:p>
      <w:pPr>
        <w:numPr>
          <w:ilvl w:val="1"/>
          <w:numId w:val="1011"/>
        </w:numPr>
        <w:pStyle w:val="Compact"/>
      </w:pPr>
      <w:r>
        <w:t xml:space="preserve">LCV Last-Mile Delivery: 50 km * 0.002 kg CO2e/km/unit (vehicle EF of 0.2 kg CO2e/km distributed over 100 units) = 0.10 kg CO2e/unit</w:t>
      </w:r>
    </w:p>
    <w:p>
      <w:pPr>
        <w:numPr>
          <w:ilvl w:val="0"/>
          <w:numId w:val="1010"/>
        </w:numPr>
        <w:pStyle w:val="Compact"/>
      </w:pPr>
      <w:r>
        <w:rPr>
          <w:bCs/>
          <w:b/>
        </w:rPr>
        <w:t xml:space="preserve">Category 11: Use of Sold Products</w:t>
      </w:r>
    </w:p>
    <w:p>
      <w:pPr>
        <w:numPr>
          <w:ilvl w:val="1"/>
          <w:numId w:val="1012"/>
        </w:numPr>
        <w:pStyle w:val="Compact"/>
      </w:pPr>
      <w:r>
        <w:t xml:space="preserve">Annual energy consumption: 15 kWh/year</w:t>
      </w:r>
    </w:p>
    <w:p>
      <w:pPr>
        <w:numPr>
          <w:ilvl w:val="1"/>
          <w:numId w:val="1012"/>
        </w:numPr>
        <w:pStyle w:val="Compact"/>
      </w:pPr>
      <w:r>
        <w:t xml:space="preserve">Product Lifespan: 7 years</w:t>
      </w:r>
    </w:p>
    <w:p>
      <w:pPr>
        <w:numPr>
          <w:ilvl w:val="1"/>
          <w:numId w:val="1012"/>
        </w:numPr>
        <w:pStyle w:val="Compact"/>
      </w:pPr>
      <w:r>
        <w:t xml:space="preserve">Total energy consumption over lifespan: 15 kWh/year * 7 years = 105 kWh/unit</w:t>
      </w:r>
    </w:p>
    <w:p>
      <w:pPr>
        <w:numPr>
          <w:ilvl w:val="1"/>
          <w:numId w:val="1012"/>
        </w:numPr>
        <w:pStyle w:val="Compact"/>
      </w:pPr>
      <w:r>
        <w:t xml:space="preserve">Assumed European grid EF: 0.25 kg CO2e/kWh</w:t>
      </w:r>
    </w:p>
    <w:p>
      <w:pPr>
        <w:numPr>
          <w:ilvl w:val="1"/>
          <w:numId w:val="1012"/>
        </w:numPr>
        <w:pStyle w:val="Compact"/>
      </w:pPr>
      <w:r>
        <w:rPr>
          <w:bCs/>
          <w:b/>
        </w:rPr>
        <w:t xml:space="preserve">Use Phase Emissions:</w:t>
      </w:r>
      <w:r>
        <w:t xml:space="preserve"> </w:t>
      </w:r>
      <w:r>
        <w:t xml:space="preserve">105 kWh/unit * 0.25 kg CO2e/kWh = 26.25 kg CO2e/unit</w:t>
      </w:r>
    </w:p>
    <w:p>
      <w:pPr>
        <w:numPr>
          <w:ilvl w:val="0"/>
          <w:numId w:val="1010"/>
        </w:numPr>
      </w:pPr>
      <w:r>
        <w:rPr>
          <w:bCs/>
          <w:b/>
        </w:rPr>
        <w:t xml:space="preserve">Category 12: End-of-Life Treatment of Sold Products</w:t>
      </w:r>
    </w:p>
    <w:p>
      <w:pPr>
        <w:numPr>
          <w:ilvl w:val="1"/>
          <w:numId w:val="1013"/>
        </w:numPr>
        <w:pStyle w:val="Compact"/>
      </w:pPr>
      <w:r>
        <w:t xml:space="preserve">Product Mass (assumed for EoL): 1.0 kg</w:t>
      </w:r>
    </w:p>
    <w:p>
      <w:pPr>
        <w:numPr>
          <w:ilvl w:val="1"/>
          <w:numId w:val="1013"/>
        </w:numPr>
        <w:pStyle w:val="Compact"/>
      </w:pPr>
      <w:r>
        <w:t xml:space="preserve">Recyclability Percentage: 75%</w:t>
      </w:r>
    </w:p>
    <w:p>
      <w:pPr>
        <w:numPr>
          <w:ilvl w:val="1"/>
          <w:numId w:val="1013"/>
        </w:numPr>
        <w:pStyle w:val="Compact"/>
      </w:pPr>
      <w:r>
        <w:t xml:space="preserve">Mass recycled: 1.0 kg * 0.75 = 0.75 kg</w:t>
      </w:r>
    </w:p>
    <w:p>
      <w:pPr>
        <w:numPr>
          <w:ilvl w:val="1"/>
          <w:numId w:val="1013"/>
        </w:numPr>
        <w:pStyle w:val="Compact"/>
      </w:pPr>
      <w:r>
        <w:t xml:space="preserve">Mass to landfill/incineration: 1.0 kg * (1 - 0.75) = 0.25 kg</w:t>
      </w:r>
    </w:p>
    <w:p>
      <w:pPr>
        <w:numPr>
          <w:ilvl w:val="1"/>
          <w:numId w:val="1013"/>
        </w:numPr>
        <w:pStyle w:val="Compact"/>
      </w:pPr>
      <w:r>
        <w:t xml:space="preserve">Avoided emissions from recycling (credit): Assume -1.0 kg CO2e/kg for recycled materials (average across materials) -&gt; -0.75 kg CO2e</w:t>
      </w:r>
    </w:p>
    <w:p>
      <w:pPr>
        <w:numPr>
          <w:ilvl w:val="1"/>
          <w:numId w:val="1013"/>
        </w:numPr>
        <w:pStyle w:val="Compact"/>
      </w:pPr>
      <w:r>
        <w:t xml:space="preserve">Emissions from landfill/incineration: Assume 1.5 kg CO2e/kg for non-recycled materials -&gt; 0.25 kg * 1.5 kg CO2e/kg = 0.375 kg CO2e</w:t>
      </w:r>
    </w:p>
    <w:p>
      <w:pPr>
        <w:numPr>
          <w:ilvl w:val="1"/>
          <w:numId w:val="1013"/>
        </w:numPr>
        <w:pStyle w:val="Compact"/>
      </w:pPr>
      <w:r>
        <w:rPr>
          <w:bCs/>
          <w:b/>
        </w:rPr>
        <w:t xml:space="preserve">Net End-of-Life Emissions:</w:t>
      </w:r>
      <w:r>
        <w:t xml:space="preserve"> </w:t>
      </w:r>
      <w:r>
        <w:t xml:space="preserve">0.375 kg CO2e - 0.75 kg CO2e = -0.375 kg CO2e/unit (a net benefit due to high recyclability)</w:t>
      </w:r>
    </w:p>
    <w:p>
      <w:pPr>
        <w:numPr>
          <w:ilvl w:val="0"/>
          <w:numId w:val="1000"/>
        </w:numPr>
      </w:pPr>
      <w:r>
        <w:rPr>
          <w:iCs/>
          <w:i/>
        </w:rPr>
        <w:t xml:space="preserve">Note on LSR: Circular/Take-back programs align with LSR principles by promoting resource efficiency and potentially enhancing carbon removals through material recycling. The credit for recycling directly reflects avoided emissions, functioning as a removal within the product\'s lifecycle. The LSR Standard provides methods to quantify and report CO2 removals with storage.</w:t>
      </w:r>
    </w:p>
    <w:p>
      <w:pPr>
        <w:pStyle w:val="FirstParagraph"/>
      </w:pPr>
      <w:r>
        <w:rPr>
          <w:bCs/>
          <w:b/>
        </w:rPr>
        <w:t xml:space="preserve">Estimated Downstream Scope 3 Emissions:</w:t>
      </w:r>
      <w:r>
        <w:t xml:space="preserve"> </w:t>
      </w:r>
      <w:r>
        <w:t xml:space="preserve">0.10 kg CO2e (last-mile) + 26.25 kg CO2e (use phase) - 0.375 kg CO2e (EoL) = 25.975 kg CO2e/unit</w:t>
      </w:r>
    </w:p>
    <w:bookmarkEnd w:id="33"/>
    <w:bookmarkEnd w:id="34"/>
    <w:bookmarkStart w:id="35" w:name="total-product-carbon-footprint-pcf"/>
    <w:p>
      <w:pPr>
        <w:pStyle w:val="Heading3"/>
      </w:pPr>
      <w:r>
        <w:t xml:space="preserve">4.4. Total Product Carbon Footprint (PCF)</w:t>
      </w:r>
    </w:p>
    <w:p>
      <w:pPr>
        <w:pStyle w:val="FirstParagraph"/>
      </w:pPr>
      <w:r>
        <w:t xml:space="preserve">The total PCF is the sum of all calculated emissions across the lifecycle stages and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Estimated Emissions (kg CO2e/unit)</w:t>
            </w:r>
          </w:p>
        </w:tc>
      </w:tr>
      <w:tr>
        <w:tc>
          <w:tcPr/>
          <w:p>
            <w:pPr>
              <w:pStyle w:val="Compact"/>
              <w:jc w:val="left"/>
            </w:pPr>
            <w:r>
              <w:t xml:space="preserve">Material Acquisition &amp; Production</w:t>
            </w:r>
          </w:p>
        </w:tc>
        <w:tc>
          <w:tcPr/>
          <w:p>
            <w:pPr>
              <w:pStyle w:val="Compact"/>
              <w:jc w:val="left"/>
            </w:pPr>
            <w:r>
              <w:t xml:space="preserve">Scope 3 (Category 1)</w:t>
            </w:r>
          </w:p>
        </w:tc>
        <w:tc>
          <w:tcPr/>
          <w:p>
            <w:pPr>
              <w:pStyle w:val="Compact"/>
              <w:jc w:val="left"/>
            </w:pPr>
            <w:r>
              <w:t xml:space="preserve">5.65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1.68</w:t>
            </w:r>
          </w:p>
        </w:tc>
      </w:tr>
      <w:tr>
        <w:tc>
          <w:tcPr/>
          <w:p>
            <w:pPr>
              <w:pStyle w:val="Compact"/>
              <w:jc w:val="left"/>
            </w:pPr>
            <w:r>
              <w:t xml:space="preserve">Manufacturing (Direct, e.g., on-site fuel)</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Transportation (Upstream)</w:t>
            </w:r>
          </w:p>
        </w:tc>
        <w:tc>
          <w:tcPr/>
          <w:p>
            <w:pPr>
              <w:pStyle w:val="Compact"/>
              <w:jc w:val="left"/>
            </w:pPr>
            <w:r>
              <w:t xml:space="preserve">Scope 3 (Category 4)</w:t>
            </w:r>
          </w:p>
        </w:tc>
        <w:tc>
          <w:tcPr/>
          <w:p>
            <w:pPr>
              <w:pStyle w:val="Compact"/>
              <w:jc w:val="left"/>
            </w:pPr>
            <w:r>
              <w:t xml:space="preserve">0.20</w:t>
            </w:r>
          </w:p>
        </w:tc>
      </w:tr>
      <w:tr>
        <w:tc>
          <w:tcPr/>
          <w:p>
            <w:pPr>
              <w:pStyle w:val="Compact"/>
              <w:jc w:val="left"/>
            </w:pPr>
            <w:r>
              <w:t xml:space="preserve">Transportation (Downstream - Last-Mile)</w:t>
            </w:r>
          </w:p>
        </w:tc>
        <w:tc>
          <w:tcPr/>
          <w:p>
            <w:pPr>
              <w:pStyle w:val="Compact"/>
              <w:jc w:val="left"/>
            </w:pPr>
            <w:r>
              <w:t xml:space="preserve">Scope 3 (Category 9)</w:t>
            </w:r>
          </w:p>
        </w:tc>
        <w:tc>
          <w:tcPr/>
          <w:p>
            <w:pPr>
              <w:pStyle w:val="Compact"/>
              <w:jc w:val="left"/>
            </w:pPr>
            <w:r>
              <w:t xml:space="preserve">0.10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26.25</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-0.375</w:t>
            </w:r>
          </w:p>
        </w:tc>
      </w:tr>
      <w:tr>
        <w:tc>
          <w:tcPr>
            <w:gridSpan w:val="2"/>
          </w:tcPr>
          <w:p>
            <w:pPr>
              <w:pStyle w:val="Compact"/>
              <w:jc w:val="left"/>
            </w:pPr>
            <w:r>
              <w:rPr>
                <w:bCs/>
                <w:b/>
              </w:rPr>
              <w:t xml:space="preserve">TOTAL PRODUCT CARBON FOOTPRINT (Cradle-to-Grave)</w:t>
            </w:r>
          </w:p>
        </w:tc>
        <w:tc>
          <w:tcPr/>
          <w:p>
            <w:pPr>
              <w:pStyle w:val="Compact"/>
              <w:jc w:val="left"/>
            </w:pPr>
            <w:r>
              <w:rPr>
                <w:bCs/>
                <w:b/>
              </w:rPr>
              <w:t xml:space="preserve">33.305</w:t>
            </w:r>
          </w:p>
        </w:tc>
      </w:tr>
    </w:tbl>
    <w:p>
      <w:r>
        <w:pict>
          <v:rect style="width:0;height:1.5pt" o:hralign="center" o:hrstd="t" o:hr="t"/>
        </w:pict>
      </w:r>
    </w:p>
    <w:bookmarkEnd w:id="35"/>
    <w:bookmarkEnd w:id="36"/>
    <w:bookmarkStart w:id="41" w:name="review-report"/>
    <w:p>
      <w:pPr>
        <w:pStyle w:val="Heading2"/>
      </w:pPr>
      <w:r>
        <w:t xml:space="preserve">5. Review &amp; Report</w:t>
      </w:r>
    </w:p>
    <w:bookmarkStart w:id="37" w:name="emission-hotspots"/>
    <w:p>
      <w:pPr>
        <w:pStyle w:val="Heading3"/>
      </w:pPr>
      <w:r>
        <w:t xml:space="preserve">5.1. Emission Hotspots</w:t>
      </w:r>
    </w:p>
    <w:p>
      <w:pPr>
        <w:pStyle w:val="FirstParagraph"/>
      </w:pPr>
      <w:r>
        <w:t xml:space="preserve">Based on the current analysis, the primary emission hotspots for zuljypjszl are:</w:t>
      </w:r>
    </w:p>
    <w:p>
      <w:pPr>
        <w:numPr>
          <w:ilvl w:val="0"/>
          <w:numId w:val="1014"/>
        </w:numPr>
        <w:pStyle w:val="Compact"/>
      </w:pPr>
      <w:r>
        <w:rPr>
          <w:bCs/>
          <w:b/>
        </w:rPr>
        <w:t xml:space="preserve">Use Phase (Approx. 79% of total PCF):</w:t>
      </w:r>
      <w:r>
        <w:t xml:space="preserve"> </w:t>
      </w:r>
      <w:r>
        <w:t xml:space="preserve">At 26.25 kg CO2e, the energy consumption during the product\'s 7-year lifespan is the most significant contributor. This is a critical area for product design optimization towards energy efficiency.</w:t>
      </w:r>
    </w:p>
    <w:p>
      <w:pPr>
        <w:numPr>
          <w:ilvl w:val="0"/>
          <w:numId w:val="1014"/>
        </w:numPr>
        <w:pStyle w:val="Compact"/>
      </w:pPr>
      <w:r>
        <w:rPr>
          <w:bCs/>
          <w:b/>
        </w:rPr>
        <w:t xml:space="preserve">Material Acquisition &amp; Production (Approx. 17% of total PCF):</w:t>
      </w:r>
      <w:r>
        <w:t xml:space="preserve"> </w:t>
      </w:r>
      <w:r>
        <w:t xml:space="preserve">The production of raw materials, particularly electronic components and aluminum, represents a notable impact (5.65 kg CO2e). Efforts to source lower-carbon materials, increase recycled content, or optimize material usage are important.</w:t>
      </w:r>
    </w:p>
    <w:p>
      <w:pPr>
        <w:numPr>
          <w:ilvl w:val="0"/>
          <w:numId w:val="1014"/>
        </w:numPr>
        <w:pStyle w:val="Compact"/>
      </w:pPr>
      <w:r>
        <w:rPr>
          <w:bCs/>
          <w:b/>
        </w:rPr>
        <w:t xml:space="preserve">Manufacturing (Energy) (Approx. 5% of total PCF):</w:t>
      </w:r>
      <w:r>
        <w:t xml:space="preserve"> </w:t>
      </w:r>
      <w:r>
        <w:t xml:space="preserve">The purchased electricity for manufacturing, even with 60% renewables, still contributes 1.68 kg CO2e. Further increasing renewable energy penetration or optimizing manufacturing processes can reduce this.</w:t>
      </w:r>
    </w:p>
    <w:p>
      <w:pPr>
        <w:numPr>
          <w:ilvl w:val="0"/>
          <w:numId w:val="1014"/>
        </w:numPr>
        <w:pStyle w:val="Compact"/>
      </w:pPr>
      <w:r>
        <w:rPr>
          <w:bCs/>
          <w:b/>
        </w:rPr>
        <w:t xml:space="preserve">Transportation (Upstream &amp; Downstream) (Approx. 0.9% of total PCF):</w:t>
      </w:r>
      <w:r>
        <w:t xml:space="preserve"> </w:t>
      </w:r>
      <w:r>
        <w:t xml:space="preserve">While individually small after re-evaluation of last-mile, combined transportation emissions (0.20 kg Upstream + 0.10 kg Downstream = 0.30 kg CO2e) still contribute. Optimizing logistics routes, consolidating deliveries, or exploring alternative delivery methods (e.g., electric vehicles) remain relevant.</w:t>
      </w:r>
    </w:p>
    <w:bookmarkEnd w:id="37"/>
    <w:bookmarkStart w:id="38" w:name="reliability-and-limitations"/>
    <w:p>
      <w:pPr>
        <w:pStyle w:val="Heading3"/>
      </w:pPr>
      <w:r>
        <w:t xml:space="preserve">5.2. Reliability and Limitations</w:t>
      </w:r>
    </w:p>
    <w:p>
      <w:pPr>
        <w:pStyle w:val="FirstParagraph"/>
      </w:pPr>
      <w:r>
        <w:t xml:space="preserve">The reliability of this PCF analysis is contingent on the accuracy of the input data. Key considerations include:</w:t>
      </w:r>
    </w:p>
    <w:p>
      <w:pPr>
        <w:numPr>
          <w:ilvl w:val="0"/>
          <w:numId w:val="1015"/>
        </w:numPr>
        <w:pStyle w:val="Compact"/>
      </w:pPr>
      <w:r>
        <w:rPr>
          <w:bCs/>
          <w:b/>
        </w:rPr>
        <w:t xml:space="preserve">Placeholder Data:</w:t>
      </w:r>
      <w:r>
        <w:t xml:space="preserve"> </w:t>
      </w:r>
      <w:r>
        <w:t xml:space="preserve">Acknowledging that several key parameters (BOM details, transport mode/distance, energy usage, lifespan, recyclability, circular programs) were provided as placeholders, the numerical results are based on reasonable assumptions and generic industry-average emission factors. Primary, product-specific data would enhance accuracy significantly.</w:t>
      </w:r>
    </w:p>
    <w:p>
      <w:pPr>
        <w:numPr>
          <w:ilvl w:val="0"/>
          <w:numId w:val="1015"/>
        </w:numPr>
        <w:pStyle w:val="Compact"/>
      </w:pPr>
      <w:r>
        <w:rPr>
          <w:bCs/>
          <w:b/>
        </w:rPr>
        <w:t xml:space="preserve">Emission Factor Database:</w:t>
      </w:r>
      <w:r>
        <w:t xml:space="preserve"> </w:t>
      </w:r>
      <w:r>
        <w:t xml:space="preserve">Generic emission factors from assumed industry-standard equivalents (e.g., Ecoinvent/DEFRA equivalents) were used. The use of specific supplier data and region-specific factors would improve the precision of the calculations.</w:t>
      </w:r>
    </w:p>
    <w:p>
      <w:pPr>
        <w:numPr>
          <w:ilvl w:val="0"/>
          <w:numId w:val="1015"/>
        </w:numPr>
        <w:pStyle w:val="Compact"/>
      </w:pPr>
      <w:r>
        <w:rPr>
          <w:bCs/>
          <w:b/>
        </w:rPr>
        <w:t xml:space="preserve">System Boundary Assumptions:</w:t>
      </w:r>
      <w:r>
        <w:t xml:space="preserve"> </w:t>
      </w:r>
      <w:r>
        <w:t xml:space="preserve">While a cradle-to-grave approach was intended, detailed data for all minor Scope 3 categories were not available and were assumed negligible at the product level.</w:t>
      </w:r>
    </w:p>
    <w:p>
      <w:pPr>
        <w:numPr>
          <w:ilvl w:val="0"/>
          <w:numId w:val="1015"/>
        </w:numPr>
        <w:pStyle w:val="Compact"/>
      </w:pPr>
      <w:r>
        <w:rPr>
          <w:bCs/>
          <w:b/>
        </w:rPr>
        <w:t xml:space="preserve">LSR Standard Application:</w:t>
      </w:r>
      <w:r>
        <w:t xml:space="preserve"> </w:t>
      </w:r>
      <w:r>
        <w:t xml:space="preserve">The application of the 2026 LSR Standard for land-use and carbon removals is integrated qualitatively through the consideration of material origins (e.g., bio-based materials) and end-of-life benefits. A more detailed assessment would require specific data on land-use change associated with material extraction, as mandated for "high-risk activities" by the LSR.</w:t>
      </w:r>
    </w:p>
    <w:bookmarkEnd w:id="38"/>
    <w:bookmarkStart w:id="40" w:name="recommendations-for-zexqvlmqsg"/>
    <w:p>
      <w:pPr>
        <w:pStyle w:val="Heading3"/>
      </w:pPr>
      <w:r>
        <w:t xml:space="preserve">5.3. Recommendations for zexqvlmqsg</w:t>
      </w:r>
    </w:p>
    <w:p>
      <w:pPr>
        <w:numPr>
          <w:ilvl w:val="0"/>
          <w:numId w:val="1016"/>
        </w:numPr>
        <w:pStyle w:val="Compact"/>
      </w:pPr>
      <w:r>
        <w:rPr>
          <w:bCs/>
          <w:b/>
        </w:rPr>
        <w:t xml:space="preserve">Optimize Use Phase Energy Efficiency:</w:t>
      </w:r>
      <w:r>
        <w:t xml:space="preserve"> </w:t>
      </w:r>
      <w:r>
        <w:t xml:space="preserve">Prioritize research and development into reducing the energy consumption of zuljypjszl during its operational life. Explore low-power modes, more efficient components, or alternative power sources to address the largest hotspot.</w:t>
      </w:r>
    </w:p>
    <w:p>
      <w:pPr>
        <w:numPr>
          <w:ilvl w:val="0"/>
          <w:numId w:val="1016"/>
        </w:numPr>
        <w:pStyle w:val="Compact"/>
      </w:pPr>
      <w:r>
        <w:rPr>
          <w:bCs/>
          <w:b/>
        </w:rPr>
        <w:t xml:space="preserve">Enhance Material Circularity &amp; Sustainable Sourcing:</w:t>
      </w:r>
      <w:r>
        <w:t xml:space="preserve"> </w:t>
      </w:r>
      <w:r>
        <w:t xml:space="preserve">Continue to explore opportunities for increasing recycled content in materials, designing for disassembly, and expanding the existing take-back programs to maximize material recovery and reuse. Engage with suppliers to gain transparency on material-specific emission factors, including land-use impacts where relevant.</w:t>
      </w:r>
    </w:p>
    <w:p>
      <w:pPr>
        <w:numPr>
          <w:ilvl w:val="0"/>
          <w:numId w:val="1016"/>
        </w:numPr>
        <w:pStyle w:val="Compact"/>
      </w:pPr>
      <w:r>
        <w:rPr>
          <w:bCs/>
          <w:b/>
        </w:rPr>
        <w:t xml:space="preserve">Green Manufacturing &amp; Logistics:</w:t>
      </w:r>
      <w:r>
        <w:t xml:space="preserve"> </w:t>
      </w:r>
      <w:r>
        <w:t xml:space="preserve">Further increase the share of renewable energy in manufacturing operations in China. Investigate and implement greener last-mile delivery solutions, such as transitioning to electric delivery vehicles, optimizing delivery routes, or consolidating shipments.</w:t>
      </w:r>
    </w:p>
    <w:p>
      <w:pPr>
        <w:numPr>
          <w:ilvl w:val="0"/>
          <w:numId w:val="1016"/>
        </w:numPr>
        <w:pStyle w:val="Compact"/>
      </w:pPr>
      <w:r>
        <w:rPr>
          <w:bCs/>
          <w:b/>
        </w:rPr>
        <w:t xml:space="preserve">Detailed Data Collection:</w:t>
      </w:r>
      <w:r>
        <w:t xml:space="preserve"> </w:t>
      </w:r>
      <w:r>
        <w:t xml:space="preserve">Implement a robust system for collecting specific, primary data for all parameters identified as placeholders in this report to improve the accuracy and defensibility of future PCF analyses. This includes detailed BOMs from suppliers, actual transport data, and verifiable energy consumption figures.</w:t>
      </w:r>
    </w:p>
    <w:p>
      <w:pPr>
        <w:numPr>
          <w:ilvl w:val="0"/>
          <w:numId w:val="1016"/>
        </w:numPr>
        <w:pStyle w:val="Compact"/>
      </w:pPr>
      <w:r>
        <w:rPr>
          <w:bCs/>
          <w:b/>
        </w:rPr>
        <w:t xml:space="preserve">LSR Standard Compliance Preparation:</w:t>
      </w:r>
      <w:r>
        <w:t xml:space="preserve"> </w:t>
      </w:r>
      <w:r>
        <w:t xml:space="preserve">As the LSR Standard becomes effective in 2027, zexqvlmqsg should prepare to specifically quantify and report land occupation and carbon leakage if any parts of its value chain involve significant land sector activities or bio-based products with associated land-use changes.</w:t>
      </w:r>
    </w:p>
    <w:p>
      <w:r>
        <w:pict>
          <v:rect style="width:0;height:1.5pt" o:hralign="center" o:hrstd="t" o:hr="t"/>
        </w:pict>
      </w:r>
    </w:p>
    <w:p>
      <w:pPr>
        <w:pStyle w:val="FirstParagraph"/>
      </w:pPr>
      <w:r>
        <w:t xml:space="preserve">Confidential - Internal Use Only | Page</w:t>
      </w:r>
      <w:r>
        <w:t xml:space="preserve"> </w:t>
      </w:r>
      <w:bookmarkStart w:id="39" w:name="pageNumber"/>
      <w:bookmarkEnd w:id="39"/>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zuljypjszl - zexqvlmqsg</dc:title>
  <dc:creator/>
  <dc:description>Detailed Product Carbon Footprint (PCF) analysis report for zuljypjszl by zexqvlmqsg, adhering to GHG Protocol and 2026 LSR standards, performed by Senior Sustainability Consultant rtwpjtiyyd.</dc:description>
  <cp:keywords/>
  <dcterms:created xsi:type="dcterms:W3CDTF">2026-05-30T13:44:34Z</dcterms:created>
  <dcterms:modified xsi:type="dcterms:W3CDTF">2026-05-30T13:44:34Z</dcterms:modified>
</cp:coreProperties>
</file>

<file path=docProps/custom.xml><?xml version="1.0" encoding="utf-8"?>
<Properties xmlns="http://schemas.openxmlformats.org/officeDocument/2006/custom-properties" xmlns:vt="http://schemas.openxmlformats.org/officeDocument/2006/docPropsVTypes"/>
</file>