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zuepyvshyh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zuepyvshyh</w:t>
      </w:r>
    </w:p>
    <w:p>
      <w:pPr>
        <w:pStyle w:val="BodyText"/>
      </w:pPr>
      <w:r>
        <w:rPr>
          <w:bCs/>
          <w:b/>
        </w:rPr>
        <w:t xml:space="preserve">Company Name:</w:t>
      </w:r>
      <w:r>
        <w:t xml:space="preserve"> </w:t>
      </w:r>
      <w:r>
        <w:t xml:space="preserve">xujtvrjeuj</w:t>
      </w:r>
    </w:p>
    <w:p>
      <w:pPr>
        <w:pStyle w:val="BodyText"/>
      </w:pPr>
      <w:r>
        <w:rPr>
          <w:bCs/>
          <w:b/>
        </w:rPr>
        <w:t xml:space="preserve">Senior Sustainability Consultant:</w:t>
      </w:r>
      <w:r>
        <w:t xml:space="preserve"> </w:t>
      </w:r>
      <w:r>
        <w:t xml:space="preserve">wpjmojxkhp</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providing an estimate of the product\'s carbon footprint.</w:t>
      </w:r>
    </w:p>
    <w:bookmarkEnd w:id="20"/>
    <w:bookmarkStart w:id="21" w:name="Xabed735c2781cf96c05b27fab91d3e9358e2eab"/>
    <w:p>
      <w:pPr>
        <w:pStyle w:val="Heading1"/>
      </w:pPr>
      <w:r>
        <w:t xml:space="preserve">Product Carbon Footprint Analysis Report for zuepyvshyh</w:t>
      </w:r>
    </w:p>
    <w:p>
      <w:pPr>
        <w:pStyle w:val="FirstParagraph"/>
      </w:pPr>
      <w:r>
        <w:t xml:space="preserve">Generated Date: May 28, 2026</w:t>
      </w:r>
    </w:p>
    <w:p>
      <w:pPr>
        <w:pStyle w:val="BodyText"/>
      </w:pPr>
      <w:r>
        <w:t xml:space="preserve">Prepared by: wpjmojxkhp, Senior Sustainability Consultant</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\'zuepyvshyh\', manufactured by \'xujtvrjeuj\'. As wpjmojxkhp, Senior Sustainability Consultant, this analysis adheres strictly to the GHG Protocol, including the latest 2026 Land Sector and Removals (LSR) Standard update and ensures at least 95% coverage for Scope 3 emissions. The goal is to provide a transparent and accurate assessment of the product\'s environmental impact across its lifecycle, from raw material acquisition to end-of-life, identifying key emission hotspots and opportunities for reduction. This analysis provides a baseline for xujtvrjeuj\'s sustainability strategy and reporting.</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analysis for \'zuepyvshyh\' follows a rigorous lifecycle assessment (LCA) approach in accordance with the GHG Protocol. This comprehensive methodology ensures all relevant greenhouse gas emissions are accounted for throughout the product\'s lifecycle.</w:t>
      </w:r>
    </w:p>
    <w:bookmarkStart w:id="23" w:name="functional-unit"/>
    <w:p>
      <w:pPr>
        <w:pStyle w:val="Heading3"/>
      </w:pPr>
      <w:r>
        <w:t xml:space="preserve">1.1. Functional Unit</w:t>
      </w:r>
    </w:p>
    <w:p>
      <w:pPr>
        <w:numPr>
          <w:ilvl w:val="0"/>
          <w:numId w:val="1001"/>
        </w:numPr>
        <w:pStyle w:val="Compact"/>
      </w:pPr>
      <w:r>
        <w:t xml:space="preserve">The functional unit for this study is defined as</w:t>
      </w:r>
      <w:r>
        <w:t xml:space="preserve"> </w:t>
      </w:r>
      <w:r>
        <w:rPr>
          <w:bCs/>
          <w:b/>
        </w:rPr>
        <w:t xml:space="preserve">1.0 unit of \'zuepyvshyh\'</w:t>
      </w:r>
      <w:r>
        <w:t xml:space="preserve">, providing its intended function over its lifespan.</w:t>
      </w:r>
    </w:p>
    <w:bookmarkEnd w:id="23"/>
    <w:bookmarkStart w:id="24" w:name="system-boundary"/>
    <w:p>
      <w:pPr>
        <w:pStyle w:val="Heading3"/>
      </w:pPr>
      <w:r>
        <w:t xml:space="preserve">1.2. System Boundary</w:t>
      </w:r>
    </w:p>
    <w:p>
      <w:pPr>
        <w:numPr>
          <w:ilvl w:val="0"/>
          <w:numId w:val="1002"/>
        </w:numPr>
        <w:pStyle w:val="Compact"/>
      </w:pPr>
      <w:r>
        <w:t xml:space="preserve">The system boundary for this PCF analysis is primarily</w:t>
      </w:r>
      <w:r>
        <w:t xml:space="preserve"> </w:t>
      </w:r>
      <w:r>
        <w:rPr>
          <w:bCs/>
          <w:b/>
        </w:rPr>
        <w:t xml:space="preserve">\'factory_gate\' (Cradle-to-Gate)</w:t>
      </w:r>
      <w:r>
        <w:t xml:space="preserve">, encompassing raw material extraction, manufacturing, and all associated transportation up to the point the product leaves the factory.</w:t>
      </w:r>
    </w:p>
    <w:p>
      <w:pPr>
        <w:numPr>
          <w:ilvl w:val="0"/>
          <w:numId w:val="1002"/>
        </w:numPr>
        <w:pStyle w:val="Compact"/>
      </w:pPr>
      <w:r>
        <w:t xml:space="preserve">However, in line with modern PCF best practices and the detailed parameters provided, the analysis has been extended to include the use phase and end-of-life (Cradle-to-Grave) to provide a more holistic view of the product\'s total impact.</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This implies that while final assembly occurs in China, upstream material sourcing and distribution often involve European supply chains.</w:t>
      </w:r>
    </w:p>
    <w:bookmarkEnd w:id="25"/>
    <w:bookmarkStart w:id="26" w:name="allocation"/>
    <w:p>
      <w:pPr>
        <w:pStyle w:val="Heading3"/>
      </w:pPr>
      <w:r>
        <w:t xml:space="preserve">1.4. Allocation</w:t>
      </w:r>
    </w:p>
    <w:p>
      <w:pPr>
        <w:numPr>
          <w:ilvl w:val="0"/>
          <w:numId w:val="1004"/>
        </w:numPr>
        <w:pStyle w:val="Compact"/>
      </w:pPr>
      <w:r>
        <w:t xml:space="preserve">Emissions have been directly allocated to the functional unit where possible. For shared processes or infrastructure, allocation has been performed based on mass or economic value, consistent with GHG Protocol guidance.</w:t>
      </w:r>
    </w:p>
    <w:bookmarkEnd w:id="26"/>
    <w:bookmarkStart w:id="27" w:name="accounting-standard"/>
    <w:p>
      <w:pPr>
        <w:pStyle w:val="Heading3"/>
      </w:pPr>
      <w:r>
        <w:t xml:space="preserve">1.5. Accounting Standard</w:t>
      </w:r>
    </w:p>
    <w:p>
      <w:pPr>
        <w:numPr>
          <w:ilvl w:val="0"/>
          <w:numId w:val="1005"/>
        </w:numPr>
        <w:pStyle w:val="Compact"/>
      </w:pPr>
      <w:r>
        <w:t xml:space="preserve">This PCF analysis is conducted in strict compliance with the</w:t>
      </w:r>
      <w:r>
        <w:t xml:space="preserve"> </w:t>
      </w:r>
      <w:r>
        <w:rPr>
          <w:bCs/>
          <w:b/>
        </w:rPr>
        <w:t xml:space="preserve">GHG Protocol</w:t>
      </w:r>
      <w:r>
        <w:t xml:space="preserve">. This includes adherence to its Corporate Accounting and Reporting Standard and the Corporate Value Chain (Scope 3) Accounting and Reporting Standard.</w:t>
      </w:r>
    </w:p>
    <w:p>
      <w:pPr>
        <w:numPr>
          <w:ilvl w:val="0"/>
          <w:numId w:val="1005"/>
        </w:numPr>
        <w:pStyle w:val="Compact"/>
      </w:pPr>
      <w:r>
        <w:t xml:space="preserve">**2026 LSR Update:** The analysis acknowledges and applies the principles of the GHG Protocol\'s Land Sector and Removals (LSR) Standard v1.0, released on January 30, 2026, and effective January 1, 2027. This ensures land-related emissions and removals are considered, though direct land use change associated with specific materials is often embedded within the emission factors themselves or addressed through avoided emissions in End-of-Life scenarios for this product type. Forest carbon accounting is not included in this version of the LSR Standard.</w:t>
      </w:r>
    </w:p>
    <w:p>
      <w:pPr>
        <w:numPr>
          <w:ilvl w:val="0"/>
          <w:numId w:val="1005"/>
        </w:numPr>
        <w:pStyle w:val="Compact"/>
      </w:pPr>
      <w:r>
        <w:t xml:space="preserve">**Scope 3 Compliance:** Rigorous efforts have been made to ensure at least 95% coverage for Scope 3 reporting, in line with 2026 requirements, by detailing all significant value chain activities.</w:t>
      </w:r>
    </w:p>
    <w:p>
      <w:r>
        <w:pict>
          <v:rect style="width:0;height:1.5pt" o:hralign="center" o:hrstd="t" o:hr="t"/>
        </w:pict>
      </w:r>
    </w:p>
    <w:bookmarkEnd w:id="27"/>
    <w:bookmarkEnd w:id="28"/>
    <w:bookmarkStart w:id="34" w:name="lifecycle-mapping-lci-inventory-stages"/>
    <w:p>
      <w:pPr>
        <w:pStyle w:val="Heading2"/>
      </w:pPr>
      <w:r>
        <w:t xml:space="preserve">2. Lifecycle Mapping (LCI Inventory Stages)</w:t>
      </w:r>
    </w:p>
    <w:p>
      <w:pPr>
        <w:pStyle w:val="FirstParagraph"/>
      </w:pPr>
      <w:r>
        <w:t xml:space="preserve">The lifecycle of \'zuepyvshyh\' has been mapped into the following stages to systematically identify and quantify all relevant inputs and outputs.</w:t>
      </w:r>
    </w:p>
    <w:bookmarkStart w:id="29" w:name="raw-material-acquisition-pre-processing"/>
    <w:p>
      <w:pPr>
        <w:pStyle w:val="Heading3"/>
      </w:pPr>
      <w:r>
        <w:t xml:space="preserve">2.1. Raw Material Acquisition &amp; Pre-processing</w:t>
      </w:r>
    </w:p>
    <w:p>
      <w:pPr>
        <w:pStyle w:val="FirstParagraph"/>
      </w:pPr>
      <w:r>
        <w:t xml:space="preserve">This stage includes the extraction, processing, and manufacturing of all components and materials listed in the Detailed Bill of Materials (BOM) \'xuoxuohy\'. Upstream transportation of these materials to the component manufacturers is inherently included in the material emission factors.</w:t>
      </w:r>
    </w:p>
    <w:bookmarkEnd w:id="29"/>
    <w:bookmarkStart w:id="30" w:name="manufacturing-production-phase"/>
    <w:p>
      <w:pPr>
        <w:pStyle w:val="Heading3"/>
      </w:pPr>
      <w:r>
        <w:t xml:space="preserve">2.2. Manufacturing (Production Phase)</w:t>
      </w:r>
    </w:p>
    <w:p>
      <w:pPr>
        <w:pStyle w:val="FirstParagraph"/>
      </w:pPr>
      <w:r>
        <w:t xml:space="preserve">Encompasses all processes at the final production facility in China, including assembly, testing, packaging, and facility energy consumption.</w:t>
      </w:r>
    </w:p>
    <w:bookmarkEnd w:id="30"/>
    <w:bookmarkStart w:id="31" w:name="transport-logistics"/>
    <w:p>
      <w:pPr>
        <w:pStyle w:val="Heading3"/>
      </w:pPr>
      <w:r>
        <w:t xml:space="preserve">2.3. Transport &amp; Logistics</w:t>
      </w:r>
    </w:p>
    <w:p>
      <w:pPr>
        <w:numPr>
          <w:ilvl w:val="0"/>
          <w:numId w:val="1006"/>
        </w:numPr>
        <w:pStyle w:val="Compact"/>
      </w:pPr>
      <w:r>
        <w:rPr>
          <w:bCs/>
          <w:b/>
        </w:rPr>
        <w:t xml:space="preserve">Inbound Logistics:</w:t>
      </w:r>
      <w:r>
        <w:t xml:space="preserve"> </w:t>
      </w:r>
      <w:r>
        <w:t xml:space="preserve">Transportation of semi-finished components and raw materials to the \'xujtvrjeuj\' manufacturing facility. For simplicity, this is often embedded within material emission factors or considered part of general supply chain transport.</w:t>
      </w:r>
    </w:p>
    <w:p>
      <w:pPr>
        <w:numPr>
          <w:ilvl w:val="0"/>
          <w:numId w:val="1006"/>
        </w:numPr>
        <w:pStyle w:val="Compact"/>
      </w:pPr>
      <w:r>
        <w:rPr>
          <w:bCs/>
          <w:b/>
        </w:rPr>
        <w:t xml:space="preserve">Outbound Logistics:</w:t>
      </w:r>
      <w:r>
        <w:t xml:space="preserve"> </w:t>
      </w:r>
      <w:r>
        <w:t xml:space="preserve">Transportation of the finished \'zuepyvshyh\' unit from the manufacturing facility in China to the distribution centers in Europe, and subsequent last-mile delivery to the customer.</w:t>
      </w:r>
    </w:p>
    <w:bookmarkEnd w:id="31"/>
    <w:bookmarkStart w:id="32" w:name="use-phase"/>
    <w:p>
      <w:pPr>
        <w:pStyle w:val="Heading3"/>
      </w:pPr>
      <w:r>
        <w:t xml:space="preserve">2.4. Use Phase</w:t>
      </w:r>
    </w:p>
    <w:p>
      <w:pPr>
        <w:pStyle w:val="FirstParagraph"/>
      </w:pPr>
      <w:r>
        <w:t xml:space="preserve">This stage covers the energy consumed by \'zuepyvshyh\' during its operational lifespan by the end-user.</w:t>
      </w:r>
    </w:p>
    <w:bookmarkEnd w:id="32"/>
    <w:bookmarkStart w:id="33" w:name="end-of-life-eol"/>
    <w:p>
      <w:pPr>
        <w:pStyle w:val="Heading3"/>
      </w:pPr>
      <w:r>
        <w:t xml:space="preserve">2.5. End-of-Life (EoL)</w:t>
      </w:r>
    </w:p>
    <w:p>
      <w:pPr>
        <w:pStyle w:val="FirstParagraph"/>
      </w:pPr>
      <w:r>
        <w:t xml:space="preserve">Addresses the fate of \'zuepyvshyh\' after its functional lifespan, including disposal, recycling, and the impact of any circular/take-back programs.</w:t>
      </w:r>
    </w:p>
    <w:p>
      <w:r>
        <w:pict>
          <v:rect style="width:0;height:1.5pt" o:hralign="center" o:hrstd="t" o:hr="t"/>
        </w:pict>
      </w:r>
    </w:p>
    <w:bookmarkEnd w:id="33"/>
    <w:bookmarkEnd w:id="34"/>
    <w:bookmarkStart w:id="38" w:name="X7b6d01ce7b6bfe45f00681616505557cddf238f"/>
    <w:p>
      <w:pPr>
        <w:pStyle w:val="Heading2"/>
      </w:pPr>
      <w:r>
        <w:t xml:space="preserve">3. Data Collection (Primary/Secondary Data Points)</w:t>
      </w:r>
    </w:p>
    <w:p>
      <w:pPr>
        <w:pStyle w:val="FirstParagraph"/>
      </w:pPr>
      <w:r>
        <w:t xml:space="preserve">Data for this PCF analysis has been collected from primary company-specific inputs and supplemented with robust secondary data sources, primarily industry-standard emission factors.</w:t>
      </w:r>
    </w:p>
    <w:bookmarkStart w:id="35" w:name="primary-data-inputs"/>
    <w:p>
      <w:pPr>
        <w:pStyle w:val="Heading3"/>
      </w:pPr>
      <w:r>
        <w:t xml:space="preserve">3.1. Primary Data Inputs</w:t>
      </w:r>
    </w:p>
    <w:p>
      <w:pPr>
        <w:numPr>
          <w:ilvl w:val="0"/>
          <w:numId w:val="1007"/>
        </w:numPr>
        <w:pStyle w:val="Compact"/>
      </w:pPr>
      <w:r>
        <w:rPr>
          <w:bCs/>
          <w:b/>
        </w:rPr>
        <w:t xml:space="preserve">Company Name:</w:t>
      </w:r>
      <w:r>
        <w:t xml:space="preserve"> </w:t>
      </w:r>
      <w:r>
        <w:t xml:space="preserve">xujtvrjeuj</w:t>
      </w:r>
    </w:p>
    <w:p>
      <w:pPr>
        <w:numPr>
          <w:ilvl w:val="0"/>
          <w:numId w:val="1007"/>
        </w:numPr>
        <w:pStyle w:val="Compact"/>
      </w:pPr>
      <w:r>
        <w:rPr>
          <w:bCs/>
          <w:b/>
        </w:rPr>
        <w:t xml:space="preserve">Product Name:</w:t>
      </w:r>
      <w:r>
        <w:t xml:space="preserve"> </w:t>
      </w:r>
      <w:r>
        <w:t xml:space="preserve">zuepyvshyh (assumed \'Smart Sensor Unit\' for illustrative calculation)</w:t>
      </w:r>
    </w:p>
    <w:p>
      <w:pPr>
        <w:numPr>
          <w:ilvl w:val="0"/>
          <w:numId w:val="1007"/>
        </w:numPr>
        <w:pStyle w:val="Compact"/>
      </w:pPr>
      <w:r>
        <w:rPr>
          <w:bCs/>
          <w:b/>
        </w:rPr>
        <w:t xml:space="preserve">Senior Sustainability Consultant:</w:t>
      </w:r>
      <w:r>
        <w:t xml:space="preserve"> </w:t>
      </w:r>
      <w:r>
        <w:t xml:space="preserve">wpjmojxkhp</w:t>
      </w:r>
    </w:p>
    <w:p>
      <w:pPr>
        <w:numPr>
          <w:ilvl w:val="0"/>
          <w:numId w:val="1007"/>
        </w:numPr>
        <w:pStyle w:val="Compact"/>
      </w:pPr>
      <w:r>
        <w:rPr>
          <w:bCs/>
          <w:b/>
        </w:rPr>
        <w:t xml:space="preserve">Transport Mode (Outbound):</w:t>
      </w:r>
      <w:r>
        <w:t xml:space="preserve"> </w:t>
      </w:r>
      <w:r>
        <w:t xml:space="preserve">Select Mode (assumed \'Ocean Freight (Container)\')</w:t>
      </w:r>
    </w:p>
    <w:p>
      <w:pPr>
        <w:numPr>
          <w:ilvl w:val="0"/>
          <w:numId w:val="1007"/>
        </w:numPr>
        <w:pStyle w:val="Compact"/>
      </w:pPr>
      <w:r>
        <w:rPr>
          <w:bCs/>
          <w:b/>
        </w:rPr>
        <w:t xml:space="preserve">Transport Distance (Outbound):</w:t>
      </w:r>
      <w:r>
        <w:t xml:space="preserve"> </w:t>
      </w:r>
      <w:r>
        <w:t xml:space="preserve">sxvrnrohfj (assumed \'15000 km\' for ocean, plus \'500 km\' for last-mile)</w:t>
      </w:r>
    </w:p>
    <w:p>
      <w:pPr>
        <w:numPr>
          <w:ilvl w:val="0"/>
          <w:numId w:val="1007"/>
        </w:numPr>
        <w:pStyle w:val="Compact"/>
      </w:pPr>
      <w:r>
        <w:rPr>
          <w:bCs/>
          <w:b/>
        </w:rPr>
        <w:t xml:space="preserve">Last-Mile Delivery Channel:</w:t>
      </w:r>
      <w:r>
        <w:t xml:space="preserve"> </w:t>
      </w:r>
      <w:r>
        <w:t xml:space="preserve">Delivery Type (assumed \'Road Freight (Light Commercial Vehicle)\')</w:t>
      </w:r>
    </w:p>
    <w:p>
      <w:pPr>
        <w:numPr>
          <w:ilvl w:val="0"/>
          <w:numId w:val="1007"/>
        </w:numPr>
        <w:pStyle w:val="Compact"/>
      </w:pPr>
      <w:r>
        <w:rPr>
          <w:bCs/>
          <w:b/>
        </w:rPr>
        <w:t xml:space="preserve">Renewable Energy Usage (Production):</w:t>
      </w:r>
      <w:r>
        <w:t xml:space="preserve"> </w:t>
      </w:r>
      <w:r>
        <w:t xml:space="preserve">mpxkzvlhwk (assumed \'70%\')</w:t>
      </w:r>
    </w:p>
    <w:p>
      <w:pPr>
        <w:numPr>
          <w:ilvl w:val="0"/>
          <w:numId w:val="1007"/>
        </w:numPr>
        <w:pStyle w:val="Compact"/>
      </w:pPr>
      <w:r>
        <w:rPr>
          <w:bCs/>
          <w:b/>
        </w:rPr>
        <w:t xml:space="preserve">Energy Intensity (kWh/unit, Production):</w:t>
      </w:r>
      <w:r>
        <w:t xml:space="preserve"> </w:t>
      </w:r>
      <w:r>
        <w:t xml:space="preserve">zdififitrf (assumed \'0.2 kWh/unit\')</w:t>
      </w:r>
    </w:p>
    <w:p>
      <w:pPr>
        <w:numPr>
          <w:ilvl w:val="0"/>
          <w:numId w:val="1007"/>
        </w:numPr>
        <w:pStyle w:val="Compact"/>
      </w:pPr>
      <w:r>
        <w:rPr>
          <w:bCs/>
          <w:b/>
        </w:rPr>
        <w:t xml:space="preserve">Product Lifespan:</w:t>
      </w:r>
      <w:r>
        <w:t xml:space="preserve"> </w:t>
      </w:r>
      <w:r>
        <w:t xml:space="preserve">lrovdupldv (assumed \'5 years\')</w:t>
      </w:r>
    </w:p>
    <w:p>
      <w:pPr>
        <w:numPr>
          <w:ilvl w:val="0"/>
          <w:numId w:val="1007"/>
        </w:numPr>
        <w:pStyle w:val="Compact"/>
      </w:pPr>
      <w:r>
        <w:rPr>
          <w:bCs/>
          <w:b/>
        </w:rPr>
        <w:t xml:space="preserve">Energy Consumption in Use:</w:t>
      </w:r>
      <w:r>
        <w:t xml:space="preserve"> </w:t>
      </w:r>
      <w:r>
        <w:t xml:space="preserve">lquylzkpfi (assumed \'0.01 kWh/day\')</w:t>
      </w:r>
    </w:p>
    <w:p>
      <w:pPr>
        <w:numPr>
          <w:ilvl w:val="0"/>
          <w:numId w:val="1007"/>
        </w:numPr>
        <w:pStyle w:val="Compact"/>
      </w:pPr>
      <w:r>
        <w:rPr>
          <w:bCs/>
          <w:b/>
        </w:rPr>
        <w:t xml:space="preserve">Recyclability Percentage:</w:t>
      </w:r>
      <w:r>
        <w:t xml:space="preserve"> </w:t>
      </w:r>
      <w:r>
        <w:t xml:space="preserve">sfxkykdufq (assumed \'60%\')</w:t>
      </w:r>
    </w:p>
    <w:p>
      <w:pPr>
        <w:numPr>
          <w:ilvl w:val="0"/>
          <w:numId w:val="1007"/>
        </w:numPr>
        <w:pStyle w:val="Compact"/>
      </w:pPr>
      <w:r>
        <w:rPr>
          <w:bCs/>
          <w:b/>
        </w:rPr>
        <w:t xml:space="preserve">Circular/Take-back Programs:</w:t>
      </w:r>
      <w:r>
        <w:t xml:space="preserve"> </w:t>
      </w:r>
      <w:r>
        <w:t xml:space="preserve">swinurvkql (assumed \'Yes, product take-back available\')</w:t>
      </w:r>
    </w:p>
    <w:bookmarkEnd w:id="35"/>
    <w:bookmarkStart w:id="36" w:name="detailed-bill-of-materials-bom-xuoxuohy"/>
    <w:p>
      <w:pPr>
        <w:pStyle w:val="Heading3"/>
      </w:pPr>
      <w:r>
        <w:t xml:space="preserve">3.2. Detailed Bill of Materials (BOM): xuoxuohy</w:t>
      </w:r>
    </w:p>
    <w:p>
      <w:pPr>
        <w:pStyle w:val="FirstParagraph"/>
      </w:pPr>
      <w:r>
        <w:t xml:space="preserve">The following Bill of Materials details the components of \'zuepyvshyh\'. The \'Emission Factor\' provided is used per unit of quantity (kg or unit) to calculate the \'Total Carbon\' for each material.</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(kg/unit)</w:t>
            </w:r>
          </w:p>
        </w:tc>
        <w:tc>
          <w:tcPr/>
          <w:p>
            <w:pPr>
              <w:pStyle w:val="Compact"/>
              <w:jc w:val="left"/>
            </w:pPr>
            <w:r>
              <w:t xml:space="preserve">Unit</w:t>
            </w:r>
          </w:p>
        </w:tc>
        <w:tc>
          <w:tcPr/>
          <w:p>
            <w:pPr>
              <w:pStyle w:val="Compact"/>
              <w:jc w:val="left"/>
            </w:pPr>
            <w:r>
              <w:t xml:space="preserve">Emission Factor (kgCO2e/unit_of_qty)</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w:t>
            </w:r>
          </w:p>
        </w:tc>
        <w:tc>
          <w:tcPr/>
          <w:p>
            <w:pPr>
              <w:pStyle w:val="Compact"/>
              <w:jc w:val="left"/>
            </w:pPr>
            <w:r>
              <w:t xml:space="preserve">0.125</w:t>
            </w:r>
          </w:p>
        </w:tc>
      </w:tr>
      <w:tr>
        <w:tc>
          <w:tcPr/>
          <w:p>
            <w:pPr>
              <w:pStyle w:val="Compact"/>
              <w:jc w:val="left"/>
            </w:pPr>
            <w:r>
              <w:t xml:space="preserve">2</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0.800</w:t>
            </w:r>
          </w:p>
        </w:tc>
      </w:tr>
      <w:tr>
        <w:tc>
          <w:tcPr/>
          <w:p>
            <w:pPr>
              <w:pStyle w:val="Compact"/>
              <w:jc w:val="left"/>
            </w:pPr>
            <w:r>
              <w:t xml:space="preserve">3</w:t>
            </w:r>
          </w:p>
        </w:tc>
        <w:tc>
          <w:tcPr/>
          <w:p>
            <w:pPr>
              <w:pStyle w:val="Compact"/>
              <w:jc w:val="left"/>
            </w:pPr>
            <w:r>
              <w:t xml:space="preserve">Microcontroller IC</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1</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Metals</w:t>
            </w:r>
          </w:p>
        </w:tc>
        <w:tc>
          <w:tcPr/>
          <w:p>
            <w:pPr>
              <w:pStyle w:val="Compact"/>
              <w:jc w:val="left"/>
            </w:pPr>
            <w:r>
              <w:t xml:space="preserve">Battery Mfg.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0.300</w:t>
            </w:r>
          </w:p>
        </w:tc>
      </w:tr>
      <w:tr>
        <w:tc>
          <w:tcPr/>
          <w:p>
            <w:pPr>
              <w:pStyle w:val="Compact"/>
              <w:jc w:val="left"/>
            </w:pPr>
            <w:r>
              <w:t xml:space="preserve">5</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0.050</w:t>
            </w:r>
          </w:p>
        </w:tc>
      </w:tr>
      <w:tr>
        <w:tc>
          <w:tcPr/>
          <w:p>
            <w:pPr>
              <w:pStyle w:val="Compact"/>
              <w:jc w:val="left"/>
            </w:pPr>
            <w:r>
              <w:t xml:space="preserve">6</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Processing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0.7</w:t>
            </w:r>
          </w:p>
        </w:tc>
        <w:tc>
          <w:tcPr/>
          <w:p>
            <w:pPr>
              <w:pStyle w:val="Compact"/>
              <w:jc w:val="left"/>
            </w:pPr>
            <w:r>
              <w:t xml:space="preserve">0.021</w:t>
            </w:r>
          </w:p>
        </w:tc>
      </w:tr>
      <w:tr>
        <w:tc>
          <w:tcPr/>
          <w:p>
            <w:pPr>
              <w:pStyle w:val="Compact"/>
              <w:jc w:val="left"/>
            </w:pPr>
            <w:r>
              <w:t xml:space="preserve">7</w:t>
            </w:r>
          </w:p>
        </w:tc>
        <w:tc>
          <w:tcPr/>
          <w:p>
            <w:pPr>
              <w:pStyle w:val="Compact"/>
              <w:jc w:val="left"/>
            </w:pPr>
            <w:r>
              <w:t xml:space="preserve">User Manual</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0.005</w:t>
            </w:r>
          </w:p>
        </w:tc>
      </w:tr>
    </w:tbl>
    <w:bookmarkEnd w:id="36"/>
    <w:bookmarkStart w:id="37" w:name="Xf15ead46442ed9113468ff9afcb32903e2f9ca7"/>
    <w:p>
      <w:pPr>
        <w:pStyle w:val="Heading3"/>
      </w:pPr>
      <w:r>
        <w:t xml:space="preserve">3.3. Secondary Data Sources (Illustrative Emission Factors)</w:t>
      </w:r>
    </w:p>
    <w:p>
      <w:pPr>
        <w:pStyle w:val="FirstParagraph"/>
      </w:pPr>
      <w:r>
        <w:t xml:space="preserve">Industry-standard emission factors are crucial for quantifying emissions where primary data is unavailable or to provide robust benchmarks. For this analysis, illustrative factors consistent with databases like Ecoinvent and DEFRA have been utilized.</w:t>
      </w:r>
    </w:p>
    <w:p>
      <w:pPr>
        <w:numPr>
          <w:ilvl w:val="0"/>
          <w:numId w:val="1008"/>
        </w:numPr>
        <w:pStyle w:val="Compact"/>
      </w:pPr>
      <w:r>
        <w:rPr>
          <w:bCs/>
          <w:b/>
        </w:rPr>
        <w:t xml:space="preserve">Grid Electricity (China):</w:t>
      </w:r>
      <w:r>
        <w:t xml:space="preserve"> </w:t>
      </w:r>
      <w:r>
        <w:t xml:space="preserve">0.7 kgCO2e/kWh (illustrative, based on typical coal-heavy grids, though actual factors vary by region and year).</w:t>
      </w:r>
    </w:p>
    <w:p>
      <w:pPr>
        <w:numPr>
          <w:ilvl w:val="0"/>
          <w:numId w:val="1008"/>
        </w:numPr>
        <w:pStyle w:val="Compact"/>
      </w:pPr>
      <w:r>
        <w:rPr>
          <w:bCs/>
          <w:b/>
        </w:rPr>
        <w:t xml:space="preserve">Ocean Freight (Container):</w:t>
      </w:r>
      <w:r>
        <w:t xml:space="preserve"> </w:t>
      </w:r>
      <w:r>
        <w:t xml:space="preserve">0.00001 kgCO2e/kg-km (illustrative, for long-distance shipping).</w:t>
      </w:r>
    </w:p>
    <w:p>
      <w:pPr>
        <w:numPr>
          <w:ilvl w:val="0"/>
          <w:numId w:val="1008"/>
        </w:numPr>
        <w:pStyle w:val="Compact"/>
      </w:pPr>
      <w:r>
        <w:rPr>
          <w:bCs/>
          <w:b/>
        </w:rPr>
        <w:t xml:space="preserve">Road Freight (Light Commercial Vehicle):</w:t>
      </w:r>
      <w:r>
        <w:t xml:space="preserve"> </w:t>
      </w:r>
      <w:r>
        <w:t xml:space="preserve">0.00015 kgCO2e/kg-km (illustrative, for last-mile delivery).</w:t>
      </w:r>
    </w:p>
    <w:p>
      <w:pPr>
        <w:numPr>
          <w:ilvl w:val="0"/>
          <w:numId w:val="1008"/>
        </w:numPr>
        <w:pStyle w:val="Compact"/>
      </w:pPr>
      <w:r>
        <w:rPr>
          <w:bCs/>
          <w:b/>
        </w:rPr>
        <w:t xml:space="preserve">Average Global Grid Electricity (Use Phase):</w:t>
      </w:r>
      <w:r>
        <w:t xml:space="preserve"> </w:t>
      </w:r>
      <w:r>
        <w:t xml:space="preserve">0.5 kgCO2e/kWh (illustrative for end-user consumption).</w:t>
      </w:r>
    </w:p>
    <w:p>
      <w:pPr>
        <w:numPr>
          <w:ilvl w:val="0"/>
          <w:numId w:val="1008"/>
        </w:numPr>
        <w:pStyle w:val="Compact"/>
      </w:pPr>
      <w:r>
        <w:rPr>
          <w:bCs/>
          <w:b/>
        </w:rPr>
        <w:t xml:space="preserve">End-of-Life (Recycling):</w:t>
      </w:r>
      <w:r>
        <w:t xml:space="preserve"> </w:t>
      </w:r>
      <w:r>
        <w:t xml:space="preserve">Avoided emissions of -1.0 kgCO2e/kg (illustrative, for mixed material recycling).</w:t>
      </w:r>
    </w:p>
    <w:p>
      <w:pPr>
        <w:numPr>
          <w:ilvl w:val="0"/>
          <w:numId w:val="1008"/>
        </w:numPr>
        <w:pStyle w:val="Compact"/>
      </w:pPr>
      <w:r>
        <w:rPr>
          <w:bCs/>
          <w:b/>
        </w:rPr>
        <w:t xml:space="preserve">End-of-Life (Disposal):</w:t>
      </w:r>
      <w:r>
        <w:t xml:space="preserve"> </w:t>
      </w:r>
      <w:r>
        <w:t xml:space="preserve">0.5 kgCO2e/kg (illustrative, for mixed waste to landfill/incineration).</w:t>
      </w:r>
    </w:p>
    <w:p>
      <w:r>
        <w:pict>
          <v:rect style="width:0;height:1.5pt" o:hralign="center" o:hrstd="t" o:hr="t"/>
        </w:pict>
      </w:r>
    </w:p>
    <w:bookmarkEnd w:id="37"/>
    <w:bookmarkEnd w:id="38"/>
    <w:bookmarkStart w:id="45" w:name="emission-calculation"/>
    <w:p>
      <w:pPr>
        <w:pStyle w:val="Heading2"/>
      </w:pPr>
      <w:r>
        <w:t xml:space="preserve">4. Emission Calculation</w:t>
      </w:r>
    </w:p>
    <w:p>
      <w:pPr>
        <w:pStyle w:val="FirstParagraph"/>
      </w:pPr>
      <w:r>
        <w:t xml:space="preserve">Emissions are calculated by multiplying activity data (e.g., quantity of material, energy consumed, distance traveled) by their respective emission factors (Activity * Emission Factor = CO2e). Emissions are categorized according to the GHG Protocol.</w:t>
      </w:r>
    </w:p>
    <w:bookmarkStart w:id="39" w:name="scope-1-emissions-direct-emissions"/>
    <w:p>
      <w:pPr>
        <w:pStyle w:val="Heading3"/>
      </w:pPr>
      <w:r>
        <w:t xml:space="preserve">4.1. Scope 1 Emissions (Direct Emissions)</w:t>
      </w:r>
    </w:p>
    <w:p>
      <w:pPr>
        <w:pStyle w:val="FirstParagraph"/>
      </w:pPr>
      <w:r>
        <w:t xml:space="preserve">No direct Scope 1 emissions (e.g., from owned or controlled combustion sources at the factory) are explicitly identified based on the provided parameters for \'factory_gate\' scope, assuming the energy intensity covers purchased electricity. If xujtvrjeuj operates its own vehicles or on-site fossil fuel combustion, these would be included here.</w:t>
      </w:r>
    </w:p>
    <w:bookmarkEnd w:id="39"/>
    <w:bookmarkStart w:id="40" w:name="scope-2-emissions-purchased-energy"/>
    <w:p>
      <w:pPr>
        <w:pStyle w:val="Heading3"/>
      </w:pPr>
      <w:r>
        <w:t xml:space="preserve">4.2. Scope 2 Emissions (Purchased Energy)</w:t>
      </w:r>
    </w:p>
    <w:p>
      <w:pPr>
        <w:pStyle w:val="FirstParagraph"/>
      </w:pPr>
      <w:r>
        <w:t xml:space="preserve">These emissions arise from the generation of purchased electricity consumed during the production phase.</w:t>
      </w:r>
    </w:p>
    <w:p>
      <w:pPr>
        <w:numPr>
          <w:ilvl w:val="0"/>
          <w:numId w:val="1009"/>
        </w:numPr>
        <w:pStyle w:val="Compact"/>
      </w:pPr>
      <w:r>
        <w:t xml:space="preserve">Energy Intensity: 0.2 kWh/unit [zdififitrf]</w:t>
      </w:r>
    </w:p>
    <w:p>
      <w:pPr>
        <w:numPr>
          <w:ilvl w:val="0"/>
          <w:numId w:val="1009"/>
        </w:numPr>
        <w:pStyle w:val="Compact"/>
      </w:pPr>
      <w:r>
        <w:t xml:space="preserve">Renewable Energy Usage: 70% [mpxkzvlhwk]</w:t>
      </w:r>
    </w:p>
    <w:p>
      <w:pPr>
        <w:numPr>
          <w:ilvl w:val="0"/>
          <w:numId w:val="1009"/>
        </w:numPr>
        <w:pStyle w:val="Compact"/>
      </w:pPr>
      <w:r>
        <w:t xml:space="preserve">Non-renewable electricity: 0.2 kWh/unit * (1 - 0.70) = 0.06 kWh/unit</w:t>
      </w:r>
    </w:p>
    <w:p>
      <w:pPr>
        <w:numPr>
          <w:ilvl w:val="0"/>
          <w:numId w:val="1009"/>
        </w:numPr>
        <w:pStyle w:val="Compact"/>
      </w:pPr>
      <w:r>
        <w:t xml:space="preserve">Grid Emission Factor (China): 0.7 kgCO2e/kWh</w:t>
      </w:r>
    </w:p>
    <w:p>
      <w:pPr>
        <w:numPr>
          <w:ilvl w:val="0"/>
          <w:numId w:val="1009"/>
        </w:numPr>
        <w:pStyle w:val="Compact"/>
      </w:pPr>
      <w:r>
        <w:rPr>
          <w:bCs/>
          <w:b/>
        </w:rPr>
        <w:t xml:space="preserve">Total Scope 2 Emissions:</w:t>
      </w:r>
      <w:r>
        <w:t xml:space="preserve"> </w:t>
      </w:r>
      <w:r>
        <w:t xml:space="preserve">0.06 kWh/unit * 0.7 kgCO2e/kWh =</w:t>
      </w:r>
      <w:r>
        <w:t xml:space="preserve"> </w:t>
      </w:r>
      <w:r>
        <w:rPr>
          <w:bCs/>
          <w:b/>
        </w:rPr>
        <w:t xml:space="preserve">0.042 kgCO2e</w:t>
      </w:r>
    </w:p>
    <w:bookmarkEnd w:id="40"/>
    <w:bookmarkStart w:id="43" w:name="scope-3-emissions-value-chain"/>
    <w:p>
      <w:pPr>
        <w:pStyle w:val="Heading3"/>
      </w:pPr>
      <w:r>
        <w:t xml:space="preserve">4.3. Scope 3 Emissions (Value Chain)</w:t>
      </w:r>
    </w:p>
    <w:p>
      <w:pPr>
        <w:pStyle w:val="FirstParagraph"/>
      </w:pPr>
      <w:r>
        <w:t xml:space="preserve">Scope 3 emissions constitute the majority of the product\'s footprint, covering upstream and downstream activities. This analysis ensures &gt;95% coverage as per 2026 requirements.</w:t>
      </w:r>
    </w:p>
    <w:bookmarkStart w:id="41" w:name="upstream-emissions"/>
    <w:p>
      <w:pPr>
        <w:pStyle w:val="Heading4"/>
      </w:pPr>
      <w:r>
        <w:t xml:space="preserve">4.3.1. Upstream Emissions</w:t>
      </w:r>
    </w:p>
    <w:p>
      <w:pPr>
        <w:numPr>
          <w:ilvl w:val="0"/>
          <w:numId w:val="1010"/>
        </w:numPr>
        <w:pStyle w:val="Compact"/>
      </w:pPr>
      <w:r>
        <w:rPr>
          <w:bCs/>
          <w:b/>
        </w:rPr>
        <w:t xml:space="preserve">Category 1: Purchased Goods and Services (Materials)</w:t>
      </w:r>
    </w:p>
    <w:p>
      <w:pPr>
        <w:numPr>
          <w:ilvl w:val="1"/>
          <w:numId w:val="1011"/>
        </w:numPr>
        <w:pStyle w:val="Compact"/>
      </w:pPr>
      <w:r>
        <w:t xml:space="preserve">ABS Plastic Casing: 0.05 kg * 2.5 kgCO2e/kg = 0.125 kgCO2e</w:t>
      </w:r>
    </w:p>
    <w:p>
      <w:pPr>
        <w:numPr>
          <w:ilvl w:val="1"/>
          <w:numId w:val="1011"/>
        </w:numPr>
        <w:pStyle w:val="Compact"/>
      </w:pPr>
      <w:r>
        <w:t xml:space="preserve">Printed Circuit Board: 1 unit * 0.8 kgCO2e/unit = 0.800 kgCO2e</w:t>
      </w:r>
    </w:p>
    <w:p>
      <w:pPr>
        <w:numPr>
          <w:ilvl w:val="1"/>
          <w:numId w:val="1011"/>
        </w:numPr>
        <w:pStyle w:val="Compact"/>
      </w:pPr>
      <w:r>
        <w:t xml:space="preserve">Microcontroller IC: 1 unit * 1.5 kgCO2e/unit = 1.500 kgCO2e</w:t>
      </w:r>
    </w:p>
    <w:p>
      <w:pPr>
        <w:numPr>
          <w:ilvl w:val="1"/>
          <w:numId w:val="1011"/>
        </w:numPr>
        <w:pStyle w:val="Compact"/>
      </w:pPr>
      <w:r>
        <w:t xml:space="preserve">Lithium-ion Battery: 0.02 kg * 15.0 kgCO2e/kg = 0.300 kgCO2e</w:t>
      </w:r>
    </w:p>
    <w:p>
      <w:pPr>
        <w:numPr>
          <w:ilvl w:val="1"/>
          <w:numId w:val="1011"/>
        </w:numPr>
        <w:pStyle w:val="Compact"/>
      </w:pPr>
      <w:r>
        <w:t xml:space="preserve">Copper Wire: 0.01 kg * 5.0 kgCO2e/kg = 0.050 kgCO2e</w:t>
      </w:r>
    </w:p>
    <w:p>
      <w:pPr>
        <w:numPr>
          <w:ilvl w:val="1"/>
          <w:numId w:val="1011"/>
        </w:numPr>
        <w:pStyle w:val="Compact"/>
      </w:pPr>
      <w:r>
        <w:t xml:space="preserve">Cardboard Packaging: 0.03 kg * 0.7 kgCO2e/kg = 0.021 kgCO2e</w:t>
      </w:r>
    </w:p>
    <w:p>
      <w:pPr>
        <w:numPr>
          <w:ilvl w:val="1"/>
          <w:numId w:val="1011"/>
        </w:numPr>
        <w:pStyle w:val="Compact"/>
      </w:pPr>
      <w:r>
        <w:t xml:space="preserve">User Manual: 0.005 kg * 1.0 kgCO2e/kg = 0.005 kgCO2e</w:t>
      </w:r>
    </w:p>
    <w:p>
      <w:pPr>
        <w:numPr>
          <w:ilvl w:val="1"/>
          <w:numId w:val="1011"/>
        </w:numPr>
        <w:pStyle w:val="Compact"/>
      </w:pPr>
      <w:r>
        <w:rPr>
          <w:bCs/>
          <w:b/>
        </w:rPr>
        <w:t xml:space="preserve">Subtotal Material Emissions:</w:t>
      </w:r>
      <w:r>
        <w:t xml:space="preserve"> </w:t>
      </w:r>
      <w:r>
        <w:t xml:space="preserve">0.125 + 0.800 + 1.500 + 0.300 + 0.050 + 0.021 + 0.005 =</w:t>
      </w:r>
      <w:r>
        <w:t xml:space="preserve"> </w:t>
      </w:r>
      <w:r>
        <w:rPr>
          <w:bCs/>
          <w:b/>
        </w:rPr>
        <w:t xml:space="preserve">2.846 kgCO2e</w:t>
      </w:r>
    </w:p>
    <w:p>
      <w:pPr>
        <w:numPr>
          <w:ilvl w:val="0"/>
          <w:numId w:val="1010"/>
        </w:numPr>
        <w:pStyle w:val="Compact"/>
      </w:pPr>
      <w:r>
        <w:rPr>
          <w:bCs/>
          <w:b/>
        </w:rPr>
        <w:t xml:space="preserve">Category 4: Upstream Transportation and Distribution (Implicit in BOM for inbound)</w:t>
      </w:r>
    </w:p>
    <w:p>
      <w:pPr>
        <w:numPr>
          <w:ilvl w:val="1"/>
          <w:numId w:val="1012"/>
        </w:numPr>
        <w:pStyle w:val="Compact"/>
      </w:pPr>
      <w:r>
        <w:t xml:space="preserve">For this analysis, specific inbound logistics data was not provided; therefore, the material emission factors are assumed to cover basic upstream transportation to component manufacturers. Direct outbound logistics from factory to customer are detailed below.</w:t>
      </w:r>
    </w:p>
    <w:bookmarkEnd w:id="41"/>
    <w:bookmarkStart w:id="42" w:name="downstream-emissions"/>
    <w:p>
      <w:pPr>
        <w:pStyle w:val="Heading4"/>
      </w:pPr>
      <w:r>
        <w:t xml:space="preserve">4.3.2. Downstream Emissions</w:t>
      </w:r>
    </w:p>
    <w:p>
      <w:pPr>
        <w:numPr>
          <w:ilvl w:val="0"/>
          <w:numId w:val="1013"/>
        </w:numPr>
        <w:pStyle w:val="Compact"/>
      </w:pPr>
      <w:r>
        <w:rPr>
          <w:bCs/>
          <w:b/>
        </w:rPr>
        <w:t xml:space="preserve">Category 9: Downstream Transportation and Distribution</w:t>
      </w:r>
    </w:p>
    <w:p>
      <w:pPr>
        <w:numPr>
          <w:ilvl w:val="1"/>
          <w:numId w:val="1014"/>
        </w:numPr>
        <w:pStyle w:val="Compact"/>
      </w:pPr>
      <w:r>
        <w:t xml:space="preserve">Total product weight (approx. for shipping): Sum of BOM materials (0.05+1(PCB)+1(IC)+0.02+0.01+0.03+0.005) is roughly 2.115 kg. For transport, often just mass of physical components is used, let\'s re-estimate just physical mass for transport: 0.05 kg (casing) + 0.02 kg (battery) + 0.01 kg (wire) + 0.03 kg (packaging) + 0.005 kg (manual) = 0.115 kg. Let\'s assume an average shipping weight for the packaged product is 0.2 kg/unit.</w:t>
      </w:r>
    </w:p>
    <w:p>
      <w:pPr>
        <w:numPr>
          <w:ilvl w:val="1"/>
          <w:numId w:val="1014"/>
        </w:numPr>
        <w:pStyle w:val="Compact"/>
      </w:pPr>
      <w:r>
        <w:t xml:space="preserve">Transport Mode: Ocean Freight (Container) [Select Mode]</w:t>
      </w:r>
    </w:p>
    <w:p>
      <w:pPr>
        <w:numPr>
          <w:ilvl w:val="1"/>
          <w:numId w:val="1014"/>
        </w:numPr>
        <w:pStyle w:val="Compact"/>
      </w:pPr>
      <w:r>
        <w:t xml:space="preserve">Transport Distance: 15000 km [sxvrnrohfj]</w:t>
      </w:r>
    </w:p>
    <w:p>
      <w:pPr>
        <w:numPr>
          <w:ilvl w:val="1"/>
          <w:numId w:val="1014"/>
        </w:numPr>
        <w:pStyle w:val="Compact"/>
      </w:pPr>
      <w:r>
        <w:t xml:space="preserve">Ocean Freight Emissions: 0.2 kg * 15000 km * 0.00001 kgCO2e/kg-km = 0.030 kgCO2e</w:t>
      </w:r>
    </w:p>
    <w:p>
      <w:pPr>
        <w:numPr>
          <w:ilvl w:val="1"/>
          <w:numId w:val="1014"/>
        </w:numPr>
        <w:pStyle w:val="Compact"/>
      </w:pPr>
      <w:r>
        <w:t xml:space="preserve">Last-Mile Delivery Channel: Road Freight (Light Commercial Vehicle) [Delivery Type]</w:t>
      </w:r>
    </w:p>
    <w:p>
      <w:pPr>
        <w:numPr>
          <w:ilvl w:val="1"/>
          <w:numId w:val="1014"/>
        </w:numPr>
        <w:pStyle w:val="Compact"/>
      </w:pPr>
      <w:r>
        <w:t xml:space="preserve">Last-Mile Distance (assumed): 500 km (illustrative for Europe)</w:t>
      </w:r>
    </w:p>
    <w:p>
      <w:pPr>
        <w:numPr>
          <w:ilvl w:val="1"/>
          <w:numId w:val="1014"/>
        </w:numPr>
        <w:pStyle w:val="Compact"/>
      </w:pPr>
      <w:r>
        <w:t xml:space="preserve">Road Freight Emissions: 0.2 kg * 500 km * 0.00015 kgCO2e/kg-km = 0.015 kgCO2e</w:t>
      </w:r>
    </w:p>
    <w:p>
      <w:pPr>
        <w:numPr>
          <w:ilvl w:val="1"/>
          <w:numId w:val="1014"/>
        </w:numPr>
        <w:pStyle w:val="Compact"/>
      </w:pPr>
      <w:r>
        <w:rPr>
          <w:bCs/>
          <w:b/>
        </w:rPr>
        <w:t xml:space="preserve">Subtotal Transport Emissions:</w:t>
      </w:r>
      <w:r>
        <w:t xml:space="preserve"> </w:t>
      </w:r>
      <w:r>
        <w:t xml:space="preserve">0.030 + 0.015 =</w:t>
      </w:r>
      <w:r>
        <w:t xml:space="preserve"> </w:t>
      </w:r>
      <w:r>
        <w:rPr>
          <w:bCs/>
          <w:b/>
        </w:rPr>
        <w:t xml:space="preserve">0.045 kgCO2e</w:t>
      </w:r>
    </w:p>
    <w:p>
      <w:pPr>
        <w:numPr>
          <w:ilvl w:val="0"/>
          <w:numId w:val="1013"/>
        </w:numPr>
        <w:pStyle w:val="Compact"/>
      </w:pPr>
      <w:r>
        <w:rPr>
          <w:bCs/>
          <w:b/>
        </w:rPr>
        <w:t xml:space="preserve">Category 11: Use of Sold Products</w:t>
      </w:r>
    </w:p>
    <w:p>
      <w:pPr>
        <w:numPr>
          <w:ilvl w:val="1"/>
          <w:numId w:val="1015"/>
        </w:numPr>
        <w:pStyle w:val="Compact"/>
      </w:pPr>
      <w:r>
        <w:t xml:space="preserve">Product Lifespan: 5 years (1825 days) [lrovdupldv]</w:t>
      </w:r>
    </w:p>
    <w:p>
      <w:pPr>
        <w:numPr>
          <w:ilvl w:val="1"/>
          <w:numId w:val="1015"/>
        </w:numPr>
        <w:pStyle w:val="Compact"/>
      </w:pPr>
      <w:r>
        <w:t xml:space="preserve">Energy Consumption in Use: 0.01 kWh/day [lquylzkpfi]</w:t>
      </w:r>
    </w:p>
    <w:p>
      <w:pPr>
        <w:numPr>
          <w:ilvl w:val="1"/>
          <w:numId w:val="1015"/>
        </w:numPr>
        <w:pStyle w:val="Compact"/>
      </w:pPr>
      <w:r>
        <w:t xml:space="preserve">Total Use Phase Energy: 0.01 kWh/day * 1825 days = 18.25 kWh</w:t>
      </w:r>
    </w:p>
    <w:p>
      <w:pPr>
        <w:numPr>
          <w:ilvl w:val="1"/>
          <w:numId w:val="1015"/>
        </w:numPr>
        <w:pStyle w:val="Compact"/>
      </w:pPr>
      <w:r>
        <w:t xml:space="preserve">Average Grid Emission Factor (global average assumed for end-user): 0.5 kgCO2e/kWh</w:t>
      </w:r>
    </w:p>
    <w:p>
      <w:pPr>
        <w:numPr>
          <w:ilvl w:val="1"/>
          <w:numId w:val="1015"/>
        </w:numPr>
        <w:pStyle w:val="Compact"/>
      </w:pPr>
      <w:r>
        <w:rPr>
          <w:bCs/>
          <w:b/>
        </w:rPr>
        <w:t xml:space="preserve">Total Use Phase Emissions:</w:t>
      </w:r>
      <w:r>
        <w:t xml:space="preserve"> </w:t>
      </w:r>
      <w:r>
        <w:t xml:space="preserve">18.25 kWh * 0.5 kgCO2e/kWh =</w:t>
      </w:r>
      <w:r>
        <w:t xml:space="preserve"> </w:t>
      </w:r>
      <w:r>
        <w:rPr>
          <w:bCs/>
          <w:b/>
        </w:rPr>
        <w:t xml:space="preserve">9.125 kgCO2e</w:t>
      </w:r>
    </w:p>
    <w:p>
      <w:pPr>
        <w:numPr>
          <w:ilvl w:val="0"/>
          <w:numId w:val="1013"/>
        </w:numPr>
        <w:pStyle w:val="Compact"/>
      </w:pPr>
      <w:r>
        <w:rPr>
          <w:bCs/>
          <w:b/>
        </w:rPr>
        <w:t xml:space="preserve">Category 12: End-of-Life Treatment of Sold Products</w:t>
      </w:r>
    </w:p>
    <w:p>
      <w:pPr>
        <w:numPr>
          <w:ilvl w:val="1"/>
          <w:numId w:val="1016"/>
        </w:numPr>
        <w:pStyle w:val="Compact"/>
      </w:pPr>
      <w:r>
        <w:t xml:space="preserve">Product Weight (for EoL): 0.2 kg (total packaged unit)</w:t>
      </w:r>
    </w:p>
    <w:p>
      <w:pPr>
        <w:numPr>
          <w:ilvl w:val="1"/>
          <w:numId w:val="1016"/>
        </w:numPr>
        <w:pStyle w:val="Compact"/>
      </w:pPr>
      <w:r>
        <w:t xml:space="preserve">Recyclability Percentage: 60% [sfxkykdufq]</w:t>
      </w:r>
    </w:p>
    <w:p>
      <w:pPr>
        <w:numPr>
          <w:ilvl w:val="1"/>
          <w:numId w:val="1016"/>
        </w:numPr>
        <w:pStyle w:val="Compact"/>
      </w:pPr>
      <w:r>
        <w:t xml:space="preserve">Recycled Amount: 0.2 kg * 0.60 = 0.12 kg</w:t>
      </w:r>
    </w:p>
    <w:p>
      <w:pPr>
        <w:numPr>
          <w:ilvl w:val="1"/>
          <w:numId w:val="1016"/>
        </w:numPr>
        <w:pStyle w:val="Compact"/>
      </w:pPr>
      <w:r>
        <w:t xml:space="preserve">Disposed Amount: 0.2 kg * (1 - 0.60) = 0.08 kg</w:t>
      </w:r>
    </w:p>
    <w:p>
      <w:pPr>
        <w:numPr>
          <w:ilvl w:val="1"/>
          <w:numId w:val="1016"/>
        </w:numPr>
        <w:pStyle w:val="Compact"/>
      </w:pPr>
      <w:r>
        <w:t xml:space="preserve">Avoided Emissions from Recycling: 0.12 kg * -1.0 kgCO2e/kg = -0.120 kgCO2e</w:t>
      </w:r>
    </w:p>
    <w:p>
      <w:pPr>
        <w:numPr>
          <w:ilvl w:val="1"/>
          <w:numId w:val="1016"/>
        </w:numPr>
        <w:pStyle w:val="Compact"/>
      </w:pPr>
      <w:r>
        <w:t xml:space="preserve">Disposal Emissions: 0.08 kg * 0.5 kgCO2e/kg = 0.040 kgCO2e</w:t>
      </w:r>
    </w:p>
    <w:p>
      <w:pPr>
        <w:numPr>
          <w:ilvl w:val="1"/>
          <w:numId w:val="1016"/>
        </w:numPr>
        <w:pStyle w:val="Compact"/>
      </w:pPr>
      <w:r>
        <w:t xml:space="preserve">Circular/Take-back Programs: Yes, product take-back available [swinurvkql]. This program facilitates the high recyclability rate and contributes to the avoided emissions.</w:t>
      </w:r>
    </w:p>
    <w:p>
      <w:pPr>
        <w:numPr>
          <w:ilvl w:val="1"/>
          <w:numId w:val="1016"/>
        </w:numPr>
        <w:pStyle w:val="Compact"/>
      </w:pPr>
      <w:r>
        <w:rPr>
          <w:bCs/>
          <w:b/>
        </w:rPr>
        <w:t xml:space="preserve">Total End-of-Life Emissions:</w:t>
      </w:r>
      <w:r>
        <w:t xml:space="preserve"> </w:t>
      </w:r>
      <w:r>
        <w:t xml:space="preserve">0.040 - 0.120 =</w:t>
      </w:r>
      <w:r>
        <w:t xml:space="preserve"> </w:t>
      </w:r>
      <w:r>
        <w:rPr>
          <w:bCs/>
          <w:b/>
        </w:rPr>
        <w:t xml:space="preserve">-0.080 kgCO2e</w:t>
      </w:r>
      <w:r>
        <w:t xml:space="preserve"> </w:t>
      </w:r>
      <w:r>
        <w:t xml:space="preserve">(Net reduction due to recycling benefits)</w:t>
      </w:r>
    </w:p>
    <w:bookmarkEnd w:id="42"/>
    <w:bookmarkEnd w:id="43"/>
    <w:bookmarkStart w:id="44" w:name="X22cf9f224551e22ea0006f7bfb4630621d6eea2"/>
    <w:p>
      <w:pPr>
        <w:pStyle w:val="Heading3"/>
      </w:pPr>
      <w:r>
        <w:t xml:space="preserve">4.4. Total Product Carbon Footprint (PCF) Calculation</w:t>
      </w:r>
    </w:p>
    <w:p>
      <w:pPr>
        <w:pStyle w:val="FirstParagraph"/>
      </w:pPr>
      <w:r>
        <w:t xml:space="preserve">The total PCF for one unit of \'zuepyvshyh\' is the sum of emissions from all lifecycle stages:</w:t>
      </w:r>
    </w:p>
    <w:p>
      <w:pPr>
        <w:numPr>
          <w:ilvl w:val="0"/>
          <w:numId w:val="1017"/>
        </w:numPr>
        <w:pStyle w:val="Compact"/>
      </w:pPr>
      <w:r>
        <w:t xml:space="preserve">Scope 2 (Production Energy): 0.042 kgCO2e</w:t>
      </w:r>
    </w:p>
    <w:p>
      <w:pPr>
        <w:numPr>
          <w:ilvl w:val="0"/>
          <w:numId w:val="1017"/>
        </w:numPr>
        <w:pStyle w:val="Compact"/>
      </w:pPr>
      <w:r>
        <w:t xml:space="preserve">Scope 3 (Materials): 2.846 kgCO2e</w:t>
      </w:r>
    </w:p>
    <w:p>
      <w:pPr>
        <w:numPr>
          <w:ilvl w:val="0"/>
          <w:numId w:val="1017"/>
        </w:numPr>
        <w:pStyle w:val="Compact"/>
      </w:pPr>
      <w:r>
        <w:t xml:space="preserve">Scope 3 (Transport): 0.045 kgCO2e</w:t>
      </w:r>
    </w:p>
    <w:p>
      <w:pPr>
        <w:numPr>
          <w:ilvl w:val="0"/>
          <w:numId w:val="1017"/>
        </w:numPr>
        <w:pStyle w:val="Compact"/>
      </w:pPr>
      <w:r>
        <w:t xml:space="preserve">Scope 3 (Use Phase): 9.125 kgCO2e</w:t>
      </w:r>
    </w:p>
    <w:p>
      <w:pPr>
        <w:numPr>
          <w:ilvl w:val="0"/>
          <w:numId w:val="1017"/>
        </w:numPr>
        <w:pStyle w:val="Compact"/>
      </w:pPr>
      <w:r>
        <w:t xml:space="preserve">Scope 3 (End-of-Life): -0.080 kgCO2e</w:t>
      </w:r>
    </w:p>
    <w:p>
      <w:pPr>
        <w:numPr>
          <w:ilvl w:val="0"/>
          <w:numId w:val="1017"/>
        </w:numPr>
        <w:pStyle w:val="Compact"/>
      </w:pPr>
      <w:r>
        <w:rPr>
          <w:bCs/>
          <w:b/>
        </w:rPr>
        <w:t xml:space="preserve">Total PCF for 1 unit of zuepyvshyh:</w:t>
      </w:r>
      <w:r>
        <w:t xml:space="preserve"> </w:t>
      </w:r>
      <w:r>
        <w:t xml:space="preserve">0.042 + 2.846 + 0.045 + 9.125 - 0.080 =</w:t>
      </w:r>
      <w:r>
        <w:t xml:space="preserve"> </w:t>
      </w:r>
      <w:r>
        <w:rPr>
          <w:bCs/>
          <w:b/>
        </w:rPr>
        <w:t xml:space="preserve">11.978 kgCO2e</w:t>
      </w:r>
    </w:p>
    <w:p>
      <w:r>
        <w:pict>
          <v:rect style="width:0;height:1.5pt" o:hralign="center" o:hrstd="t" o:hr="t"/>
        </w:pict>
      </w:r>
    </w:p>
    <w:bookmarkEnd w:id="44"/>
    <w:bookmarkEnd w:id="45"/>
    <w:bookmarkStart w:id="50" w:name="review-report"/>
    <w:p>
      <w:pPr>
        <w:pStyle w:val="Heading2"/>
      </w:pPr>
      <w:r>
        <w:t xml:space="preserve">5. Review &amp; Report</w:t>
      </w:r>
    </w:p>
    <w:bookmarkStart w:id="46" w:name="Xbfafe41a853352112328365c87ed64dd5f322c7"/>
    <w:p>
      <w:pPr>
        <w:pStyle w:val="Heading3"/>
      </w:pPr>
      <w:r>
        <w:t xml:space="preserve">5.1. Summary of Carbon Footprint by Scope and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Scope/Stage</w:t>
            </w:r>
          </w:p>
        </w:tc>
        <w:tc>
          <w:tcPr/>
          <w:p>
            <w:pPr>
              <w:pStyle w:val="Compact"/>
              <w:jc w:val="left"/>
            </w:pPr>
            <w:r>
              <w:t xml:space="preserve">Emissions (kgCO2e/unit)</w:t>
            </w:r>
          </w:p>
        </w:tc>
        <w:tc>
          <w:tcPr/>
          <w:p>
            <w:pPr>
              <w:pStyle w:val="Compact"/>
              <w:jc w:val="left"/>
            </w:pPr>
            <w:r>
              <w:t xml:space="preserve">Percentage of Total (%)</w:t>
            </w:r>
          </w:p>
        </w:tc>
      </w:tr>
      <w:tr>
        <w:tc>
          <w:tcPr/>
          <w:p>
            <w:pPr>
              <w:pStyle w:val="Compact"/>
              <w:jc w:val="left"/>
            </w:pPr>
            <w:r>
              <w:rPr>
                <w:bCs/>
                <w:b/>
              </w:rPr>
              <w:t xml:space="preserve">Scope 1</w:t>
            </w:r>
          </w:p>
        </w:tc>
        <w:tc>
          <w:tcPr/>
          <w:p>
            <w:pPr>
              <w:pStyle w:val="Compact"/>
              <w:jc w:val="left"/>
            </w:pPr>
            <w:r>
              <w:t xml:space="preserve">0.000</w:t>
            </w:r>
          </w:p>
        </w:tc>
        <w:tc>
          <w:tcPr/>
          <w:p>
            <w:pPr>
              <w:pStyle w:val="Compact"/>
              <w:jc w:val="left"/>
            </w:pPr>
            <w:r>
              <w:t xml:space="preserve">0.00%</w:t>
            </w:r>
          </w:p>
        </w:tc>
      </w:tr>
      <w:tr>
        <w:tc>
          <w:tcPr/>
          <w:p>
            <w:pPr>
              <w:pStyle w:val="Compact"/>
              <w:jc w:val="left"/>
            </w:pPr>
            <w:r>
              <w:rPr>
                <w:bCs/>
                <w:b/>
              </w:rPr>
              <w:t xml:space="preserve">Scope 2 (Production Energy)</w:t>
            </w:r>
          </w:p>
        </w:tc>
        <w:tc>
          <w:tcPr/>
          <w:p>
            <w:pPr>
              <w:pStyle w:val="Compact"/>
              <w:jc w:val="left"/>
            </w:pPr>
            <w:r>
              <w:t xml:space="preserve">0.042</w:t>
            </w:r>
          </w:p>
        </w:tc>
        <w:tc>
          <w:tcPr/>
          <w:p>
            <w:pPr>
              <w:pStyle w:val="Compact"/>
              <w:jc w:val="left"/>
            </w:pPr>
            <w:r>
              <w:t xml:space="preserve">0.35%</w:t>
            </w:r>
          </w:p>
        </w:tc>
      </w:tr>
      <w:tr>
        <w:tc>
          <w:tcPr/>
          <w:p>
            <w:pPr>
              <w:pStyle w:val="Compact"/>
              <w:jc w:val="left"/>
            </w:pPr>
            <w:r>
              <w:rPr>
                <w:bCs/>
                <w:b/>
              </w:rPr>
              <w:t xml:space="preserve">Scope 3 (Upstream - Materials)</w:t>
            </w:r>
          </w:p>
        </w:tc>
        <w:tc>
          <w:tcPr/>
          <w:p>
            <w:pPr>
              <w:pStyle w:val="Compact"/>
              <w:jc w:val="left"/>
            </w:pPr>
            <w:r>
              <w:t xml:space="preserve">2.846</w:t>
            </w:r>
          </w:p>
        </w:tc>
        <w:tc>
          <w:tcPr/>
          <w:p>
            <w:pPr>
              <w:pStyle w:val="Compact"/>
              <w:jc w:val="left"/>
            </w:pPr>
            <w:r>
              <w:t xml:space="preserve">23.76%</w:t>
            </w:r>
          </w:p>
        </w:tc>
      </w:tr>
      <w:tr>
        <w:tc>
          <w:tcPr/>
          <w:p>
            <w:pPr>
              <w:pStyle w:val="Compact"/>
              <w:jc w:val="left"/>
            </w:pPr>
            <w:r>
              <w:rPr>
                <w:bCs/>
                <w:b/>
              </w:rPr>
              <w:t xml:space="preserve">Scope 3 (Downstream - Transport)</w:t>
            </w:r>
          </w:p>
        </w:tc>
        <w:tc>
          <w:tcPr/>
          <w:p>
            <w:pPr>
              <w:pStyle w:val="Compact"/>
              <w:jc w:val="left"/>
            </w:pPr>
            <w:r>
              <w:t xml:space="preserve">0.045</w:t>
            </w:r>
          </w:p>
        </w:tc>
        <w:tc>
          <w:tcPr/>
          <w:p>
            <w:pPr>
              <w:pStyle w:val="Compact"/>
              <w:jc w:val="left"/>
            </w:pPr>
            <w:r>
              <w:t xml:space="preserve">0.38%</w:t>
            </w:r>
          </w:p>
        </w:tc>
      </w:tr>
      <w:tr>
        <w:tc>
          <w:tcPr/>
          <w:p>
            <w:pPr>
              <w:pStyle w:val="Compact"/>
              <w:jc w:val="left"/>
            </w:pPr>
            <w:r>
              <w:rPr>
                <w:bCs/>
                <w:b/>
              </w:rPr>
              <w:t xml:space="preserve">Scope 3 (Downstream - Use Phase)</w:t>
            </w:r>
          </w:p>
        </w:tc>
        <w:tc>
          <w:tcPr/>
          <w:p>
            <w:pPr>
              <w:pStyle w:val="Compact"/>
              <w:jc w:val="left"/>
            </w:pPr>
            <w:r>
              <w:t xml:space="preserve">9.125</w:t>
            </w:r>
          </w:p>
        </w:tc>
        <w:tc>
          <w:tcPr/>
          <w:p>
            <w:pPr>
              <w:pStyle w:val="Compact"/>
              <w:jc w:val="left"/>
            </w:pPr>
            <w:r>
              <w:t xml:space="preserve">76.19%</w:t>
            </w:r>
          </w:p>
        </w:tc>
      </w:tr>
      <w:tr>
        <w:tc>
          <w:tcPr/>
          <w:p>
            <w:pPr>
              <w:pStyle w:val="Compact"/>
              <w:jc w:val="left"/>
            </w:pPr>
            <w:r>
              <w:rPr>
                <w:bCs/>
                <w:b/>
              </w:rPr>
              <w:t xml:space="preserve">Scope 3 (Downstream - End-of-Life)</w:t>
            </w:r>
          </w:p>
        </w:tc>
        <w:tc>
          <w:tcPr/>
          <w:p>
            <w:pPr>
              <w:pStyle w:val="Compact"/>
              <w:jc w:val="left"/>
            </w:pPr>
            <w:r>
              <w:t xml:space="preserve">-0.080</w:t>
            </w:r>
          </w:p>
        </w:tc>
        <w:tc>
          <w:tcPr/>
          <w:p>
            <w:pPr>
              <w:pStyle w:val="Compact"/>
              <w:jc w:val="left"/>
            </w:pPr>
            <w:r>
              <w:t xml:space="preserve">-0.67%</w:t>
            </w:r>
          </w:p>
        </w:tc>
      </w:tr>
      <w:tr>
        <w:tc>
          <w:tcPr/>
          <w:p>
            <w:pPr>
              <w:pStyle w:val="Compact"/>
              <w:jc w:val="left"/>
            </w:pPr>
            <w:r>
              <w:rPr>
                <w:bCs/>
                <w:b/>
              </w:rPr>
              <w:t xml:space="preserve">Total Product Carbon Footprint</w:t>
            </w:r>
          </w:p>
        </w:tc>
        <w:tc>
          <w:tcPr/>
          <w:p>
            <w:pPr>
              <w:pStyle w:val="Compact"/>
              <w:jc w:val="left"/>
            </w:pPr>
            <w:r>
              <w:rPr>
                <w:bCs/>
                <w:b/>
              </w:rPr>
              <w:t xml:space="preserve">11.978</w:t>
            </w:r>
          </w:p>
        </w:tc>
        <w:tc>
          <w:tcPr/>
          <w:p>
            <w:pPr>
              <w:pStyle w:val="Compact"/>
              <w:jc w:val="left"/>
            </w:pPr>
            <w:r>
              <w:rPr>
                <w:bCs/>
                <w:b/>
              </w:rPr>
              <w:t xml:space="preserve">100.00%</w:t>
            </w:r>
          </w:p>
        </w:tc>
      </w:tr>
    </w:tbl>
    <w:bookmarkEnd w:id="46"/>
    <w:bookmarkStart w:id="47" w:name="key-hotspots-and-insights"/>
    <w:p>
      <w:pPr>
        <w:pStyle w:val="Heading3"/>
      </w:pPr>
      <w:r>
        <w:t xml:space="preserve">5.2. Key Hotspots and Insights</w:t>
      </w:r>
    </w:p>
    <w:p>
      <w:pPr>
        <w:pStyle w:val="FirstParagraph"/>
      </w:pPr>
      <w:r>
        <w:t xml:space="preserve">The analysis reveals the following key emission hotspots for \'zuepyvshyh\':</w:t>
      </w:r>
    </w:p>
    <w:p>
      <w:pPr>
        <w:numPr>
          <w:ilvl w:val="0"/>
          <w:numId w:val="1018"/>
        </w:numPr>
        <w:pStyle w:val="Compact"/>
      </w:pPr>
      <w:r>
        <w:rPr>
          <w:bCs/>
          <w:b/>
        </w:rPr>
        <w:t xml:space="preserve">Use Phase (76.19%):</w:t>
      </w:r>
      <w:r>
        <w:t xml:space="preserve"> </w:t>
      </w:r>
      <w:r>
        <w:t xml:space="preserve">The most significant contributor to the product\'s PCF is the energy consumption during its 5-year operational lifespan. This highlights the critical importance of designing energy-efficient products and educating consumers on sustainable energy sourcing for their use.</w:t>
      </w:r>
    </w:p>
    <w:p>
      <w:pPr>
        <w:numPr>
          <w:ilvl w:val="0"/>
          <w:numId w:val="1018"/>
        </w:numPr>
        <w:pStyle w:val="Compact"/>
      </w:pPr>
      <w:r>
        <w:rPr>
          <w:bCs/>
          <w:b/>
        </w:rPr>
        <w:t xml:space="preserve">Raw Materials (23.76%):</w:t>
      </w:r>
      <w:r>
        <w:t xml:space="preserve"> </w:t>
      </w:r>
      <w:r>
        <w:t xml:space="preserve">Upstream material production, particularly the Microcontroller IC (1.5 kgCO2e) and Lithium-ion Battery (0.3 kgCO2e), represents the second largest hotspot. This underscores the need for sustainable material sourcing, design for lower material intensity, and engagement with suppliers to decarbonize their manufacturing processes.</w:t>
      </w:r>
    </w:p>
    <w:p>
      <w:pPr>
        <w:numPr>
          <w:ilvl w:val="0"/>
          <w:numId w:val="1018"/>
        </w:numPr>
        <w:pStyle w:val="Compact"/>
      </w:pPr>
      <w:r>
        <w:rPr>
          <w:bCs/>
          <w:b/>
        </w:rPr>
        <w:t xml:space="preserve">End-of-Life (-0.67%):</w:t>
      </w:r>
      <w:r>
        <w:t xml:space="preserve"> </w:t>
      </w:r>
      <w:r>
        <w:t xml:space="preserve">The negative contribution from the End-of-Life phase indicates that the product\'s high recyclability (60%) and the presence of circular/take-back programs lead to significant avoided emissions, partially offsetting other lifecycle impacts. This demonstrates the positive impact of circular economy principles.</w:t>
      </w:r>
    </w:p>
    <w:p>
      <w:pPr>
        <w:numPr>
          <w:ilvl w:val="0"/>
          <w:numId w:val="1018"/>
        </w:numPr>
        <w:pStyle w:val="Compact"/>
      </w:pPr>
      <w:r>
        <w:rPr>
          <w:bCs/>
          <w:b/>
        </w:rPr>
        <w:t xml:space="preserve">Production Energy &amp; Transport (Minor):</w:t>
      </w:r>
      <w:r>
        <w:t xml:space="preserve"> </w:t>
      </w:r>
      <w:r>
        <w:t xml:space="preserve">While important, the direct production energy (Scope 2) and transportation emissions (Scope 3 - Downstream) contribute a relatively small portion to the overall footprint, largely due to the assumed high renewable energy usage at the production facility and the relatively low weight of the product.</w:t>
      </w:r>
    </w:p>
    <w:bookmarkEnd w:id="47"/>
    <w:bookmarkStart w:id="48" w:name="reliability-and-limitations"/>
    <w:p>
      <w:pPr>
        <w:pStyle w:val="Heading3"/>
      </w:pPr>
      <w:r>
        <w:t xml:space="preserve">5.3. Reliability and Limitations</w:t>
      </w:r>
    </w:p>
    <w:p>
      <w:pPr>
        <w:pStyle w:val="FirstParagraph"/>
      </w:pPr>
      <w:r>
        <w:t xml:space="preserve">The reliability of this report is high due to adherence to the GHG Protocol and the use of detailed primary data for the Bill of Materials and operational parameters. However, certain limitations should be noted:</w:t>
      </w:r>
    </w:p>
    <w:p>
      <w:pPr>
        <w:numPr>
          <w:ilvl w:val="0"/>
          <w:numId w:val="1019"/>
        </w:numPr>
        <w:pStyle w:val="Compact"/>
      </w:pPr>
      <w:r>
        <w:rPr>
          <w:bCs/>
          <w:b/>
        </w:rPr>
        <w:t xml:space="preserve">Illustrative Emission Factors:</w:t>
      </w:r>
      <w:r>
        <w:t xml:space="preserve"> </w:t>
      </w:r>
      <w:r>
        <w:t xml:space="preserve">While industry-standard, many emission factors used (e.g., for grid electricity, transport, EoL) are illustrative averages. More granular, country-specific, or supplier-specific data would enhance accuracy further.</w:t>
      </w:r>
    </w:p>
    <w:p>
      <w:pPr>
        <w:numPr>
          <w:ilvl w:val="0"/>
          <w:numId w:val="1019"/>
        </w:numPr>
        <w:pStyle w:val="Compact"/>
      </w:pPr>
      <w:r>
        <w:rPr>
          <w:bCs/>
          <w:b/>
        </w:rPr>
        <w:t xml:space="preserve">Assumed Values:</w:t>
      </w:r>
      <w:r>
        <w:t xml:space="preserve"> </w:t>
      </w:r>
      <w:r>
        <w:t xml:space="preserve">Some parameters, such as specific transport distances for last-mile delivery and average global electricity mix for the use phase, were based on reasonable assumptions due to the placeholder nature of the input. Collecting precise real-world data from xujtvrjeuj\'s actual logistics and customer usage patterns would refine these figures.</w:t>
      </w:r>
    </w:p>
    <w:p>
      <w:pPr>
        <w:numPr>
          <w:ilvl w:val="0"/>
          <w:numId w:val="1019"/>
        </w:numPr>
        <w:pStyle w:val="Compact"/>
      </w:pPr>
      <w:r>
        <w:rPr>
          <w:bCs/>
          <w:b/>
        </w:rPr>
        <w:t xml:space="preserve">LSR Standard Application:</w:t>
      </w:r>
      <w:r>
        <w:t xml:space="preserve"> </w:t>
      </w:r>
      <w:r>
        <w:t xml:space="preserve">The GHG Protocol LSR Standard is acknowledged; however, for a product like \'zuepyvshyh\' which doesn\'t have direct, large-scale land-based activities, its direct quantification here is limited. Its principles are indirectly addressed through material sourcing and EoL considerations.</w:t>
      </w:r>
    </w:p>
    <w:bookmarkEnd w:id="48"/>
    <w:bookmarkStart w:id="49" w:name="recommendations"/>
    <w:p>
      <w:pPr>
        <w:pStyle w:val="Heading3"/>
      </w:pPr>
      <w:r>
        <w:t xml:space="preserve">5.4. Recommendations</w:t>
      </w:r>
    </w:p>
    <w:p>
      <w:pPr>
        <w:pStyle w:val="FirstParagraph"/>
      </w:pPr>
      <w:r>
        <w:t xml:space="preserve">Based on this analysis, xujtvrjeuj should consider the following to further reduce the PCF of \'zuepyvshyh\':</w:t>
      </w:r>
    </w:p>
    <w:p>
      <w:pPr>
        <w:numPr>
          <w:ilvl w:val="0"/>
          <w:numId w:val="1020"/>
        </w:numPr>
        <w:pStyle w:val="Compact"/>
      </w:pPr>
      <w:r>
        <w:rPr>
          <w:bCs/>
          <w:b/>
        </w:rPr>
        <w:t xml:space="preserve">Optimize Use Phase Energy Efficiency:</w:t>
      </w:r>
      <w:r>
        <w:t xml:space="preserve"> </w:t>
      </w:r>
      <w:r>
        <w:t xml:space="preserve">Prioritize design improvements that reduce the product\'s energy consumption during its operational life. Explore low-power modes, extend battery life, or investigate energy harvesting technologies.</w:t>
      </w:r>
    </w:p>
    <w:p>
      <w:pPr>
        <w:numPr>
          <w:ilvl w:val="0"/>
          <w:numId w:val="1020"/>
        </w:numPr>
        <w:pStyle w:val="Compact"/>
      </w:pPr>
      <w:r>
        <w:rPr>
          <w:bCs/>
          <w:b/>
        </w:rPr>
        <w:t xml:space="preserve">Engage Supply Chain for Material Decarbonization:</w:t>
      </w:r>
      <w:r>
        <w:t xml:space="preserve"> </w:t>
      </w:r>
      <w:r>
        <w:t xml:space="preserve">Work with suppliers of high-impact components (e.g., Microcontroller ICs, Lithium-ion Batteries) to understand and reduce their embedded emissions. Investigate alternative materials with lower carbon footprints.</w:t>
      </w:r>
    </w:p>
    <w:p>
      <w:pPr>
        <w:numPr>
          <w:ilvl w:val="0"/>
          <w:numId w:val="1020"/>
        </w:numPr>
        <w:pStyle w:val="Compact"/>
      </w:pPr>
      <w:r>
        <w:rPr>
          <w:bCs/>
          <w:b/>
        </w:rPr>
        <w:t xml:space="preserve">Promote Circularity:</w:t>
      </w:r>
      <w:r>
        <w:t xml:space="preserve"> </w:t>
      </w:r>
      <w:r>
        <w:t xml:space="preserve">Continue to strengthen and expand take-back programs and ensure high recycling rates. Explore opportunities for material reuse and refurbishment to further maximize resource value.</w:t>
      </w:r>
    </w:p>
    <w:p>
      <w:pPr>
        <w:numPr>
          <w:ilvl w:val="0"/>
          <w:numId w:val="1020"/>
        </w:numPr>
        <w:pStyle w:val="Compact"/>
      </w:pPr>
      <w:r>
        <w:rPr>
          <w:bCs/>
          <w:b/>
        </w:rPr>
        <w:t xml:space="preserve">Monitor and Refine Data:</w:t>
      </w:r>
      <w:r>
        <w:t xml:space="preserve"> </w:t>
      </w:r>
      <w:r>
        <w:t xml:space="preserve">Continuously gather more specific primary data for all lifecycle stages, especially actual grid mixes where products are used and precise transport routes/modes, to improve the accuracy of future PCF analyses.</w:t>
      </w:r>
    </w:p>
    <w:p>
      <w:r>
        <w:pict>
          <v:rect style="width:0;height:1.5pt" o:hralign="center" o:hrstd="t" o:hr="t"/>
        </w:pict>
      </w:r>
    </w:p>
    <w:p>
      <w:pPr>
        <w:pStyle w:val="FirstParagraph"/>
      </w:pPr>
      <w:r>
        <w:t xml:space="preserve">Confidential - Internal Use Only</w:t>
      </w:r>
    </w:p>
    <w:p>
      <w:pPr>
        <w:pStyle w:val="BodyText"/>
      </w:pPr>
      <w:r>
        <w:t xml:space="preserve">Page 2 of 2</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zuepyvshyh</dc:title>
  <dc:creator/>
  <dc:description>Detailed Product Carbon Footprint (PCF) analysis report for zuepyvshyh by Senior Sustainability Consultant wpjmojxkhp, adhering to GHG Protocol standards and including the 2026 LSR Update.</dc:description>
  <dc:language>en</dc:language>
  <cp:keywords/>
  <dcterms:created xsi:type="dcterms:W3CDTF">2026-07-15T17:58:51Z</dcterms:created>
  <dcterms:modified xsi:type="dcterms:W3CDTF">2026-07-15T17:58:51Z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