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ztmtmuvtnm</w:t>
      </w:r>
    </w:p>
    <w:bookmarkStart w:id="20" w:name="carboncalcpcf.com"/>
    <w:p>
      <w:pPr>
        <w:pStyle w:val="Heading1"/>
      </w:pPr>
      <w:r>
        <w:t xml:space="preserve">carboncalcpcf.com</w:t>
      </w:r>
    </w:p>
    <w:p>
      <w:pPr>
        <w:pStyle w:val="FirstParagraph"/>
      </w:pPr>
      <w:r>
        <w:t xml:space="preserve">**Product Carbon Footprint (PCF) Analysis Report**</w:t>
      </w:r>
    </w:p>
    <w:p>
      <w:pPr>
        <w:pStyle w:val="BodyText"/>
      </w:pPr>
      <w:r>
        <w:t xml:space="preserve">Product: **ztmtmuvtnm**</w:t>
      </w:r>
    </w:p>
    <w:p>
      <w:pPr>
        <w:pStyle w:val="BodyText"/>
      </w:pPr>
      <w:r>
        <w:t xml:space="preserve">Company Name: **iezjxikhtm**</w:t>
      </w:r>
    </w:p>
    <w:p>
      <w:pPr>
        <w:pStyle w:val="BodyText"/>
      </w:pPr>
      <w:r>
        <w:t xml:space="preserve">Accounting Standard: **GHG Protocol**</w:t>
      </w:r>
    </w:p>
    <w:p>
      <w:pPr>
        <w:pStyle w:val="BodyText"/>
      </w:pPr>
      <w:r>
        <w:t xml:space="preserve">Senior Sustainability Consultant: **kgvtmymmng**</w:t>
      </w:r>
    </w:p>
    <w:p>
      <w:pPr>
        <w:pStyle w:val="BodyText"/>
      </w:pPr>
      <w:r>
        <w:t xml:space="preserve">*Disclaimer: This report is generated based on available data and industry standards. The accuracy of the</w:t>
      </w:r>
      <w:r>
        <w:t xml:space="preserve"> </w:t>
      </w:r>
      <w:r>
        <w:t xml:space="preserve">calculations relies heavily on the quality and completeness of the provided input parameters and publicly</w:t>
      </w:r>
      <w:r>
        <w:t xml:space="preserve"> </w:t>
      </w:r>
      <w:r>
        <w:t xml:space="preserve">available emission factors. Specific numerical results are illustrative where placeholder data was used.*</w:t>
      </w:r>
    </w:p>
    <w:bookmarkEnd w:id="20"/>
    <w:bookmarkStart w:id="21" w:name="X87d299459ec8f4620a0ba793cf38a42ccb94259"/>
    <w:p>
      <w:pPr>
        <w:pStyle w:val="Heading1"/>
      </w:pPr>
      <w:r>
        <w:t xml:space="preserve">Product Carbon Footprint Analysis for ztmtmuvtnm</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ztmtmuvtnm</w:t>
      </w:r>
      <w:r>
        <w:t xml:space="preserve">, manufactured by</w:t>
      </w:r>
      <w:r>
        <w:t xml:space="preserve"> </w:t>
      </w:r>
      <w:r>
        <w:rPr>
          <w:bCs/>
          <w:b/>
        </w:rPr>
        <w:t xml:space="preserve">iezjxikhtm</w:t>
      </w:r>
      <w:r>
        <w:t xml:space="preserve">. The analysis adheres strictly to the GHG Protocol accounting standard, incorporating the latest 2026 Land Sector and Removals (LSR) Standard updates and targeting at least 95% Scope 3 coverage. As</w:t>
      </w:r>
      <w:r>
        <w:t xml:space="preserve"> </w:t>
      </w:r>
      <w:r>
        <w:rPr>
          <w:bCs/>
          <w:b/>
        </w:rPr>
        <w:t xml:space="preserve">kgvtmymmng</w:t>
      </w:r>
      <w:r>
        <w:t xml:space="preserve">, Senior Sustainability Consultant, this assessment systematically evaluates greenhouse gas emissions across the product\'s lifecycle, from material extraction to end-of-life, providing insights into emission hotspots and recommendations for reduction. Due to the use of placeholder values for specific parameters (e.g., BOM details, transport distances, energy consumption), the numerical results presented are illustrative of the methodology rather than definitive, requiring real-world data for precise quantification.</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w:t>
      </w:r>
      <w:r>
        <w:t xml:space="preserve"> </w:t>
      </w:r>
      <w:r>
        <w:t xml:space="preserve">of</w:t>
      </w:r>
      <w:r>
        <w:t xml:space="preserve"> </w:t>
      </w:r>
      <w:r>
        <w:rPr>
          <w:bCs/>
          <w:b/>
        </w:rPr>
        <w:t xml:space="preserve">ztmtmuvtnm</w:t>
      </w:r>
      <w:r>
        <w:t xml:space="preserve">. This unit serves as the reference basis for quantifying and comparing all input and output flows throughout the product\'s lifecycle.</w:t>
      </w:r>
    </w:p>
    <w:bookmarkEnd w:id="23"/>
    <w:bookmarkStart w:id="24" w:name="system-boundaries"/>
    <w:p>
      <w:pPr>
        <w:pStyle w:val="Heading3"/>
      </w:pPr>
      <w:r>
        <w:t xml:space="preserve">System Boundaries</w:t>
      </w:r>
    </w:p>
    <w:p>
      <w:pPr>
        <w:pStyle w:val="FirstParagraph"/>
      </w:pPr>
      <w:r>
        <w:t xml:space="preserve">The system boundary for this PCF study is set as **factory_gate**. This "cradle-to-gate" approach encompasses all emissions from the extraction of raw materials, their processing, manufacturing, and all transportation up to the point where the finished product leaves the production facility (factory gate).</w:t>
      </w:r>
      <w:r>
        <w:t xml:space="preserve"> </w:t>
      </w:r>
      <w:r>
        <w:t xml:space="preserve">Future expansions could consider a "cradle-to-grave" or "cradle-to-cradle" approach to include the use and end-of-life phases more comprehensively, aligning with the detailed parameters provided for those stages.</w:t>
      </w:r>
    </w:p>
    <w:bookmarkEnd w:id="24"/>
    <w:bookmarkStart w:id="25" w:name="geographic-scope"/>
    <w:p>
      <w:pPr>
        <w:pStyle w:val="Heading3"/>
      </w:pPr>
      <w:r>
        <w:t xml:space="preserve">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p>
      <w:pPr>
        <w:pStyle w:val="FirstParagraph"/>
      </w:pPr>
      <w:r>
        <w:t xml:space="preserve">This geographic scope necessitates the use of country-specific or regional emission factors for energy grids, transportation, and material production where available, to accurately reflect the regional specificities of the supply chain and manufacturing.</w:t>
      </w:r>
    </w:p>
    <w:bookmarkEnd w:id="25"/>
    <w:bookmarkStart w:id="26" w:name="allocation"/>
    <w:p>
      <w:pPr>
        <w:pStyle w:val="Heading3"/>
      </w:pPr>
      <w:r>
        <w:t xml:space="preserve">Allocation</w:t>
      </w:r>
    </w:p>
    <w:p>
      <w:pPr>
        <w:pStyle w:val="FirstParagraph"/>
      </w:pPr>
      <w:r>
        <w:t xml:space="preserve">Where co-production or multi-functional processes occur, emissions will be allocated based on a clear and justifiable method, primarily by mass or economic value, as per GHG Protocol guidance. Specific allocation details will be elaborated during the data collection phase as required by individual processes.</w:t>
      </w:r>
    </w:p>
    <w:p>
      <w:r>
        <w:pict>
          <v:rect style="width:0;height:1.5pt" o:hralign="center" o:hrstd="t" o:hr="t"/>
        </w:pict>
      </w:r>
    </w:p>
    <w:bookmarkEnd w:id="26"/>
    <w:bookmarkEnd w:id="27"/>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points collected, categorizing them according to the GHG Protocol\'s Scope 1, 2, and 3 emissions.</w:t>
      </w:r>
    </w:p>
    <w:bookmarkStart w:id="33" w:name="lifecycle-stages-and-data-inputs"/>
    <w:p>
      <w:pPr>
        <w:pStyle w:val="Heading3"/>
      </w:pPr>
      <w:r>
        <w:t xml:space="preserve">Lifecycle Stages and Data Inputs:</w:t>
      </w:r>
    </w:p>
    <w:bookmarkStart w:id="28" w:name="Xe7d8e19b9ab4fb8a4b56dc1c85d584fbbbbd99a"/>
    <w:p>
      <w:pPr>
        <w:pStyle w:val="Heading4"/>
      </w:pPr>
      <w:r>
        <w:t xml:space="preserve">A. Raw Material Acquisition &amp; Pre-processing (Upstream - Scope 3)</w:t>
      </w:r>
    </w:p>
    <w:p>
      <w:pPr>
        <w:pStyle w:val="FirstParagraph"/>
      </w:pPr>
      <w:r>
        <w:t xml:space="preserve">This stage includes the extraction, production, and initial processing of all raw materials required for</w:t>
      </w:r>
      <w:r>
        <w:t xml:space="preserve"> </w:t>
      </w:r>
      <w:r>
        <w:rPr>
          <w:bCs/>
          <w:b/>
        </w:rPr>
        <w:t xml:space="preserve">ztmtmuvtnm</w:t>
      </w:r>
      <w:r>
        <w:t xml:space="preserve">.</w:t>
      </w:r>
    </w:p>
    <w:p>
      <w:pPr>
        <w:pStyle w:val="BodyText"/>
      </w:pPr>
      <w:r>
        <w:t xml:space="preserve">**Detailed Bill of Materials (BOM) Data (Placeholder: ovipdzqf):**</w:t>
      </w:r>
      <w:r>
        <w:t xml:space="preserve"> </w:t>
      </w:r>
      <w:r>
        <w:t xml:space="preserve">For accurate material impact calculation, the following BOM structure is utilized. In a real-world scenario, precise quantities, material types, and their associated emission factors would be sourced directly from suppliers or robust secondary databases.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(Illustrative)</w:t>
            </w:r>
          </w:p>
        </w:tc>
      </w:tr>
      <w:tr>
        <w:tc>
          <w:tcPr/>
          <w:p>
            <w:pPr>
              <w:pStyle w:val="Compact"/>
              <w:jc w:val="left"/>
            </w:pPr>
            <w:r>
              <w:t xml:space="preserve">1</w:t>
            </w:r>
          </w:p>
        </w:tc>
        <w:tc>
          <w:tcPr/>
          <w:p>
            <w:pPr>
              <w:pStyle w:val="Compact"/>
              <w:jc w:val="left"/>
            </w:pPr>
            <w:r>
              <w:t xml:space="preserve">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[ovipdzqf_qty1]</w:t>
            </w:r>
          </w:p>
        </w:tc>
        <w:tc>
          <w:tcPr/>
          <w:p>
            <w:pPr>
              <w:pStyle w:val="Compact"/>
              <w:jc w:val="left"/>
            </w:pPr>
            <w:r>
              <w:t xml:space="preserve">[ovipdzqf_unit1]</w:t>
            </w:r>
          </w:p>
        </w:tc>
        <w:tc>
          <w:tcPr/>
          <w:p>
            <w:pPr>
              <w:pStyle w:val="Compact"/>
              <w:jc w:val="left"/>
            </w:pPr>
            <w:r>
              <w:t xml:space="preserve">[ovipdzqf_EF1]</w:t>
            </w:r>
          </w:p>
        </w:tc>
        <w:tc>
          <w:tcPr/>
          <w:p>
            <w:pPr>
              <w:pStyle w:val="Compact"/>
              <w:jc w:val="left"/>
            </w:pPr>
            <w:r>
              <w:t xml:space="preserve">[ovipdzqf_TC1]</w:t>
            </w:r>
          </w:p>
        </w:tc>
      </w:tr>
      <w:tr>
        <w:tc>
          <w:tcPr/>
          <w:p>
            <w:pPr>
              <w:pStyle w:val="Compact"/>
              <w:jc w:val="left"/>
            </w:pPr>
            <w:r>
              <w:t xml:space="preserve">2</w:t>
            </w:r>
          </w:p>
        </w:tc>
        <w:tc>
          <w:tcPr/>
          <w:p>
            <w:pPr>
              <w:pStyle w:val="Compact"/>
              <w:jc w:val="left"/>
            </w:pPr>
            <w:r>
              <w:t xml:space="preserve">Material B</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[ovipdzqf_qty2]</w:t>
            </w:r>
          </w:p>
        </w:tc>
        <w:tc>
          <w:tcPr/>
          <w:p>
            <w:pPr>
              <w:pStyle w:val="Compact"/>
              <w:jc w:val="left"/>
            </w:pPr>
            <w:r>
              <w:t xml:space="preserve">[ovipdzqf_unit2]</w:t>
            </w:r>
          </w:p>
        </w:tc>
        <w:tc>
          <w:tcPr/>
          <w:p>
            <w:pPr>
              <w:pStyle w:val="Compact"/>
              <w:jc w:val="left"/>
            </w:pPr>
            <w:r>
              <w:t xml:space="preserve">[ovipdzqf_EF2]</w:t>
            </w:r>
          </w:p>
        </w:tc>
        <w:tc>
          <w:tcPr/>
          <w:p>
            <w:pPr>
              <w:pStyle w:val="Compact"/>
              <w:jc w:val="left"/>
            </w:pPr>
            <w:r>
              <w:t xml:space="preserve">[ovipdzqf_TC2]</w:t>
            </w:r>
          </w:p>
        </w:tc>
      </w:tr>
      <w:tr>
        <w:tc>
          <w:tcPr/>
          <w:p>
            <w:pPr>
              <w:pStyle w:val="Compact"/>
              <w:jc w:val="left"/>
            </w:pPr>
            <w:r>
              <w:t xml:space="preserve">3</w:t>
            </w:r>
          </w:p>
        </w:tc>
        <w:tc>
          <w:tcPr/>
          <w:p>
            <w:pPr>
              <w:pStyle w:val="Compact"/>
              <w:jc w:val="left"/>
            </w:pPr>
            <w:r>
              <w:t xml:space="preserve">Material C</w:t>
            </w:r>
          </w:p>
        </w:tc>
        <w:tc>
          <w:tcPr/>
          <w:p>
            <w:pPr>
              <w:pStyle w:val="Compact"/>
              <w:jc w:val="left"/>
            </w:pPr>
            <w:r>
              <w:t xml:space="preserve">Silicon</w:t>
            </w:r>
          </w:p>
        </w:tc>
        <w:tc>
          <w:tcPr/>
          <w:p>
            <w:pPr>
              <w:pStyle w:val="Compact"/>
              <w:jc w:val="left"/>
            </w:pPr>
            <w:r>
              <w:t xml:space="preserve">Semiconductor Mfg.</w:t>
            </w:r>
          </w:p>
        </w:tc>
        <w:tc>
          <w:tcPr/>
          <w:p>
            <w:pPr>
              <w:pStyle w:val="Compact"/>
              <w:jc w:val="left"/>
            </w:pPr>
            <w:r>
              <w:t xml:space="preserve">[ovipdzqf_qty3]</w:t>
            </w:r>
          </w:p>
        </w:tc>
        <w:tc>
          <w:tcPr/>
          <w:p>
            <w:pPr>
              <w:pStyle w:val="Compact"/>
              <w:jc w:val="left"/>
            </w:pPr>
            <w:r>
              <w:t xml:space="preserve">[ovipdzqf_unit3]</w:t>
            </w:r>
          </w:p>
        </w:tc>
        <w:tc>
          <w:tcPr/>
          <w:p>
            <w:pPr>
              <w:pStyle w:val="Compact"/>
              <w:jc w:val="left"/>
            </w:pPr>
            <w:r>
              <w:t xml:space="preserve">[ovipdzqf_EF3]</w:t>
            </w:r>
          </w:p>
        </w:tc>
        <w:tc>
          <w:tcPr/>
          <w:p>
            <w:pPr>
              <w:pStyle w:val="Compact"/>
              <w:jc w:val="left"/>
            </w:pPr>
            <w:r>
              <w:t xml:space="preserve">[ovipdzqf_TC3]</w:t>
            </w:r>
          </w:p>
        </w:tc>
      </w:tr>
    </w:tbl>
    <w:p>
      <w:pPr>
        <w:pStyle w:val="BodyText"/>
      </w:pPr>
      <w:r>
        <w:rPr>
          <w:iCs/>
          <w:i/>
        </w:rPr>
        <w:t xml:space="preserve">Note: The specific values for Quantity, Unit, Emission Factor, and Total Carbon for each BOM item are placeholders (`ovipdzqf_...`) and would be replaced with actual, precise data for a definitive calculation.</w:t>
      </w:r>
    </w:p>
    <w:bookmarkEnd w:id="28"/>
    <w:bookmarkStart w:id="29" w:name="b.-manufacturing-production-phase"/>
    <w:p>
      <w:pPr>
        <w:pStyle w:val="Heading4"/>
      </w:pPr>
      <w:r>
        <w:t xml:space="preserve">B. Manufacturing (Production Phase)</w:t>
      </w:r>
    </w:p>
    <w:p>
      <w:pPr>
        <w:pStyle w:val="FirstParagraph"/>
      </w:pPr>
      <w:r>
        <w:t xml:space="preserve">This stage covers all processes at the iezjxikhtm manufacturing facility in China, up to the factory gate.</w:t>
      </w:r>
    </w:p>
    <w:p>
      <w:pPr>
        <w:numPr>
          <w:ilvl w:val="0"/>
          <w:numId w:val="1002"/>
        </w:numPr>
        <w:pStyle w:val="Compact"/>
      </w:pPr>
      <w:r>
        <w:t xml:space="preserve">**Energy Intensity (kWh/unit):** `zunfdllxgu` kWh/unit</w:t>
      </w:r>
    </w:p>
    <w:p>
      <w:pPr>
        <w:numPr>
          <w:ilvl w:val="0"/>
          <w:numId w:val="1002"/>
        </w:numPr>
        <w:pStyle w:val="Compact"/>
      </w:pPr>
      <w:r>
        <w:t xml:space="preserve">**Renewable Energy Usage:** `wslrpmvgid`% (This percentage will be used to calculate the grid electricity portion and the renewable electricity portion of total energy consumption, applying appropriate emission factors).</w:t>
      </w:r>
    </w:p>
    <w:p>
      <w:pPr>
        <w:numPr>
          <w:ilvl w:val="0"/>
          <w:numId w:val="1002"/>
        </w:numPr>
        <w:pStyle w:val="Compact"/>
      </w:pPr>
      <w:r>
        <w:t xml:space="preserve">**Direct Emissions (Scope 1):** Emissions from company-owned or controlled sources, such as on-site fuel combustion for heating or owned vehicles (if applicable within the factory_gate boundary).</w:t>
      </w:r>
    </w:p>
    <w:p>
      <w:pPr>
        <w:numPr>
          <w:ilvl w:val="0"/>
          <w:numId w:val="1002"/>
        </w:numPr>
        <w:pStyle w:val="Compact"/>
      </w:pPr>
      <w:r>
        <w:t xml:space="preserve">**Indirect Emissions from Purchased Energy (Scope 2):** Emissions from the generation of purchased electricity, heat, or steam.</w:t>
      </w:r>
    </w:p>
    <w:bookmarkEnd w:id="29"/>
    <w:bookmarkStart w:id="30" w:name="X9b43ddd4fc4bfad14195b7a58881435f48b9f52"/>
    <w:p>
      <w:pPr>
        <w:pStyle w:val="Heading4"/>
      </w:pPr>
      <w:r>
        <w:t xml:space="preserve">C. Transportation &amp; Distribution (Upstream &amp; Downstream - Scope 3)</w:t>
      </w:r>
    </w:p>
    <w:p>
      <w:pPr>
        <w:pStyle w:val="FirstParagraph"/>
      </w:pPr>
      <w:r>
        <w:t xml:space="preserve">This includes transport of raw materials to the factory and transport of finished goods from the factory gate to the customer\'s initial receipt point, considering the Europe-focused supply chain.</w:t>
      </w:r>
    </w:p>
    <w:p>
      <w:pPr>
        <w:numPr>
          <w:ilvl w:val="0"/>
          <w:numId w:val="1003"/>
        </w:numPr>
        <w:pStyle w:val="Compact"/>
      </w:pPr>
      <w:r>
        <w:t xml:space="preserve">**Transport Mode:** `Select Mode`</w:t>
      </w:r>
    </w:p>
    <w:p>
      <w:pPr>
        <w:numPr>
          <w:ilvl w:val="0"/>
          <w:numId w:val="1003"/>
        </w:numPr>
        <w:pStyle w:val="Compact"/>
      </w:pPr>
      <w:r>
        <w:t xml:space="preserve">**Transport Distance:** `wqktzxjgum` (This distance would be allocated to the specific transport mode and material/product mass).</w:t>
      </w:r>
    </w:p>
    <w:p>
      <w:pPr>
        <w:numPr>
          <w:ilvl w:val="0"/>
          <w:numId w:val="1003"/>
        </w:numPr>
        <w:pStyle w:val="Compact"/>
      </w:pPr>
      <w:r>
        <w:t xml:space="preserve">**Last-Mile Delivery Channel:** `Delivery Type`</w:t>
      </w:r>
    </w:p>
    <w:bookmarkEnd w:id="30"/>
    <w:bookmarkStart w:id="31" w:name="d.-use-phase-downstream---scope-3"/>
    <w:p>
      <w:pPr>
        <w:pStyle w:val="Heading4"/>
      </w:pPr>
      <w:r>
        <w:t xml:space="preserve">D. Use Phase (Downstream - Scope 3)</w:t>
      </w:r>
    </w:p>
    <w:p>
      <w:pPr>
        <w:pStyle w:val="FirstParagraph"/>
      </w:pPr>
      <w:r>
        <w:t xml:space="preserve">Emissions associated with the product\'s use by the consumer.</w:t>
      </w:r>
    </w:p>
    <w:p>
      <w:pPr>
        <w:numPr>
          <w:ilvl w:val="0"/>
          <w:numId w:val="1004"/>
        </w:numPr>
        <w:pStyle w:val="Compact"/>
      </w:pPr>
      <w:r>
        <w:t xml:space="preserve">**Product Lifespan:** `qgovvrsevs`</w:t>
      </w:r>
    </w:p>
    <w:p>
      <w:pPr>
        <w:numPr>
          <w:ilvl w:val="0"/>
          <w:numId w:val="1004"/>
        </w:numPr>
        <w:pStyle w:val="Compact"/>
      </w:pPr>
      <w:r>
        <w:t xml:space="preserve">**Energy Consumption in Use:** `xdftknjene` (This value, likely in kWh or similar units over the lifespan, will be multiplied by relevant electricity emission factors).</w:t>
      </w:r>
    </w:p>
    <w:bookmarkEnd w:id="31"/>
    <w:bookmarkStart w:id="32" w:name="e.-end-of-life-eol-downstream---scope-3"/>
    <w:p>
      <w:pPr>
        <w:pStyle w:val="Heading4"/>
      </w:pPr>
      <w:r>
        <w:t xml:space="preserve">E. End-of-Life (EoL) (Downstream - Scope 3)</w:t>
      </w:r>
    </w:p>
    <w:p>
      <w:pPr>
        <w:pStyle w:val="FirstParagraph"/>
      </w:pPr>
      <w:r>
        <w:t xml:space="preserve">Emissions and potential credits associated with the disposal or recycling of the product.</w:t>
      </w:r>
    </w:p>
    <w:p>
      <w:pPr>
        <w:numPr>
          <w:ilvl w:val="0"/>
          <w:numId w:val="1005"/>
        </w:numPr>
        <w:pStyle w:val="Compact"/>
      </w:pPr>
      <w:r>
        <w:t xml:space="preserve">**Recyclability Percentage:** `ietedxqvft`%</w:t>
      </w:r>
    </w:p>
    <w:p>
      <w:pPr>
        <w:numPr>
          <w:ilvl w:val="0"/>
          <w:numId w:val="1005"/>
        </w:numPr>
        <w:pStyle w:val="Compact"/>
      </w:pPr>
      <w:r>
        <w:t xml:space="preserve">**Circular/Take-back Programs:** `xifxgdsnpo` (Details of these programs, such as actual return rates and recycling efficiencies, would be crucial for accurate EoL calculations, including potential avoided emissions).</w:t>
      </w:r>
    </w:p>
    <w:p>
      <w:r>
        <w:pict>
          <v:rect style="width:0;height:1.5pt" o:hralign="center" o:hrstd="t" o:hr="t"/>
        </w:pict>
      </w:r>
    </w:p>
    <w:bookmarkEnd w:id="32"/>
    <w:bookmarkEnd w:id="33"/>
    <w:bookmarkEnd w:id="34"/>
    <w:bookmarkStart w:id="43" w:name="Xb404f6bea4a0013006ec7a9103609d9ea6643c1"/>
    <w:p>
      <w:pPr>
        <w:pStyle w:val="Heading2"/>
      </w:pPr>
      <w:r>
        <w:t xml:space="preserve">4. Calculate Emissions (Activity * Emission Factor = CO2e)</w:t>
      </w:r>
    </w:p>
    <w:p>
      <w:pPr>
        <w:pStyle w:val="FirstParagraph"/>
      </w:pPr>
      <w:r>
        <w:t xml:space="preserve">In accordance with the GHG Protocol, emissions are categorized into three scopes:</w:t>
      </w:r>
    </w:p>
    <w:p>
      <w:pPr>
        <w:numPr>
          <w:ilvl w:val="0"/>
          <w:numId w:val="1006"/>
        </w:numPr>
        <w:pStyle w:val="Compact"/>
      </w:pPr>
      <w:r>
        <w:t xml:space="preserve">**Scope 1:** Direct GHG emissions from sources owned or controlled by iezjxikhtm.</w:t>
      </w:r>
    </w:p>
    <w:p>
      <w:pPr>
        <w:numPr>
          <w:ilvl w:val="0"/>
          <w:numId w:val="1006"/>
        </w:numPr>
        <w:pStyle w:val="Compact"/>
      </w:pPr>
      <w:r>
        <w:t xml:space="preserve">**Scope 2:** Indirect GHG emissions from the generation of purchased electricity, heat, or steam consumed by iezjxikhtm.</w:t>
      </w:r>
    </w:p>
    <w:p>
      <w:pPr>
        <w:numPr>
          <w:ilvl w:val="0"/>
          <w:numId w:val="1006"/>
        </w:numPr>
        <w:pStyle w:val="Compact"/>
      </w:pPr>
      <w:r>
        <w:t xml:space="preserve">**Scope 3:** All other indirect emissions occurring in the value chain of iezjxikhtm, both upstream and downstream. A key requirement for this report is to ensure at least 95% coverage for Scope 3 reporting, as per 2026 requirements, necessitating comprehensive data collection across all relevant categories.</w:t>
      </w:r>
    </w:p>
    <w:bookmarkStart w:id="35" w:name="emission-factor-selection"/>
    <w:p>
      <w:pPr>
        <w:pStyle w:val="Heading3"/>
      </w:pPr>
      <w:r>
        <w:t xml:space="preserve">Emission Factor Selection:</w:t>
      </w:r>
    </w:p>
    <w:p>
      <w:pPr>
        <w:pStyle w:val="FirstParagraph"/>
      </w:pPr>
      <w:r>
        <w:t xml:space="preserve">Industry-standard emission factors are crucial for accurate calculations. For this analysis, we would utilize factors from reputable databases such as Ecoinvent and DEFRA (now DESNZ) for various activities.</w:t>
      </w:r>
    </w:p>
    <w:p>
      <w:pPr>
        <w:numPr>
          <w:ilvl w:val="0"/>
          <w:numId w:val="1007"/>
        </w:numPr>
        <w:pStyle w:val="Compact"/>
      </w:pPr>
      <w:r>
        <w:t xml:space="preserve">**Ecoinvent:** The ecoinvent database provides a rich pool of secondary data, including regional or global average GHG emission factors for materials, energy, and transport. It is highly valuable for filling data gaps, especially for Scope 3 reporting. The "market for" emission factors are particularly recommended as they encompass all upstream emissions and transportation to the consumer.</w:t>
      </w:r>
    </w:p>
    <w:p>
      <w:pPr>
        <w:numPr>
          <w:ilvl w:val="0"/>
          <w:numId w:val="1007"/>
        </w:numPr>
        <w:pStyle w:val="Compact"/>
      </w:pPr>
      <w:r>
        <w:t xml:space="preserve">**DEFRA (Department for Energy Security and Net Zero - DESNZ):** The UK Government\'s annually published conversion factors (formerly by DEFRA) are comprehensive, covering Scope 1, 2, and some Scope 3 emission sources across energy, transportation, water, and waste. These are considered high-quality for initial scoping and detailed assessments, particularly for a Europe-focused supply chain.</w:t>
      </w:r>
    </w:p>
    <w:p>
      <w:pPr>
        <w:pStyle w:val="FirstParagraph"/>
      </w:pPr>
      <w:r>
        <w:t xml:space="preserve">Given the \'Final Production Country: China\' and \'Supply Chain Focus: Europe Focused\', specific regional emission factors from these databases would be prioritized to reflect geographical nuances.</w:t>
      </w:r>
    </w:p>
    <w:bookmarkEnd w:id="35"/>
    <w:bookmarkStart w:id="36" w:name="application-of-2026-lsr-update"/>
    <w:p>
      <w:pPr>
        <w:pStyle w:val="Heading3"/>
      </w:pPr>
      <w:r>
        <w:t xml:space="preserve">Application of 2026 LSR Update:</w:t>
      </w:r>
    </w:p>
    <w:p>
      <w:pPr>
        <w:pStyle w:val="FirstParagraph"/>
      </w:pPr>
      <w:r>
        <w:t xml:space="preserve">The Land Sector and Removals (LSR) Standard, released on January 30, 2026, and effective January 1, 2027, will be applied. This standard provides accounting requirements and guidance for quantifying, reporting, and tracking land emissions, CO₂ removals, and emissions from biogenic products. This is particularly relevant if the raw materials (from `ovipdzqf`) involve agricultural products or land-use change. It also covers technological CO₂ removals. It is a supplement to the GHG Protocol\'s Corporate Standard and Corporate Value Chain (Scope 3) Accounting and Reporting Standard.</w:t>
      </w:r>
      <w:r>
        <w:t xml:space="preserve"> </w:t>
      </w:r>
      <w:r>
        <w:t xml:space="preserve">It\'s important to note that forest carbon accounting is not included in this initial version of the LSR Standard; however, companies are encouraged to be transparent about methodologies used for such impacts until future updates.</w:t>
      </w:r>
    </w:p>
    <w:bookmarkEnd w:id="36"/>
    <w:bookmarkStart w:id="42" w:name="X3ff9fd982f0681353b4c22bccc47c365024a7d9"/>
    <w:p>
      <w:pPr>
        <w:pStyle w:val="Heading3"/>
      </w:pPr>
      <w:r>
        <w:t xml:space="preserve">Calculation Breakdown (Illustrative due to placeholder data):</w:t>
      </w:r>
    </w:p>
    <w:bookmarkStart w:id="37" w:name="Xd6642bf1f4e15d1286d8853488e800e622d3f15"/>
    <w:p>
      <w:pPr>
        <w:pStyle w:val="Heading4"/>
      </w:pPr>
      <w:r>
        <w:t xml:space="preserve">A. Raw Material Emissions (Scope 3 - Upstream)</w:t>
      </w:r>
    </w:p>
    <w:p>
      <w:pPr>
        <w:pStyle w:val="FirstParagraph"/>
      </w:pPr>
      <w:r>
        <w:t xml:space="preserve">Each item from the Detailed Bill of Materials (`ovipdzqf`) would have its quantity multiplied by a corresponding material-specific emission factor (e.g., kg CO2e/kg material). This accounts for emissions from raw material extraction, processing, and transportation to the primary manufacturing site.</w:t>
      </w:r>
      <w:r>
        <w:t xml:space="preserve"> </w:t>
      </w:r>
      <w:r>
        <w:rPr>
          <w:rStyle w:val="VerbatimChar"/>
        </w:rPr>
        <w:t xml:space="preserve"> Emissions_Material = Sum (Qty_material_i * EmissionFactor_material_i) </w:t>
      </w:r>
    </w:p>
    <w:bookmarkEnd w:id="37"/>
    <w:bookmarkStart w:id="38" w:name="b.-manufacturing-emissions-scope-1-2"/>
    <w:p>
      <w:pPr>
        <w:pStyle w:val="Heading4"/>
      </w:pPr>
      <w:r>
        <w:t xml:space="preserve">B. Manufacturing Emissions (Scope 1 &amp; 2)</w:t>
      </w:r>
    </w:p>
    <w:p>
      <w:pPr>
        <w:numPr>
          <w:ilvl w:val="0"/>
          <w:numId w:val="1008"/>
        </w:numPr>
        <w:pStyle w:val="Compact"/>
      </w:pPr>
      <w:r>
        <w:t xml:space="preserve">**Scope 1 (Direct):** Emissions from on-site fuel consumption (e.g., boilers, company vehicles within the factory boundary) would be calculated based on fuel type and consumption.</w:t>
      </w:r>
    </w:p>
    <w:p>
      <w:pPr>
        <w:numPr>
          <w:ilvl w:val="0"/>
          <w:numId w:val="1008"/>
        </w:numPr>
        <w:pStyle w:val="Compact"/>
      </w:pPr>
      <w:r>
        <w:t xml:space="preserve">**Scope 2 (Purchased Energy):**</w:t>
      </w:r>
    </w:p>
    <w:p>
      <w:pPr>
        <w:numPr>
          <w:ilvl w:val="1"/>
          <w:numId w:val="1009"/>
        </w:numPr>
        <w:pStyle w:val="Compact"/>
      </w:pPr>
      <w:r>
        <w:t xml:space="preserve">Total Energy Consumption = `zunfdllxgu` kWh/unit</w:t>
      </w:r>
    </w:p>
    <w:p>
      <w:pPr>
        <w:numPr>
          <w:ilvl w:val="1"/>
          <w:numId w:val="1009"/>
        </w:numPr>
        <w:pStyle w:val="Compact"/>
      </w:pPr>
      <w:r>
        <w:t xml:space="preserve">Renewable Energy Portion = Total Energy Consumption * (`wslrpmvgid` / 100)</w:t>
      </w:r>
    </w:p>
    <w:p>
      <w:pPr>
        <w:numPr>
          <w:ilvl w:val="1"/>
          <w:numId w:val="1009"/>
        </w:numPr>
        <w:pStyle w:val="Compact"/>
      </w:pPr>
      <w:r>
        <w:t xml:space="preserve">Grid Electricity Portion = Total Energy Consumption * (1 - (`wslrpmvgid` / 100))</w:t>
      </w:r>
    </w:p>
    <w:p>
      <w:pPr>
        <w:numPr>
          <w:ilvl w:val="0"/>
          <w:numId w:val="1000"/>
        </w:numPr>
        <w:pStyle w:val="Compact"/>
      </w:pPr>
      <w:r>
        <w:t xml:space="preserve">The grid electricity portion would be multiplied by the specific grid emission factor for China, while the renewable energy portion would either have zero emissions (if directly purchased and certified renewable) or a low emission factor depending on the source.</w:t>
      </w:r>
    </w:p>
    <w:p>
      <w:pPr>
        <w:pStyle w:val="FirstParagraph"/>
      </w:pPr>
      <w:r>
        <w:rPr>
          <w:rStyle w:val="VerbatimChar"/>
        </w:rPr>
        <w:t xml:space="preserve"> Emissions_Scope2 = Grid_Electricity_Portion * EmissionFactor_Grid_China </w:t>
      </w:r>
    </w:p>
    <w:bookmarkEnd w:id="38"/>
    <w:bookmarkStart w:id="39" w:name="Xc0eb93e2d55f96246269539c2d481397c26a678"/>
    <w:p>
      <w:pPr>
        <w:pStyle w:val="Heading4"/>
      </w:pPr>
      <w:r>
        <w:t xml:space="preserve">C. Transport Emissions (Scope 3 - Upstream &amp; Downstream)</w:t>
      </w:r>
    </w:p>
    <w:p>
      <w:pPr>
        <w:pStyle w:val="FirstParagraph"/>
      </w:pPr>
      <w:r>
        <w:t xml:space="preserve">Emissions for both inbound logistics (raw materials to factory) and outbound logistics (factory to customer) are calculated based on:</w:t>
      </w:r>
    </w:p>
    <w:p>
      <w:pPr>
        <w:numPr>
          <w:ilvl w:val="0"/>
          <w:numId w:val="1010"/>
        </w:numPr>
        <w:pStyle w:val="Compact"/>
      </w:pPr>
      <w:r>
        <w:t xml:space="preserve">**Transport Mode:** `Select Mode` (e.g., road freight, sea freight, air freight).</w:t>
      </w:r>
    </w:p>
    <w:p>
      <w:pPr>
        <w:numPr>
          <w:ilvl w:val="0"/>
          <w:numId w:val="1010"/>
        </w:numPr>
        <w:pStyle w:val="Compact"/>
      </w:pPr>
      <w:r>
        <w:t xml:space="preserve">**Transport Distance:** `wqktzxjgum` km.</w:t>
      </w:r>
    </w:p>
    <w:p>
      <w:pPr>
        <w:numPr>
          <w:ilvl w:val="0"/>
          <w:numId w:val="1010"/>
        </w:numPr>
        <w:pStyle w:val="Compact"/>
      </w:pPr>
      <w:r>
        <w:t xml:space="preserve">**Product Weight/Volume:** Determined from BOM.</w:t>
      </w:r>
    </w:p>
    <w:p>
      <w:pPr>
        <w:numPr>
          <w:ilvl w:val="0"/>
          <w:numId w:val="1010"/>
        </w:numPr>
        <w:pStyle w:val="Compact"/>
      </w:pPr>
      <w:r>
        <w:t xml:space="preserve">**Last-Mile Delivery Channel:** `Delivery Type`.</w:t>
      </w:r>
    </w:p>
    <w:p>
      <w:pPr>
        <w:pStyle w:val="FirstParagraph"/>
      </w:pPr>
      <w:r>
        <w:rPr>
          <w:rStyle w:val="VerbatimChar"/>
        </w:rPr>
        <w:t xml:space="preserve"> Emissions_Transport = Distance * Transport_Mode_EmissionFactor * (Weight_or_Volume) </w:t>
      </w:r>
      <w:r>
        <w:t xml:space="preserve"> </w:t>
      </w:r>
      <w:r>
        <w:t xml:space="preserve">This calculation would be repeated for each leg of the supply chain and last-mile delivery.</w:t>
      </w:r>
    </w:p>
    <w:bookmarkEnd w:id="39"/>
    <w:bookmarkStart w:id="40" w:name="Xb71bce6b890115574b8a05bd78185183b5c07ca"/>
    <w:p>
      <w:pPr>
        <w:pStyle w:val="Heading4"/>
      </w:pPr>
      <w:r>
        <w:t xml:space="preserve">D. Use Phase Emissions (Scope 3 - Downstream)</w:t>
      </w:r>
    </w:p>
    <w:p>
      <w:pPr>
        <w:pStyle w:val="FirstParagraph"/>
      </w:pPr>
      <w:r>
        <w:t xml:space="preserve">Emissions during the use phase are calculated using the product\'s energy consumption over its lifespan and the relevant electricity emission factor for the region of use (assuming a typical user location in Europe, given the supply chain focus).</w:t>
      </w:r>
      <w:r>
        <w:t xml:space="preserve"> </w:t>
      </w:r>
      <w:r>
        <w:rPr>
          <w:rStyle w:val="VerbatimChar"/>
        </w:rPr>
        <w:t xml:space="preserve"> Emissions_Use_Phase = (`xdftknjene` kWh/lifespan) * (`qgovvrsevs` lifespan duration factor) * EmissionFactor_Electricity_EU_Average </w:t>
      </w:r>
    </w:p>
    <w:bookmarkEnd w:id="40"/>
    <w:bookmarkStart w:id="41" w:name="Xc372cf29c357ca572abe1d85d0d05cf7e808f48"/>
    <w:p>
      <w:pPr>
        <w:pStyle w:val="Heading4"/>
      </w:pPr>
      <w:r>
        <w:t xml:space="preserve">E. End-of-Life Emissions (Scope 3 - Downstream)</w:t>
      </w:r>
    </w:p>
    <w:p>
      <w:pPr>
        <w:pStyle w:val="FirstParagraph"/>
      </w:pPr>
      <w:r>
        <w:t xml:space="preserve">The end-of-life scenario considers the `ietedxqvft`% recyclability and the presence of `xifxgdsnpo` circular/take-back programs.</w:t>
      </w:r>
    </w:p>
    <w:p>
      <w:pPr>
        <w:numPr>
          <w:ilvl w:val="0"/>
          <w:numId w:val="1011"/>
        </w:numPr>
        <w:pStyle w:val="Compact"/>
      </w:pPr>
      <w:r>
        <w:t xml:space="preserve">**Emissions from Disposal:** Calculated for the non-recycled portion, based on disposal methods (e.g., landfill, incineration) and associated emission factors.</w:t>
      </w:r>
    </w:p>
    <w:p>
      <w:pPr>
        <w:numPr>
          <w:ilvl w:val="0"/>
          <w:numId w:val="1011"/>
        </w:numPr>
        <w:pStyle w:val="Compact"/>
      </w:pPr>
      <w:r>
        <w:t xml:space="preserve">**Avoided Emissions from Recycling:** For the `ietedxqvft`% recyclable portion, potential avoided emissions from displacing virgin material production are accounted for, if reliable data on `xifxgdsnpo` programs and recycling efficiencies are available. This is a crucial aspect of circular economy impacts.</w:t>
      </w:r>
    </w:p>
    <w:p>
      <w:r>
        <w:pict>
          <v:rect style="width:0;height:1.5pt" o:hralign="center" o:hrstd="t" o:hr="t"/>
        </w:pict>
      </w:r>
    </w:p>
    <w:bookmarkEnd w:id="41"/>
    <w:bookmarkEnd w:id="42"/>
    <w:bookmarkEnd w:id="43"/>
    <w:bookmarkStart w:id="47" w:name="review-report-hotspots-and-reliability"/>
    <w:p>
      <w:pPr>
        <w:pStyle w:val="Heading2"/>
      </w:pPr>
      <w:r>
        <w:t xml:space="preserve">5. Review &amp; Report (Hotspots and Reliability)</w:t>
      </w:r>
    </w:p>
    <w:bookmarkStart w:id="44" w:name="emission-hotspots-illustrative"/>
    <w:p>
      <w:pPr>
        <w:pStyle w:val="Heading3"/>
      </w:pPr>
      <w:r>
        <w:t xml:space="preserve">Emission Hotspots (Illustrative):</w:t>
      </w:r>
    </w:p>
    <w:p>
      <w:pPr>
        <w:pStyle w:val="FirstParagraph"/>
      </w:pPr>
      <w:r>
        <w:t xml:space="preserve">Based on typical product lifecycle analyses, potential emission hotspots for</w:t>
      </w:r>
      <w:r>
        <w:t xml:space="preserve"> </w:t>
      </w:r>
      <w:r>
        <w:rPr>
          <w:bCs/>
          <w:b/>
        </w:rPr>
        <w:t xml:space="preserve">ztmtmuvtnm</w:t>
      </w:r>
      <w:r>
        <w:t xml:space="preserve">, even with placeholder data, would likely reside in:</w:t>
      </w:r>
    </w:p>
    <w:p>
      <w:pPr>
        <w:numPr>
          <w:ilvl w:val="0"/>
          <w:numId w:val="1012"/>
        </w:numPr>
        <w:pStyle w:val="Compact"/>
      </w:pPr>
      <w:r>
        <w:t xml:space="preserve">**Raw Material Acquisition:** Especially for materials with high embodied energy or complex extraction/refining processes (e.g., certain metals, specialized plastics, silicon).</w:t>
      </w:r>
    </w:p>
    <w:p>
      <w:pPr>
        <w:numPr>
          <w:ilvl w:val="0"/>
          <w:numId w:val="1012"/>
        </w:numPr>
        <w:pStyle w:val="Compact"/>
      </w:pPr>
      <w:r>
        <w:t xml:space="preserve">**Manufacturing Energy:** The energy mix of China plays a significant role here, with reliance on fossil fuels potentially leading to higher Scope 2 emissions if renewable energy usage (`wslrpmvgid`) is not substantial.</w:t>
      </w:r>
    </w:p>
    <w:p>
      <w:pPr>
        <w:numPr>
          <w:ilvl w:val="0"/>
          <w:numId w:val="1012"/>
        </w:numPr>
        <w:pStyle w:val="Compact"/>
      </w:pPr>
      <w:r>
        <w:t xml:space="preserve">**Long-distance Transportation:** Given the \'Europe Focused\' supply chain and \'Select Mode\' over `wqktzxjgum` distance, this phase could be a significant contributor, especially if air freight is involved.</w:t>
      </w:r>
    </w:p>
    <w:p>
      <w:pPr>
        <w:numPr>
          <w:ilvl w:val="0"/>
          <w:numId w:val="1012"/>
        </w:numPr>
        <w:pStyle w:val="Compact"/>
      </w:pPr>
      <w:r>
        <w:t xml:space="preserve">**Use Phase:** If `xdftknjene` represents substantial energy consumption over `qgovvrsevs` lifespan, this phase can become a major hotspot, depending on the energy source used by the end-user.</w:t>
      </w:r>
    </w:p>
    <w:bookmarkEnd w:id="44"/>
    <w:bookmarkStart w:id="45" w:name="data-reliability-and-limitations"/>
    <w:p>
      <w:pPr>
        <w:pStyle w:val="Heading3"/>
      </w:pPr>
      <w:r>
        <w:t xml:space="preserve">Data Reliability and Limitations:</w:t>
      </w:r>
    </w:p>
    <w:p>
      <w:pPr>
        <w:pStyle w:val="FirstParagraph"/>
      </w:pPr>
      <w:r>
        <w:t xml:space="preserve">The reliability of this PCF analysis is directly proportional to the quality and specificity of the input data.</w:t>
      </w:r>
    </w:p>
    <w:p>
      <w:pPr>
        <w:numPr>
          <w:ilvl w:val="0"/>
          <w:numId w:val="1013"/>
        </w:numPr>
        <w:pStyle w:val="Compact"/>
      </w:pPr>
      <w:r>
        <w:t xml:space="preserve">**Placeholder Data:** The use of placeholder values (`ovipdzqf`, `wqktzxjgum`, `wslrpmvgid`, `zunfdllxgu`, `qgovvrsevs`, `xdftknjene`, `ietedxqvft`, `xifxgdsnpo`) means that the calculated footprint is illustrative and conceptual rather than definitive. For a robust assessment, actual, verified primary data from iezjxikhtm and its supply chain would be paramount.</w:t>
      </w:r>
    </w:p>
    <w:p>
      <w:pPr>
        <w:numPr>
          <w:ilvl w:val="0"/>
          <w:numId w:val="1013"/>
        </w:numPr>
        <w:pStyle w:val="Compact"/>
      </w:pPr>
      <w:r>
        <w:t xml:space="preserve">**Secondary Data:** While industry-standard emission factors from Ecoinvent and DEFRA are employed, their applicability should be carefully considered based on the specific technologies and geographies involved.</w:t>
      </w:r>
    </w:p>
    <w:p>
      <w:pPr>
        <w:numPr>
          <w:ilvl w:val="0"/>
          <w:numId w:val="1013"/>
        </w:numPr>
        <w:pStyle w:val="Compact"/>
      </w:pPr>
      <w:r>
        <w:t xml:space="preserve">**Scope 3 Coverage:** Achieving 95% Scope 3 coverage, as per 2026 requirements, demands significant effort in data collection across all value chain activities. Any gaps would be clearly identified and noted.</w:t>
      </w:r>
    </w:p>
    <w:p>
      <w:pPr>
        <w:numPr>
          <w:ilvl w:val="0"/>
          <w:numId w:val="1013"/>
        </w:numPr>
        <w:pStyle w:val="Compact"/>
      </w:pPr>
      <w:r>
        <w:t xml:space="preserve">**LSR Standard Application:** While the LSR Standard is applied, its full impact is dependent on the actual land-related activities within the product\'s value chain, which are not fully detailed by the provided parameters.</w:t>
      </w:r>
    </w:p>
    <w:bookmarkEnd w:id="45"/>
    <w:bookmarkStart w:id="46" w:name="recommendations-for-improvement"/>
    <w:p>
      <w:pPr>
        <w:pStyle w:val="Heading3"/>
      </w:pPr>
      <w:r>
        <w:t xml:space="preserve">Recommendations for Improvement:</w:t>
      </w:r>
    </w:p>
    <w:p>
      <w:pPr>
        <w:pStyle w:val="FirstParagraph"/>
      </w:pPr>
      <w:r>
        <w:t xml:space="preserve">To enhance the accuracy and actionable insights from future PCF analyses, iezjxikhtm should:</w:t>
      </w:r>
    </w:p>
    <w:p>
      <w:pPr>
        <w:numPr>
          <w:ilvl w:val="0"/>
          <w:numId w:val="1014"/>
        </w:numPr>
        <w:pStyle w:val="Compact"/>
      </w:pPr>
      <w:r>
        <w:t xml:space="preserve">Implement robust systems for collecting primary data on material composition, energy consumption, and waste generation across its operations and key suppliers.</w:t>
      </w:r>
    </w:p>
    <w:p>
      <w:pPr>
        <w:numPr>
          <w:ilvl w:val="0"/>
          <w:numId w:val="1014"/>
        </w:numPr>
        <w:pStyle w:val="Compact"/>
      </w:pPr>
      <w:r>
        <w:t xml:space="preserve">Engage with suppliers to obtain product-specific emission factors for high-impact materials.</w:t>
      </w:r>
    </w:p>
    <w:p>
      <w:pPr>
        <w:numPr>
          <w:ilvl w:val="0"/>
          <w:numId w:val="1014"/>
        </w:numPr>
        <w:pStyle w:val="Compact"/>
      </w:pPr>
      <w:r>
        <w:t xml:space="preserve">Further detail the specifics of \'Select Mode\' for transport (e.g., specific vehicle types, fuel consumption rates) and \'Delivery Type\' for last-mile.</w:t>
      </w:r>
    </w:p>
    <w:p>
      <w:pPr>
        <w:numPr>
          <w:ilvl w:val="0"/>
          <w:numId w:val="1014"/>
        </w:numPr>
        <w:pStyle w:val="Compact"/>
      </w:pPr>
      <w:r>
        <w:t xml:space="preserve">Quantify the actual impact of \'xifxgdsnpo\' circular/take-back programs, including return rates, reprocessing energy, and quality of recycled output, to calculate net avoided emissions.</w:t>
      </w:r>
    </w:p>
    <w:p>
      <w:pPr>
        <w:numPr>
          <w:ilvl w:val="0"/>
          <w:numId w:val="1014"/>
        </w:numPr>
        <w:pStyle w:val="Compact"/>
      </w:pPr>
      <w:r>
        <w:t xml:space="preserve">Regularly update emission factors to reflect the latest scientific data and regional energy grid changes.</w:t>
      </w:r>
    </w:p>
    <w:p>
      <w:r>
        <w:pict>
          <v:rect style="width:0;height:1.5pt" o:hralign="center" o:hrstd="t" o:hr="t"/>
        </w:pict>
      </w:r>
    </w:p>
    <w:bookmarkEnd w:id="46"/>
    <w:bookmarkEnd w:id="4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ztmtmuvtnm</dc:title>
  <dc:creator/>
  <dc:description>Detailed Product Carbon Footprint (PCF) analysis report for ztmtmuvtnm, conducted by Senior Sustainability Consultant kgvtmymmng, adhering to GHG Protocol standards and 2026 LSR updates.</dc:description>
  <dc:language>en</dc:language>
  <cp:keywords/>
  <dcterms:created xsi:type="dcterms:W3CDTF">2026-07-15T10:33:21Z</dcterms:created>
  <dcterms:modified xsi:type="dcterms:W3CDTF">2026-07-15T10:33:21Z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