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zsootntudz</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 zsootntudz</w:t>
      </w:r>
    </w:p>
    <w:p>
      <w:pPr>
        <w:pStyle w:val="BodyText"/>
      </w:pPr>
      <w:r>
        <w:t xml:space="preserve">Company: qqvosigqdw</w:t>
      </w:r>
    </w:p>
    <w:p>
      <w:pPr>
        <w:pStyle w:val="BodyText"/>
      </w:pPr>
      <w:r>
        <w:t xml:space="preserve">Protocol Data (Accounting Standard): GHG Protocol</w:t>
      </w:r>
    </w:p>
    <w:p>
      <w:pPr>
        <w:pStyle w:val="BodyText"/>
      </w:pPr>
      <w:r>
        <w:t xml:space="preserve">Senior Sustainability Consultant: ppmyefpnhj</w:t>
      </w:r>
    </w:p>
    <w:p>
      <w:pPr>
        <w:pStyle w:val="BodyText"/>
      </w:pPr>
      <w:r>
        <w:t xml:space="preserve">Disclaimer: This report is generated based on available data and industry standards. While efforts have been made for accuracy, specific data limitations may exist. The Bill of Materials (BOM) data, designated by \'npwpsyid\', was simulated to demonstrate the calculation methodology due to its placeholder nature in the input parameters.</w:t>
      </w:r>
    </w:p>
    <w:bookmarkEnd w:id="20"/>
    <w:bookmarkStart w:id="21" w:name="X63a67df1d6edd859f32b27117554c285803247c"/>
    <w:p>
      <w:pPr>
        <w:pStyle w:val="Heading1"/>
      </w:pPr>
      <w:r>
        <w:t xml:space="preserve">Product Carbon Footprint Report for zsootntudz</w:t>
      </w:r>
    </w:p>
    <w:p>
      <w:pPr>
        <w:pStyle w:val="FirstParagraph"/>
      </w:pPr>
      <w:r>
        <w:t xml:space="preserve">Generated Date: May 29,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zsootntudz, manufactured by qqvosigqdw. Conducted by Senior Sustainability Consultant ppmyefpnhj, this assessment adheres strictly to the GHG Protocol, incorporating the latest 2026 Land Sector and Removals (LSR) Standard. The analysis covers the product\'s full lifecycle from raw material extraction to end-of-life, with a focus on achieving at least 95% coverage for Scope 3 emissions. The total carbon footprint for one functional unit of zsootntudz is calculated to be 32.42 kg CO2e, with the use phase and material production identified as primary hotspots.</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This section outlines the foundational parameters guiding the Product Carbon Footprint analysis for zsootntudz.</w:t>
      </w:r>
    </w:p>
    <w:p>
      <w:pPr>
        <w:numPr>
          <w:ilvl w:val="0"/>
          <w:numId w:val="1001"/>
        </w:numPr>
        <w:pStyle w:val="Compact"/>
      </w:pPr>
      <w:r>
        <w:rPr>
          <w:bCs/>
          <w:b/>
        </w:rPr>
        <w:t xml:space="preserve">Functional Unit:</w:t>
      </w:r>
      <w:r>
        <w:t xml:space="preserve"> </w:t>
      </w:r>
      <w:r>
        <w:t xml:space="preserve">1.0 unit of zsootntudz.</w:t>
      </w:r>
    </w:p>
    <w:p>
      <w:pPr>
        <w:numPr>
          <w:ilvl w:val="0"/>
          <w:numId w:val="1001"/>
        </w:numPr>
        <w:pStyle w:val="Compact"/>
      </w:pPr>
      <w:r>
        <w:rPr>
          <w:bCs/>
          <w:b/>
        </w:rPr>
        <w:t xml:space="preserve">System Boundary:</w:t>
      </w:r>
      <w:r>
        <w:t xml:space="preserve"> </w:t>
      </w:r>
      <w:r>
        <w:t xml:space="preserve">Cradle-to-grave, specifically \'factory_gate\' for primary manufacturing and extending to end-of-life for downstream impacts. This includes raw material acquisition, manufacturing, transport, use phase, and end-of-life.</w:t>
      </w:r>
    </w:p>
    <w:p>
      <w:pPr>
        <w:numPr>
          <w:ilvl w:val="0"/>
          <w:numId w:val="1001"/>
        </w:numPr>
        <w:pStyle w:val="Compact"/>
      </w:pPr>
      <w:r>
        <w:rPr>
          <w:bCs/>
          <w:b/>
        </w:rPr>
        <w:t xml:space="preserve">Geographic Scope:</w:t>
      </w:r>
      <w:r>
        <w:t xml:space="preserve"> </w:t>
      </w:r>
      <w:r>
        <w:t xml:space="preserve">Final Production Country: China, with a Supply Chain Focus on Europe. This implies considering regional grid mixes and transport distances relevant to these geographies.</w:t>
      </w:r>
    </w:p>
    <w:p>
      <w:pPr>
        <w:numPr>
          <w:ilvl w:val="0"/>
          <w:numId w:val="1001"/>
        </w:numPr>
        <w:pStyle w:val="Compact"/>
      </w:pPr>
      <w:r>
        <w:rPr>
          <w:bCs/>
          <w:b/>
        </w:rPr>
        <w:t xml:space="preserve">Accounting Standard:</w:t>
      </w:r>
      <w:r>
        <w:t xml:space="preserve"> </w:t>
      </w:r>
      <w:r>
        <w:t xml:space="preserve">GHG Protocol Product Standard, with adherence to Scope 1, Scope 2, and Scope 3 categorization. This report also incorporates the 2026 Land Sector and Removals (LSR) Standard where applicable for land-use change emissions and carbon removals.</w:t>
      </w:r>
    </w:p>
    <w:p>
      <w:pPr>
        <w:numPr>
          <w:ilvl w:val="0"/>
          <w:numId w:val="1001"/>
        </w:numPr>
        <w:pStyle w:val="Compact"/>
      </w:pPr>
      <w:r>
        <w:rPr>
          <w:bCs/>
          <w:b/>
        </w:rPr>
        <w:t xml:space="preserve">Allocation:</w:t>
      </w:r>
      <w:r>
        <w:t xml:space="preserve"> </w:t>
      </w:r>
      <w:r>
        <w:t xml:space="preserve">Mass-based allocation is primarily used for shared processes. For recycling, an avoided burden approach is applied, providing credits for materials recirculated into the economy.</w:t>
      </w:r>
    </w:p>
    <w:p>
      <w:r>
        <w:pict>
          <v:rect style="width:0;height:1.5pt" o:hralign="center" o:hrstd="t" o:hr="t"/>
        </w:pict>
      </w:r>
    </w:p>
    <w:bookmarkEnd w:id="23"/>
    <w:bookmarkStart w:id="29" w:name="X07cf0ea829f60a4f8fa47c00f72a11793fbe483"/>
    <w:p>
      <w:pPr>
        <w:pStyle w:val="Heading2"/>
      </w:pPr>
      <w:r>
        <w:t xml:space="preserve">2. Lifecycle Mapping (LCI Inventory Stages) &amp; 3. Data Collection</w:t>
      </w:r>
    </w:p>
    <w:p>
      <w:pPr>
        <w:pStyle w:val="FirstParagraph"/>
      </w:pPr>
      <w:r>
        <w:t xml:space="preserve">This section details the inventory of materials, energy, and logistics data collected across the product lifecycle. The data for the Detailed Bill of Materials (BOM) was provided as \'npwpsyid\'. For the purpose of this report and to demonstrate the calculation methodology as per user instruction, a representative BOM has been simulated.</w:t>
      </w:r>
    </w:p>
    <w:bookmarkStart w:id="24" w:name="X078490602c5e4a217b91010792975878733be39"/>
    <w:p>
      <w:pPr>
        <w:pStyle w:val="Heading3"/>
      </w:pPr>
      <w:r>
        <w:t xml:space="preserve">Bill of Materials (BOM) - Scope 3 (Category 1: Purchased Goods &amp; Services)</w:t>
      </w:r>
    </w:p>
    <w:p>
      <w:pPr>
        <w:pStyle w:val="FirstParagraph"/>
      </w:pPr>
      <w:r>
        <w:t xml:space="preserve">The following table presents the detailed Bill of Materials (BOM) used for the analysis, reflecting the structure specified by the input parameter \'npwpsyid\'. Note that the \'Total Carbon\' values provided in the BOM are directly used for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(kgCO2e/kg or 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Main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102</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103</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104</w:t>
            </w:r>
          </w:p>
        </w:tc>
        <w:tc>
          <w:tcPr/>
          <w:p>
            <w:pPr>
              <w:pStyle w:val="Compact"/>
              <w:jc w:val="left"/>
            </w:pPr>
            <w:r>
              <w:t xml:space="preserve">Copper Wire (Internal)</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0.08</w:t>
            </w:r>
          </w:p>
        </w:tc>
      </w:tr>
      <w:tr>
        <w:tc>
          <w:tcPr/>
          <w:p>
            <w:pPr>
              <w:pStyle w:val="Compact"/>
              <w:jc w:val="left"/>
            </w:pPr>
            <w:r>
              <w:t xml:space="preserve">105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Processing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bl>
    <w:p>
      <w:pPr>
        <w:pStyle w:val="BodyText"/>
      </w:pPr>
      <w:r>
        <w:rPr>
          <w:bCs/>
          <w:b/>
        </w:rPr>
        <w:t xml:space="preserve">Total Carbon from Material Production:</w:t>
      </w:r>
      <w:r>
        <w:t xml:space="preserve"> </w:t>
      </w:r>
      <w:r>
        <w:t xml:space="preserve">17.13 kg CO2e</w:t>
      </w:r>
    </w:p>
    <w:bookmarkEnd w:id="24"/>
    <w:bookmarkStart w:id="25" w:name="X458b423f6cde60346484bf735502bca17e4e130"/>
    <w:p>
      <w:pPr>
        <w:pStyle w:val="Heading3"/>
      </w:pPr>
      <w:r>
        <w:t xml:space="preserve">Energy Inputs (Production Phase) - Scope 2 (Purchased Energy)</w:t>
      </w:r>
    </w:p>
    <w:p>
      <w:pPr>
        <w:numPr>
          <w:ilvl w:val="0"/>
          <w:numId w:val="1002"/>
        </w:numPr>
        <w:pStyle w:val="Compact"/>
      </w:pPr>
      <w:r>
        <w:rPr>
          <w:bCs/>
          <w:b/>
        </w:rPr>
        <w:t xml:space="preserve">Energy Intensity (kWh/unit):</w:t>
      </w:r>
      <w:r>
        <w:t xml:space="preserve"> </w:t>
      </w:r>
      <w:r>
        <w:t xml:space="preserve">shlnpkhnuv (5 kWh/unit)</w:t>
      </w:r>
    </w:p>
    <w:p>
      <w:pPr>
        <w:numPr>
          <w:ilvl w:val="0"/>
          <w:numId w:val="1002"/>
        </w:numPr>
        <w:pStyle w:val="Compact"/>
      </w:pPr>
      <w:r>
        <w:rPr>
          <w:bCs/>
          <w:b/>
        </w:rPr>
        <w:t xml:space="preserve">Renewable Energy Usage:</w:t>
      </w:r>
      <w:r>
        <w:t xml:space="preserve"> </w:t>
      </w:r>
      <w:r>
        <w:t xml:space="preserve">thfodxtzhv (75%)</w:t>
      </w:r>
    </w:p>
    <w:p>
      <w:pPr>
        <w:numPr>
          <w:ilvl w:val="0"/>
          <w:numId w:val="1002"/>
        </w:numPr>
        <w:pStyle w:val="Compact"/>
      </w:pPr>
      <w:r>
        <w:rPr>
          <w:bCs/>
          <w:b/>
        </w:rPr>
        <w:t xml:space="preserve">Assumed Electricity Grid Emission Factor (China):</w:t>
      </w:r>
      <w:r>
        <w:t xml:space="preserve"> </w:t>
      </w:r>
      <w:r>
        <w:t xml:space="preserve">0.61 kg CO2e/kWh (Source: International Energy Agency average for China in 2021, representing general industry averages).</w:t>
      </w:r>
    </w:p>
    <w:bookmarkEnd w:id="25"/>
    <w:bookmarkStart w:id="26" w:name="Xf6528423a68d5683dcac24ea67762b2d81341d1"/>
    <w:p>
      <w:pPr>
        <w:pStyle w:val="Heading3"/>
      </w:pPr>
      <w:r>
        <w:t xml:space="preserve">Logistics Data (Transport Phase) - Scope 3 (Categories 4 &amp; 9)</w:t>
      </w:r>
    </w:p>
    <w:p>
      <w:pPr>
        <w:numPr>
          <w:ilvl w:val="0"/>
          <w:numId w:val="1003"/>
        </w:numPr>
        <w:pStyle w:val="Compact"/>
      </w:pPr>
      <w:r>
        <w:rPr>
          <w:bCs/>
          <w:b/>
        </w:rPr>
        <w:t xml:space="preserve">Product Weight for Transport (estimated):</w:t>
      </w:r>
      <w:r>
        <w:t xml:space="preserve"> </w:t>
      </w:r>
      <w:r>
        <w:t xml:space="preserve">0.5 kg (based on BOM analysis)</w:t>
      </w:r>
    </w:p>
    <w:p>
      <w:pPr>
        <w:numPr>
          <w:ilvl w:val="0"/>
          <w:numId w:val="1003"/>
        </w:numPr>
        <w:pStyle w:val="Compact"/>
      </w:pPr>
      <w:r>
        <w:rPr>
          <w:bCs/>
          <w:b/>
        </w:rPr>
        <w:t xml:space="preserve">Transport Mode (main):</w:t>
      </w:r>
      <w:r>
        <w:t xml:space="preserve"> </w:t>
      </w:r>
      <w:r>
        <w:t xml:space="preserve">Select Mode (Road Freight)</w:t>
      </w:r>
    </w:p>
    <w:p>
      <w:pPr>
        <w:numPr>
          <w:ilvl w:val="0"/>
          <w:numId w:val="1003"/>
        </w:numPr>
        <w:pStyle w:val="Compact"/>
      </w:pPr>
      <w:r>
        <w:rPr>
          <w:bCs/>
          <w:b/>
        </w:rPr>
        <w:t xml:space="preserve">Transport Distance (main):</w:t>
      </w:r>
      <w:r>
        <w:t xml:space="preserve"> </w:t>
      </w:r>
      <w:r>
        <w:t xml:space="preserve">wdksnowdtp (1500 km)</w:t>
      </w:r>
    </w:p>
    <w:p>
      <w:pPr>
        <w:numPr>
          <w:ilvl w:val="0"/>
          <w:numId w:val="1003"/>
        </w:numPr>
        <w:pStyle w:val="Compact"/>
      </w:pPr>
      <w:r>
        <w:rPr>
          <w:bCs/>
          <w:b/>
        </w:rPr>
        <w:t xml:space="preserve">Last-Mile Delivery Channel:</w:t>
      </w:r>
      <w:r>
        <w:t xml:space="preserve"> </w:t>
      </w:r>
      <w:r>
        <w:t xml:space="preserve">Delivery Type (Parcel Van)</w:t>
      </w:r>
    </w:p>
    <w:p>
      <w:pPr>
        <w:numPr>
          <w:ilvl w:val="0"/>
          <w:numId w:val="1003"/>
        </w:numPr>
        <w:pStyle w:val="Compact"/>
      </w:pPr>
      <w:r>
        <w:rPr>
          <w:bCs/>
          <w:b/>
        </w:rPr>
        <w:t xml:space="preserve">Assumed Transport Emission Factors:</w:t>
      </w:r>
    </w:p>
    <w:p>
      <w:pPr>
        <w:numPr>
          <w:ilvl w:val="1"/>
          <w:numId w:val="1004"/>
        </w:numPr>
        <w:pStyle w:val="Compact"/>
      </w:pPr>
      <w:r>
        <w:t xml:space="preserve">Road Freight (heavy goods vehicle): 0.1 kg CO2e/tonne-km (0.0001 kg CO2e/kg-km) (Source: General industry averages, e.g., GLEC framework)</w:t>
      </w:r>
    </w:p>
    <w:p>
      <w:pPr>
        <w:numPr>
          <w:ilvl w:val="1"/>
          <w:numId w:val="1004"/>
        </w:numPr>
        <w:pStyle w:val="Compact"/>
      </w:pPr>
      <w:r>
        <w:t xml:space="preserve">Parcel Van (last-mile): 0.3 kg CO2e/tonne-km (0.0003 kg CO2e/kg-km) (higher due to less efficient routes/vehicle type)</w:t>
      </w:r>
    </w:p>
    <w:bookmarkEnd w:id="26"/>
    <w:bookmarkStart w:id="27" w:name="X4200df338cbefd5a311bc45da620b77311018fa"/>
    <w:p>
      <w:pPr>
        <w:pStyle w:val="Heading3"/>
      </w:pPr>
      <w:r>
        <w:t xml:space="preserve">Use Phase Data - Scope 3 (Category 11: Use of Sold Products)</w:t>
      </w:r>
    </w:p>
    <w:p>
      <w:pPr>
        <w:numPr>
          <w:ilvl w:val="0"/>
          <w:numId w:val="1005"/>
        </w:numPr>
        <w:pStyle w:val="Compact"/>
      </w:pPr>
      <w:r>
        <w:rPr>
          <w:bCs/>
          <w:b/>
        </w:rPr>
        <w:t xml:space="preserve">Product Lifespan:</w:t>
      </w:r>
      <w:r>
        <w:t xml:space="preserve"> </w:t>
      </w:r>
      <w:r>
        <w:t xml:space="preserve">fswnyfunkz (3 years)</w:t>
      </w:r>
    </w:p>
    <w:p>
      <w:pPr>
        <w:numPr>
          <w:ilvl w:val="0"/>
          <w:numId w:val="1005"/>
        </w:numPr>
        <w:pStyle w:val="Compact"/>
      </w:pPr>
      <w:r>
        <w:rPr>
          <w:bCs/>
          <w:b/>
        </w:rPr>
        <w:t xml:space="preserve">Energy Consumption in Use:</w:t>
      </w:r>
      <w:r>
        <w:t xml:space="preserve"> </w:t>
      </w:r>
      <w:r>
        <w:t xml:space="preserve">uhohqjxmvv (10 kWh/year)</w:t>
      </w:r>
    </w:p>
    <w:p>
      <w:pPr>
        <w:numPr>
          <w:ilvl w:val="0"/>
          <w:numId w:val="1005"/>
        </w:numPr>
        <w:pStyle w:val="Compact"/>
      </w:pPr>
      <w:r>
        <w:rPr>
          <w:bCs/>
          <w:b/>
        </w:rPr>
        <w:t xml:space="preserve">Assumed Electricity Grid Emission Factor (Consumer):</w:t>
      </w:r>
      <w:r>
        <w:t xml:space="preserve"> </w:t>
      </w:r>
      <w:r>
        <w:t xml:space="preserve">0.61 kg CO2e/kWh (assuming consumer uses China\'s average grid mix)</w:t>
      </w:r>
    </w:p>
    <w:bookmarkEnd w:id="27"/>
    <w:bookmarkStart w:id="28" w:name="X32a82b5aa783cfa9caf6a819bb830977450a846"/>
    <w:p>
      <w:pPr>
        <w:pStyle w:val="Heading3"/>
      </w:pPr>
      <w:r>
        <w:t xml:space="preserve">End-of-Life (EoL) Scenarios - Scope 3 (Category 12: End-of-Life Treatment of Sold Products)</w:t>
      </w:r>
    </w:p>
    <w:p>
      <w:pPr>
        <w:numPr>
          <w:ilvl w:val="0"/>
          <w:numId w:val="1006"/>
        </w:numPr>
        <w:pStyle w:val="Compact"/>
      </w:pPr>
      <w:r>
        <w:rPr>
          <w:bCs/>
          <w:b/>
        </w:rPr>
        <w:t xml:space="preserve">Recyclability Percentage:</w:t>
      </w:r>
      <w:r>
        <w:t xml:space="preserve"> </w:t>
      </w:r>
      <w:r>
        <w:t xml:space="preserve">wmgjdjeufg (60%)</w:t>
      </w:r>
    </w:p>
    <w:p>
      <w:pPr>
        <w:numPr>
          <w:ilvl w:val="0"/>
          <w:numId w:val="1006"/>
        </w:numPr>
        <w:pStyle w:val="Compact"/>
      </w:pPr>
      <w:r>
        <w:rPr>
          <w:bCs/>
          <w:b/>
        </w:rPr>
        <w:t xml:space="preserve">Circular/Take-back Programs:</w:t>
      </w:r>
      <w:r>
        <w:t xml:space="preserve"> </w:t>
      </w:r>
      <w:r>
        <w:t xml:space="preserve">unqzilvpxf (Yes - Product Refurbishment)</w:t>
      </w:r>
    </w:p>
    <w:p>
      <w:pPr>
        <w:numPr>
          <w:ilvl w:val="0"/>
          <w:numId w:val="1006"/>
        </w:numPr>
        <w:pStyle w:val="Compact"/>
      </w:pPr>
      <w:r>
        <w:rPr>
          <w:bCs/>
          <w:b/>
        </w:rPr>
        <w:t xml:space="preserve">Assumed Disposal Emission Factor (Landfill/Incineration):</w:t>
      </w:r>
      <w:r>
        <w:t xml:space="preserve"> </w:t>
      </w:r>
      <w:r>
        <w:t xml:space="preserve">0.01 kg CO2e/kg (Source: General estimates for non-specific waste, acknowledging variability based on waste type and landfill conditions)</w:t>
      </w:r>
    </w:p>
    <w:p>
      <w:pPr>
        <w:numPr>
          <w:ilvl w:val="0"/>
          <w:numId w:val="1006"/>
        </w:numPr>
        <w:pStyle w:val="Compact"/>
      </w:pPr>
      <w:r>
        <w:rPr>
          <w:bCs/>
          <w:b/>
        </w:rPr>
        <w:t xml:space="preserve">Assumed Recycling Avoidance Factor:</w:t>
      </w:r>
      <w:r>
        <w:t xml:space="preserve"> </w:t>
      </w:r>
      <w:r>
        <w:t xml:space="preserve">50% (of upstream material emissions for the recycled portion, representing an avoided burden approach)</w:t>
      </w:r>
    </w:p>
    <w:p>
      <w:r>
        <w:pict>
          <v:rect style="width:0;height:1.5pt" o:hralign="center" o:hrstd="t" o:hr="t"/>
        </w:pict>
      </w:r>
    </w:p>
    <w:bookmarkEnd w:id="28"/>
    <w:bookmarkEnd w:id="29"/>
    <w:bookmarkStart w:id="34" w:name="emission-calculation"/>
    <w:p>
      <w:pPr>
        <w:pStyle w:val="Heading2"/>
      </w:pPr>
      <w:r>
        <w:t xml:space="preserve">4. Emission Calculation</w:t>
      </w:r>
    </w:p>
    <w:p>
      <w:pPr>
        <w:pStyle w:val="FirstParagraph"/>
      </w:pPr>
      <w:r>
        <w:t xml:space="preserve">Emissions are calculated using the formula: Activity Data × Emission Factor = CO2e. Industry-standard emission factors, consistent with databases like Ecoinvent and DEFRA, have been applied for various activities where specific factors were not provided in the BOM.</w:t>
      </w:r>
    </w:p>
    <w:bookmarkStart w:id="30" w:name="X39e4020c1520d7e6fbafb4ab819ac3a24fa44fd"/>
    <w:p>
      <w:pPr>
        <w:pStyle w:val="Heading3"/>
      </w:pPr>
      <w:r>
        <w:t xml:space="preserve">Summary of Product Carbon Footprint by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Emissions (kg)</w:t>
            </w:r>
          </w:p>
        </w:tc>
        <w:tc>
          <w:tcPr/>
          <w:p>
            <w:pPr>
              <w:pStyle w:val="Compact"/>
              <w:jc w:val="left"/>
            </w:pPr>
            <w:r>
              <w:t xml:space="preserve">Contribution (%)</w:t>
            </w:r>
          </w:p>
        </w:tc>
      </w:tr>
      <w:tr>
        <w:tc>
          <w:tcPr/>
          <w:p>
            <w:pPr>
              <w:pStyle w:val="Compact"/>
              <w:jc w:val="left"/>
            </w:pPr>
            <w:r>
              <w:t xml:space="preserve">Materials Production</w:t>
            </w:r>
          </w:p>
        </w:tc>
        <w:tc>
          <w:tcPr/>
          <w:p>
            <w:pPr>
              <w:pStyle w:val="Compact"/>
              <w:jc w:val="left"/>
            </w:pPr>
            <w:r>
              <w:t xml:space="preserve">Scope 3 (Category 1)</w:t>
            </w:r>
          </w:p>
        </w:tc>
        <w:tc>
          <w:tcPr/>
          <w:p>
            <w:pPr>
              <w:pStyle w:val="Compact"/>
              <w:jc w:val="left"/>
            </w:pPr>
            <w:r>
              <w:t xml:space="preserve">17.13</w:t>
            </w:r>
          </w:p>
        </w:tc>
        <w:tc>
          <w:tcPr/>
          <w:p>
            <w:pPr>
              <w:pStyle w:val="Compact"/>
              <w:jc w:val="left"/>
            </w:pPr>
            <w:r>
              <w:t xml:space="preserve">52.82%</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0.81</w:t>
            </w:r>
          </w:p>
        </w:tc>
        <w:tc>
          <w:tcPr/>
          <w:p>
            <w:pPr>
              <w:pStyle w:val="Compact"/>
              <w:jc w:val="left"/>
            </w:pPr>
            <w:r>
              <w:t xml:space="preserve">2.50%</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0.04</w:t>
            </w:r>
          </w:p>
        </w:tc>
        <w:tc>
          <w:tcPr/>
          <w:p>
            <w:pPr>
              <w:pStyle w:val="Compact"/>
              <w:jc w:val="left"/>
            </w:pPr>
            <w:r>
              <w:t xml:space="preserve">0.12%</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0.09</w:t>
            </w:r>
          </w:p>
        </w:tc>
        <w:tc>
          <w:tcPr/>
          <w:p>
            <w:pPr>
              <w:pStyle w:val="Compact"/>
              <w:jc w:val="left"/>
            </w:pPr>
            <w:r>
              <w:t xml:space="preserve">0.28%</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19.50</w:t>
            </w:r>
          </w:p>
        </w:tc>
        <w:tc>
          <w:tcPr/>
          <w:p>
            <w:pPr>
              <w:pStyle w:val="Compact"/>
              <w:jc w:val="left"/>
            </w:pPr>
            <w:r>
              <w:t xml:space="preserve">60.13%</w:t>
            </w:r>
          </w:p>
        </w:tc>
      </w:tr>
      <w:tr>
        <w:tc>
          <w:tcPr/>
          <w:p>
            <w:pPr>
              <w:pStyle w:val="Compact"/>
              <w:jc w:val="left"/>
            </w:pPr>
            <w:r>
              <w:t xml:space="preserve">End-of-Life Treatment (Net)</w:t>
            </w:r>
          </w:p>
        </w:tc>
        <w:tc>
          <w:tcPr/>
          <w:p>
            <w:pPr>
              <w:pStyle w:val="Compact"/>
              <w:jc w:val="left"/>
            </w:pPr>
            <w:r>
              <w:t xml:space="preserve">Scope 3 (Category 12)</w:t>
            </w:r>
          </w:p>
        </w:tc>
        <w:tc>
          <w:tcPr/>
          <w:p>
            <w:pPr>
              <w:pStyle w:val="Compact"/>
              <w:jc w:val="left"/>
            </w:pPr>
            <w:r>
              <w:t xml:space="preserve">-5.14</w:t>
            </w:r>
          </w:p>
        </w:tc>
        <w:tc>
          <w:tcPr/>
          <w:p>
            <w:pPr>
              <w:pStyle w:val="Compact"/>
              <w:jc w:val="left"/>
            </w:pPr>
            <w:r>
              <w:t xml:space="preserve">-15.85%</w:t>
            </w:r>
          </w:p>
        </w:tc>
      </w:tr>
      <w:tr>
        <w:tc>
          <w:tcPr>
            <w:gridSpan w:val="2"/>
          </w:tcPr>
          <w:p>
            <w:pPr>
              <w:pStyle w:val="Compact"/>
              <w:jc w:val="left"/>
            </w:pPr>
            <w:r>
              <w:rPr>
                <w:bCs/>
                <w:b/>
              </w:rPr>
              <w:t xml:space="preserve">Total Product Carbon Footprint</w:t>
            </w:r>
          </w:p>
        </w:tc>
        <w:tc>
          <w:tcPr/>
          <w:p>
            <w:pPr>
              <w:pStyle w:val="Compact"/>
              <w:jc w:val="left"/>
            </w:pPr>
            <w:r>
              <w:rPr>
                <w:bCs/>
                <w:b/>
              </w:rPr>
              <w:t xml:space="preserve">32.43</w:t>
            </w:r>
          </w:p>
        </w:tc>
        <w:tc>
          <w:tcPr/>
          <w:p>
            <w:pPr>
              <w:pStyle w:val="Compact"/>
              <w:jc w:val="left"/>
            </w:pPr>
            <w:r>
              <w:rPr>
                <w:bCs/>
                <w:b/>
              </w:rPr>
              <w:t xml:space="preserve">100.00%</w:t>
            </w:r>
          </w:p>
        </w:tc>
      </w:tr>
    </w:tbl>
    <w:bookmarkEnd w:id="30"/>
    <w:bookmarkStart w:id="31" w:name="detailed-breakdown-of-emissions-by-scope"/>
    <w:p>
      <w:pPr>
        <w:pStyle w:val="Heading3"/>
      </w:pPr>
      <w:r>
        <w:t xml:space="preserve">Detailed Breakdown of Emissions by Scope</w:t>
      </w:r>
    </w:p>
    <w:p>
      <w:pPr>
        <w:numPr>
          <w:ilvl w:val="0"/>
          <w:numId w:val="1007"/>
        </w:numPr>
        <w:pStyle w:val="Compact"/>
      </w:pPr>
      <w:r>
        <w:rPr>
          <w:bCs/>
          <w:b/>
        </w:rPr>
        <w:t xml:space="preserve">Scope 1 Emissions (Direct Emissions):</w:t>
      </w:r>
      <w:r>
        <w:t xml:space="preserve"> </w:t>
      </w:r>
      <w:r>
        <w:t xml:space="preserve">For manufacturing, direct emissions from on-site fuel combustion are assumed to be negligible given the focus on purchased electricity. If present, these would be captured here.</w:t>
      </w:r>
    </w:p>
    <w:p>
      <w:pPr>
        <w:numPr>
          <w:ilvl w:val="0"/>
          <w:numId w:val="1007"/>
        </w:numPr>
        <w:pStyle w:val="Compact"/>
      </w:pPr>
      <w:r>
        <w:rPr>
          <w:bCs/>
          <w:b/>
        </w:rPr>
        <w:t xml:space="preserve">Scope 2 Emissions (Purchased Energy):</w:t>
      </w:r>
    </w:p>
    <w:p>
      <w:pPr>
        <w:numPr>
          <w:ilvl w:val="1"/>
          <w:numId w:val="1008"/>
        </w:numPr>
        <w:pStyle w:val="Compact"/>
      </w:pPr>
      <w:r>
        <w:t xml:space="preserve">Non-renewable energy consumption: 5 kWh/unit * (1 - 0.75) = 1.25 kWh/unit</w:t>
      </w:r>
    </w:p>
    <w:p>
      <w:pPr>
        <w:numPr>
          <w:ilvl w:val="1"/>
          <w:numId w:val="1008"/>
        </w:numPr>
        <w:pStyle w:val="Compact"/>
      </w:pPr>
      <w:r>
        <w:t xml:space="preserve">Emissions: 1.25 kWh/unit * 0.61 kg CO2e/kWh = 0.76 kg CO2e (Rounded from 0.7625)</w:t>
      </w:r>
    </w:p>
    <w:p>
      <w:pPr>
        <w:numPr>
          <w:ilvl w:val="0"/>
          <w:numId w:val="1007"/>
        </w:numPr>
        <w:pStyle w:val="Compact"/>
      </w:pPr>
      <w:r>
        <w:rPr>
          <w:bCs/>
          <w:b/>
        </w:rPr>
        <w:t xml:space="preserve">Scope 3 Emissions (Value Chain Emissions):</w:t>
      </w:r>
    </w:p>
    <w:p>
      <w:pPr>
        <w:numPr>
          <w:ilvl w:val="1"/>
          <w:numId w:val="1009"/>
        </w:numPr>
        <w:pStyle w:val="Compact"/>
      </w:pPr>
      <w:r>
        <w:rPr>
          <w:bCs/>
          <w:b/>
        </w:rPr>
        <w:t xml:space="preserve">Category 1 - Purchased Goods and Services (Materials):</w:t>
      </w:r>
      <w:r>
        <w:t xml:space="preserve"> </w:t>
      </w:r>
      <w:r>
        <w:t xml:space="preserve">Sum of \'Total Carbon\' from BOM = 17.13 kg CO2e.</w:t>
      </w:r>
    </w:p>
    <w:p>
      <w:pPr>
        <w:numPr>
          <w:ilvl w:val="1"/>
          <w:numId w:val="1009"/>
        </w:numPr>
        <w:pStyle w:val="Compact"/>
      </w:pPr>
      <w:r>
        <w:rPr>
          <w:bCs/>
          <w:b/>
        </w:rPr>
        <w:t xml:space="preserve">Category 4 - Upstream Transportation and Distribution:</w:t>
      </w:r>
      <w:r>
        <w:t xml:space="preserve"> </w:t>
      </w:r>
      <w:r>
        <w:t xml:space="preserve">0.5 kg (product weight) * 750 km (avg. material transport) * 0.0001 kg CO2e/kg-km = 0.04 kg CO2e.</w:t>
      </w:r>
    </w:p>
    <w:p>
      <w:pPr>
        <w:numPr>
          <w:ilvl w:val="1"/>
          <w:numId w:val="1009"/>
        </w:numPr>
        <w:pStyle w:val="Compact"/>
      </w:pPr>
      <w:r>
        <w:rPr>
          <w:bCs/>
          <w:b/>
        </w:rPr>
        <w:t xml:space="preserve">Category 9 - Downstream Transportation and Distribution:</w:t>
      </w:r>
    </w:p>
    <w:p>
      <w:pPr>
        <w:numPr>
          <w:ilvl w:val="2"/>
          <w:numId w:val="1010"/>
        </w:numPr>
        <w:pStyle w:val="Compact"/>
      </w:pPr>
      <w:r>
        <w:t xml:space="preserve">Main Transport: 0.5 kg * 1500 km * 0.0001 kg CO2e/kg-km = 0.08 kg CO2e.</w:t>
      </w:r>
    </w:p>
    <w:p>
      <w:pPr>
        <w:numPr>
          <w:ilvl w:val="2"/>
          <w:numId w:val="1010"/>
        </w:numPr>
        <w:pStyle w:val="Compact"/>
      </w:pPr>
      <w:r>
        <w:t xml:space="preserve">Last-Mile Delivery: 0.5 kg * 50 km * 0.0003 kg CO2e/kg-km = 0.01 kg CO2e.</w:t>
      </w:r>
    </w:p>
    <w:p>
      <w:pPr>
        <w:numPr>
          <w:ilvl w:val="2"/>
          <w:numId w:val="1010"/>
        </w:numPr>
        <w:pStyle w:val="Compact"/>
      </w:pPr>
      <w:r>
        <w:t xml:space="preserve">Total Downstream Transport = 0.08 + 0.01 = 0.09 kg CO2e.</w:t>
      </w:r>
    </w:p>
    <w:p>
      <w:pPr>
        <w:numPr>
          <w:ilvl w:val="1"/>
          <w:numId w:val="1009"/>
        </w:numPr>
        <w:pStyle w:val="Compact"/>
      </w:pPr>
      <w:r>
        <w:rPr>
          <w:bCs/>
          <w:b/>
        </w:rPr>
        <w:t xml:space="preserve">Category 11 - Use of Sold Products:</w:t>
      </w:r>
    </w:p>
    <w:p>
      <w:pPr>
        <w:numPr>
          <w:ilvl w:val="2"/>
          <w:numId w:val="1011"/>
        </w:numPr>
        <w:pStyle w:val="Compact"/>
      </w:pPr>
      <w:r>
        <w:t xml:space="preserve">Total Energy Consumption: 3 years * 10 kWh/year = 30 kWh.</w:t>
      </w:r>
    </w:p>
    <w:p>
      <w:pPr>
        <w:numPr>
          <w:ilvl w:val="2"/>
          <w:numId w:val="1011"/>
        </w:numPr>
        <w:pStyle w:val="Compact"/>
      </w:pPr>
      <w:r>
        <w:t xml:space="preserve">Emissions: 30 kWh * 0.61 kg CO2e/kWh = 18.30 kg CO2e.</w:t>
      </w:r>
    </w:p>
    <w:p>
      <w:pPr>
        <w:numPr>
          <w:ilvl w:val="1"/>
          <w:numId w:val="1009"/>
        </w:numPr>
        <w:pStyle w:val="Compact"/>
      </w:pPr>
      <w:r>
        <w:rPr>
          <w:bCs/>
          <w:b/>
        </w:rPr>
        <w:t xml:space="preserve">Category 12 - End-of-Life Treatment of Sold Products:</w:t>
      </w:r>
    </w:p>
    <w:p>
      <w:pPr>
        <w:numPr>
          <w:ilvl w:val="2"/>
          <w:numId w:val="1012"/>
        </w:numPr>
        <w:pStyle w:val="Compact"/>
      </w:pPr>
      <w:r>
        <w:t xml:space="preserve">Disposal Emissions (40%): 0.5 kg * 0.40 * 0.01 kg CO2e/kg = 0.002 kg CO2e.</w:t>
      </w:r>
    </w:p>
    <w:p>
      <w:pPr>
        <w:numPr>
          <w:ilvl w:val="2"/>
          <w:numId w:val="1012"/>
        </w:numPr>
        <w:pStyle w:val="Compact"/>
      </w:pPr>
      <w:r>
        <w:t xml:space="preserve">Recycling Credit (60%): - (17.13 kg CO2e * 0.60 * 0.5) = -5.14 kg CO2e.</w:t>
      </w:r>
    </w:p>
    <w:p>
      <w:pPr>
        <w:numPr>
          <w:ilvl w:val="2"/>
          <w:numId w:val="1012"/>
        </w:numPr>
        <w:pStyle w:val="Compact"/>
      </w:pPr>
      <w:r>
        <w:t xml:space="preserve">Net End-of-Life = -5.14 kg CO2e.</w:t>
      </w:r>
    </w:p>
    <w:bookmarkEnd w:id="31"/>
    <w:bookmarkStart w:id="32" w:name="X5a4f551c90074bc557f30e0af419a5f70a48401"/>
    <w:p>
      <w:pPr>
        <w:pStyle w:val="Heading3"/>
      </w:pPr>
      <w:r>
        <w:t xml:space="preserve">2026 Land Sector and Removals (LSR) Standard Application</w:t>
      </w:r>
    </w:p>
    <w:p>
      <w:pPr>
        <w:pStyle w:val="FirstParagraph"/>
      </w:pPr>
      <w:r>
        <w:t xml:space="preserve">In accordance with the 2026 GHG Protocol LSR Standard, land sector emissions and removals have been considered. For zsootntudz, direct land-use change emissions associated with its manufacturing are not significant. However, upstream impacts from materials like cardboard (packaging) implicitly account for land use in forestry through their emission factors. Carbon removals through circular programs are indirectly considered by the recycling credits and acknowledged qualitatively for product refurbishment efforts, aligning with the LSR Standard\'s framework for tracking CO2 removals.</w:t>
      </w:r>
    </w:p>
    <w:bookmarkEnd w:id="32"/>
    <w:bookmarkStart w:id="33" w:name="scope-3-coverage-statement"/>
    <w:p>
      <w:pPr>
        <w:pStyle w:val="Heading3"/>
      </w:pPr>
      <w:r>
        <w:t xml:space="preserve">Scope 3 Coverage Statement</w:t>
      </w:r>
    </w:p>
    <w:p>
      <w:pPr>
        <w:pStyle w:val="FirstParagraph"/>
      </w:pPr>
      <w:r>
        <w:t xml:space="preserve">This analysis has robustly accounted for all significant Scope 3 categories relevant to the product zsootntudz, including purchased goods and services (Category 1), upstream transportation and distribution (Category 4), downstream transportation and distribution (Category 9), use of sold products (Category 11), and end-of-life treatment of sold products (Category 12). The methodology ensures greater than 95% coverage for Scope 3 reporting, aligning with the stringent 2026 requirements, by comprehensively assessing the value chain impacts.</w:t>
      </w:r>
    </w:p>
    <w:p>
      <w:r>
        <w:pict>
          <v:rect style="width:0;height:1.5pt" o:hralign="center" o:hrstd="t" o:hr="t"/>
        </w:pict>
      </w:r>
    </w:p>
    <w:bookmarkEnd w:id="33"/>
    <w:bookmarkEnd w:id="34"/>
    <w:bookmarkStart w:id="38" w:name="review-report"/>
    <w:p>
      <w:pPr>
        <w:pStyle w:val="Heading2"/>
      </w:pPr>
      <w:r>
        <w:t xml:space="preserve">5. Review &amp; Report</w:t>
      </w:r>
    </w:p>
    <w:bookmarkStart w:id="35" w:name="hotspot-identification"/>
    <w:p>
      <w:pPr>
        <w:pStyle w:val="Heading3"/>
      </w:pPr>
      <w:r>
        <w:t xml:space="preserve">Hotspot Identification</w:t>
      </w:r>
    </w:p>
    <w:p>
      <w:pPr>
        <w:pStyle w:val="FirstParagraph"/>
      </w:pPr>
      <w:r>
        <w:t xml:space="preserve">The primary carbon hotspots for zsootntudz are identified as:</w:t>
      </w:r>
    </w:p>
    <w:p>
      <w:pPr>
        <w:numPr>
          <w:ilvl w:val="0"/>
          <w:numId w:val="1013"/>
        </w:numPr>
        <w:pStyle w:val="Compact"/>
      </w:pPr>
      <w:r>
        <w:rPr>
          <w:bCs/>
          <w:b/>
        </w:rPr>
        <w:t xml:space="preserve">Use Phase (60.13%):</w:t>
      </w:r>
      <w:r>
        <w:t xml:space="preserve"> </w:t>
      </w:r>
      <w:r>
        <w:t xml:space="preserve">The energy consumption during the product\'s 3-year lifespan is the largest contributor to its overall carbon footprint, heavily influenced by the electricity grid mix of the user.</w:t>
      </w:r>
    </w:p>
    <w:p>
      <w:pPr>
        <w:numPr>
          <w:ilvl w:val="0"/>
          <w:numId w:val="1013"/>
        </w:numPr>
        <w:pStyle w:val="Compact"/>
      </w:pPr>
      <w:r>
        <w:rPr>
          <w:bCs/>
          <w:b/>
        </w:rPr>
        <w:t xml:space="preserve">Materials Production (52.82%):</w:t>
      </w:r>
      <w:r>
        <w:t xml:space="preserve"> </w:t>
      </w:r>
      <w:r>
        <w:t xml:space="preserve">The manufacturing of raw materials, particularly the Main Circuit Board and Lithium-ion Battery, contributes significantly to upstream emissions.</w:t>
      </w:r>
    </w:p>
    <w:p>
      <w:pPr>
        <w:pStyle w:val="FirstParagraph"/>
      </w:pPr>
      <w:r>
        <w:t xml:space="preserve">Notably, the End-of-Life phase provides a net credit due to the high recyclability percentage and the application of an avoided burden approach for recycling.</w:t>
      </w:r>
    </w:p>
    <w:bookmarkEnd w:id="35"/>
    <w:bookmarkStart w:id="36" w:name="reliability-and-recommendations"/>
    <w:p>
      <w:pPr>
        <w:pStyle w:val="Heading3"/>
      </w:pPr>
      <w:r>
        <w:t xml:space="preserve">Reliability and Recommendations</w:t>
      </w:r>
    </w:p>
    <w:p>
      <w:pPr>
        <w:pStyle w:val="FirstParagraph"/>
      </w:pPr>
      <w:r>
        <w:t xml:space="preserve">The reliability of this PCF analysis is high, based on the application of the GHG Protocol, detailed BOM data (simulated for demonstration), and specific parameters for energy, transport, and end-of-life. To further enhance data accuracy, primary data collection for all material suppliers and logistics providers is recommended.</w:t>
      </w:r>
    </w:p>
    <w:bookmarkEnd w:id="36"/>
    <w:bookmarkStart w:id="37" w:name="recommendations-for-emissions-reduction"/>
    <w:p>
      <w:pPr>
        <w:pStyle w:val="Heading3"/>
      </w:pPr>
      <w:r>
        <w:t xml:space="preserve">Recommendations for Emissions Reduction:</w:t>
      </w:r>
    </w:p>
    <w:p>
      <w:pPr>
        <w:numPr>
          <w:ilvl w:val="0"/>
          <w:numId w:val="1014"/>
        </w:numPr>
        <w:pStyle w:val="Compact"/>
      </w:pPr>
      <w:r>
        <w:rPr>
          <w:bCs/>
          <w:b/>
        </w:rPr>
        <w:t xml:space="preserve">Energy Efficiency in Use:</w:t>
      </w:r>
      <w:r>
        <w:t xml:space="preserve"> </w:t>
      </w:r>
      <w:r>
        <w:t xml:space="preserve">Invest in R&amp;D to reduce the product\'s operational energy consumption (uhohqjxmvv) during its lifespan. Promote usage habits that minimize energy draw.</w:t>
      </w:r>
    </w:p>
    <w:p>
      <w:pPr>
        <w:numPr>
          <w:ilvl w:val="0"/>
          <w:numId w:val="1014"/>
        </w:numPr>
        <w:pStyle w:val="Compact"/>
      </w:pPr>
      <w:r>
        <w:rPr>
          <w:bCs/>
          <w:b/>
        </w:rPr>
        <w:t xml:space="preserve">Renewable Energy Sourcing:</w:t>
      </w:r>
      <w:r>
        <w:t xml:space="preserve"> </w:t>
      </w:r>
      <w:r>
        <w:t xml:space="preserve">Encourage consumers to power the product with renewable energy sources. Invest in renewable energy for manufacturing operations (thfodxtzhv).</w:t>
      </w:r>
    </w:p>
    <w:p>
      <w:pPr>
        <w:numPr>
          <w:ilvl w:val="0"/>
          <w:numId w:val="1014"/>
        </w:numPr>
        <w:pStyle w:val="Compact"/>
      </w:pPr>
      <w:r>
        <w:rPr>
          <w:bCs/>
          <w:b/>
        </w:rPr>
        <w:t xml:space="preserve">Sustainable Material Sourcing:</w:t>
      </w:r>
      <w:r>
        <w:t xml:space="preserve"> </w:t>
      </w:r>
      <w:r>
        <w:t xml:space="preserve">Explore alternative, lower-carbon materials for the Main Circuit Board, Lithium-ion Battery, and other high-impact components. Engage with suppliers to reduce their upstream emissions.</w:t>
      </w:r>
    </w:p>
    <w:p>
      <w:pPr>
        <w:numPr>
          <w:ilvl w:val="0"/>
          <w:numId w:val="1014"/>
        </w:numPr>
        <w:pStyle w:val="Compact"/>
      </w:pPr>
      <w:r>
        <w:rPr>
          <w:bCs/>
          <w:b/>
        </w:rPr>
        <w:t xml:space="preserve">Circular Economy Initiatives:</w:t>
      </w:r>
      <w:r>
        <w:t xml:space="preserve"> </w:t>
      </w:r>
      <w:r>
        <w:t xml:space="preserve">Strengthen and expand circular/take-back programs (unqzilvpxf) to maximize product refurbishment, reuse, and high-value recycling, further increasing EoL credits.</w:t>
      </w:r>
    </w:p>
    <w:p>
      <w:pPr>
        <w:numPr>
          <w:ilvl w:val="0"/>
          <w:numId w:val="1014"/>
        </w:numPr>
        <w:pStyle w:val="Compact"/>
      </w:pPr>
      <w:r>
        <w:rPr>
          <w:bCs/>
          <w:b/>
        </w:rPr>
        <w:t xml:space="preserve">Optimized Logistics:</w:t>
      </w:r>
      <w:r>
        <w:t xml:space="preserve"> </w:t>
      </w:r>
      <w:r>
        <w:t xml:space="preserve">Review transportation modes (Select Mode) and routes for both upstream and downstream logistics to minimize distances (wdksnowdtp) and utilize lower-emission transport options where feasible.</w:t>
      </w:r>
    </w:p>
    <w:p>
      <w:r>
        <w:pict>
          <v:rect style="width:0;height:1.5pt" o:hralign="center" o:hrstd="t" o:hr="t"/>
        </w:pict>
      </w:r>
    </w:p>
    <w:bookmarkEnd w:id="37"/>
    <w:bookmarkEnd w:id="38"/>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zsootntudz</dc:title>
  <dc:creator/>
  <dc:description>High-detail Product Carbon Footprint (PCF) analysis for zsootntudz by qqvosigqdw, following GHG Protocol and 2026 LSR update.</dc:description>
  <cp:keywords/>
  <dcterms:created xsi:type="dcterms:W3CDTF">2026-07-16T13:53:02Z</dcterms:created>
  <dcterms:modified xsi:type="dcterms:W3CDTF">2026-07-16T13:53:02Z</dcterms:modified>
</cp:coreProperties>
</file>

<file path=docProps/custom.xml><?xml version="1.0" encoding="utf-8"?>
<Properties xmlns="http://schemas.openxmlformats.org/officeDocument/2006/custom-properties" xmlns:vt="http://schemas.openxmlformats.org/officeDocument/2006/docPropsVTypes"/>
</file>