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zqkdgipnkj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zqkdgipnkj</w:t>
      </w:r>
    </w:p>
    <w:p>
      <w:pPr>
        <w:pStyle w:val="BodyText"/>
      </w:pPr>
      <w:r>
        <w:rPr>
          <w:bCs/>
          <w:b/>
        </w:rPr>
        <w:t xml:space="preserve">Company Name:</w:t>
      </w:r>
      <w:r>
        <w:t xml:space="preserve"> </w:t>
      </w:r>
      <w:r>
        <w:t xml:space="preserve">jvlpsoqdok</w:t>
      </w:r>
    </w:p>
    <w:p>
      <w:pPr>
        <w:pStyle w:val="BodyText"/>
      </w:pPr>
      <w:r>
        <w:rPr>
          <w:bCs/>
          <w:b/>
        </w:rPr>
        <w:t xml:space="preserve">Senior Sustainability Consultant:</w:t>
      </w:r>
      <w:r>
        <w:t xml:space="preserve"> </w:t>
      </w:r>
      <w:r>
        <w:t xml:space="preserve">wzeifvlqtt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Actual values may vary based on precise, verified primary data not always available for illustrative placeholder examples.</w:t>
      </w:r>
    </w:p>
    <w:bookmarkEnd w:id="20"/>
    <w:bookmarkStart w:id="46" w:name="Xa5347426808045b0cf074372fed50b886f6cc21"/>
    <w:p>
      <w:pPr>
        <w:pStyle w:val="Heading1"/>
      </w:pPr>
      <w:r>
        <w:t xml:space="preserve">Product Carbon Footprint Analysis Report: zqkdgipnkj</w:t>
      </w:r>
    </w:p>
    <w:p>
      <w:pPr>
        <w:pStyle w:val="FirstParagraph"/>
      </w:pPr>
      <w:r>
        <w:rPr>
          <w:bCs/>
          <w:b/>
        </w:rPr>
        <w:t xml:space="preserve">Generated Date:</w:t>
      </w:r>
      <w:r>
        <w:t xml:space="preserve"> </w:t>
      </w:r>
      <w:r>
        <w:t xml:space="preserve">June 3, 2026</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zqkdgipnkj manufactured by jvlpsoqdok. The analysis is conducted by wzeifvlqtt, a Senior Sustainability Consultant, in strict adherence to the Greenhouse Gas (GHG) Protocol. The objective is to quantify the greenhouse gas emissions associated with zqkdgipnkj across its lifecycle, identify emission hotspots, and provide a foundation for decarbonization strategies. This report incorporates the 2026 Land Sector and Removals (LSR) Standard updates and ensures robust Scope 3 compliance, reflecting the latest requirements in carbon accounting. Due to the nature of the provided input as placeholder strings, this report demonstrates the methodology and structure of a high-detail PCF, using illustrative data points where specific values were not available for precise numerical calculation. Actual, verified data would be required for definitive emission figures.</w:t>
      </w:r>
    </w:p>
    <w:bookmarkEnd w:id="21"/>
    <w:bookmarkStart w:id="25" w:name="methodology-and-accounting-standard"/>
    <w:p>
      <w:pPr>
        <w:pStyle w:val="Heading2"/>
      </w:pPr>
      <w:r>
        <w:t xml:space="preserve">2. Methodology and Accounting Standard</w:t>
      </w:r>
    </w:p>
    <w:p>
      <w:pPr>
        <w:pStyle w:val="FirstParagraph"/>
      </w:pPr>
      <w:r>
        <w:t xml:space="preserve">The Product Carbon Footprint (PCF) analysis for zqkdgipnkj follows the internationally recognized **GHG Protocol Product Standard**. This standard provides a comprehensive framework for quantifying and reporting the greenhouse gas emissions associated with a product over its entire lifecycle.</w:t>
      </w:r>
    </w:p>
    <w:bookmarkStart w:id="22" w:name="ghg-protocol-framework"/>
    <w:p>
      <w:pPr>
        <w:pStyle w:val="Heading3"/>
      </w:pPr>
      <w:r>
        <w:t xml:space="preserve">2.1 GHG Protocol Framework</w:t>
      </w:r>
    </w:p>
    <w:p>
      <w:pPr>
        <w:pStyle w:val="FirstParagraph"/>
      </w:pPr>
      <w:r>
        <w:t xml:space="preserve">The GHG Protocol categorizes emissions into three scopes to distinguish between direct and indirect sources along the value chain:</w:t>
      </w:r>
    </w:p>
    <w:p>
      <w:pPr>
        <w:numPr>
          <w:ilvl w:val="0"/>
          <w:numId w:val="1001"/>
        </w:numPr>
        <w:pStyle w:val="Compact"/>
      </w:pPr>
      <w:r>
        <w:rPr>
          <w:bCs/>
          <w:b/>
        </w:rPr>
        <w:t xml:space="preserve">Scope 1: Direct GHG Emissions.</w:t>
      </w:r>
      <w:r>
        <w:t xml:space="preserve"> </w:t>
      </w:r>
      <w:r>
        <w:t xml:space="preserve">Emissions from sources that are owned or controlled by jvlpsoqdok, such as direct fuel combustion in manufacturing facilities, company-owned vehicles, or process emissions.</w:t>
      </w:r>
    </w:p>
    <w:p>
      <w:pPr>
        <w:numPr>
          <w:ilvl w:val="0"/>
          <w:numId w:val="1001"/>
        </w:numPr>
        <w:pStyle w:val="Compact"/>
      </w:pPr>
      <w:r>
        <w:rPr>
          <w:bCs/>
          <w:b/>
        </w:rPr>
        <w:t xml:space="preserve">Scope 2: Indirect GHG Emissions from Purchased Energy.</w:t>
      </w:r>
      <w:r>
        <w:t xml:space="preserve"> </w:t>
      </w:r>
      <w:r>
        <w:t xml:space="preserve">Emissions from the generation of purchased electricity, steam, heating, and cooling consumed by jvlpsoqdok\'s operations.</w:t>
      </w:r>
    </w:p>
    <w:p>
      <w:pPr>
        <w:numPr>
          <w:ilvl w:val="0"/>
          <w:numId w:val="1001"/>
        </w:numPr>
        <w:pStyle w:val="Compact"/>
      </w:pPr>
      <w:r>
        <w:rPr>
          <w:bCs/>
          <w:b/>
        </w:rPr>
        <w:t xml:space="preserve">Scope 3: Other Indirect GHG Emissions (Value Chain Emissions).</w:t>
      </w:r>
      <w:r>
        <w:t xml:space="preserve"> </w:t>
      </w:r>
      <w:r>
        <w:t xml:space="preserve">All other indirect emissions that occur in the value chain of jvlpsoqdok, both upstream and downstream. These are emissions from sources not owned or controlled by the company but are a consequence of its activities. Scope 3 typically represents the largest portion of a company\'s total carbon footprint.</w:t>
      </w:r>
    </w:p>
    <w:bookmarkEnd w:id="22"/>
    <w:bookmarkStart w:id="23" w:name="X504f4a86e01fdcfa46a4589bb1b5e0cfaad8629"/>
    <w:p>
      <w:pPr>
        <w:pStyle w:val="Heading3"/>
      </w:pPr>
      <w:r>
        <w:t xml:space="preserve">2.2 2026 Land Sector and Removals (LSR) Standard Update</w:t>
      </w:r>
    </w:p>
    <w:p>
      <w:pPr>
        <w:pStyle w:val="FirstParagraph"/>
      </w:pPr>
      <w:r>
        <w:t xml:space="preserve">This analysis incorporates the GHG Protocol’s Land Sector and Removals (LSR) Standard, released on January 30, 2026, and effective January 1, 2027. The LSR Standard provides crucial requirements and guidance for accounting for land emissions, CO₂ removals, and other metrics from agricultural and land use activities. It also offers guidance for technological CO₂ removals (e.g., direct air capture). This ensures that emissions and removals related to land use, which are significant in many value chains, are appropriately quantified and reported, enhancing the completeness of the PCF.</w:t>
      </w:r>
    </w:p>
    <w:bookmarkEnd w:id="23"/>
    <w:bookmarkStart w:id="24" w:name="scope-3-compliance-2026-requirements"/>
    <w:p>
      <w:pPr>
        <w:pStyle w:val="Heading3"/>
      </w:pPr>
      <w:r>
        <w:t xml:space="preserve">2.3 Scope 3 Compliance (2026 Requirements)</w:t>
      </w:r>
    </w:p>
    <w:p>
      <w:pPr>
        <w:pStyle w:val="FirstParagraph"/>
      </w:pPr>
      <w:r>
        <w:t xml:space="preserve">In line with the 2026 GHG Protocol Scope 3 revisions, this report ensures at least 95% coverage of total required Scope 3 emissions. This stringent requirement aims to bolster the integrity and usability of Scope 3 data by minimizing exclusions and fostering comprehensive value chain visibility. Any justified exclusions, not exceeding 5% of required emissions, would be quantified and transparently disclosed.</w:t>
      </w:r>
    </w:p>
    <w:p>
      <w:r>
        <w:pict>
          <v:rect style="width:0;height:1.5pt" o:hralign="center" o:hrstd="t" o:hr="t"/>
        </w:pict>
      </w:r>
    </w:p>
    <w:bookmarkEnd w:id="24"/>
    <w:bookmarkEnd w:id="25"/>
    <w:bookmarkStart w:id="45" w:name="pcf-methodology-steps"/>
    <w:p>
      <w:pPr>
        <w:pStyle w:val="Heading2"/>
      </w:pPr>
      <w:r>
        <w:t xml:space="preserve">3. PCF Methodology Steps</w:t>
      </w:r>
    </w:p>
    <w:p>
      <w:pPr>
        <w:pStyle w:val="FirstParagraph"/>
      </w:pPr>
      <w:r>
        <w:t xml:space="preserve">The following five-step methodology has been applied for this Product Carbon Footprint analysis:</w:t>
      </w:r>
    </w:p>
    <w:p>
      <w:pPr>
        <w:numPr>
          <w:ilvl w:val="0"/>
          <w:numId w:val="1002"/>
        </w:numPr>
        <w:pStyle w:val="Heading3"/>
      </w:pPr>
      <w:bookmarkStart w:id="26" w:name="define-scope"/>
      <w:r>
        <w:t xml:space="preserve">Define Scope</w:t>
      </w:r>
      <w:bookmarkEnd w:id="26"/>
    </w:p>
    <w:p>
      <w:pPr>
        <w:numPr>
          <w:ilvl w:val="1"/>
          <w:numId w:val="1003"/>
        </w:numPr>
        <w:pStyle w:val="Compact"/>
      </w:pPr>
      <w:r>
        <w:rPr>
          <w:bCs/>
          <w:b/>
        </w:rPr>
        <w:t xml:space="preserve">Functional Unit:</w:t>
      </w:r>
      <w:r>
        <w:t xml:space="preserve"> </w:t>
      </w:r>
      <w:r>
        <w:t xml:space="preserve">1.0 unit of zqkdgipnkj. This defines the quantified performance of the product system for use as a reference unit.</w:t>
      </w:r>
    </w:p>
    <w:p>
      <w:pPr>
        <w:numPr>
          <w:ilvl w:val="1"/>
          <w:numId w:val="1003"/>
        </w:numPr>
        <w:pStyle w:val="Compact"/>
      </w:pPr>
      <w:r>
        <w:rPr>
          <w:bCs/>
          <w:b/>
        </w:rPr>
        <w:t xml:space="preserve">System Boundary:</w:t>
      </w:r>
      <w:r>
        <w:t xml:space="preserve"> </w:t>
      </w:r>
      <w:r>
        <w:t xml:space="preserve">factory_gate. This boundary encompasses all activities from raw material extraction ("cradle") up to the point the finished product zqkdgipnkj leaves the manufacturing facility ("gate"). It includes upstream processes (material acquisition, pre-processing, transport to factory) and manufacturing processes (factory operations). Although the primary boundary is "factory_gate," the report also expands to cover downstream Use Phase and End-of-Life scenarios as requested.</w:t>
      </w:r>
    </w:p>
    <w:p>
      <w:pPr>
        <w:numPr>
          <w:ilvl w:val="1"/>
          <w:numId w:val="1003"/>
        </w:numPr>
        <w:pStyle w:val="Compact"/>
      </w:pPr>
      <w:r>
        <w:rPr>
          <w:bCs/>
          <w:b/>
        </w:rPr>
        <w:t xml:space="preserve">Geographic Scope:</w:t>
      </w:r>
      <w:r>
        <w:t xml:space="preserve"> </w:t>
      </w:r>
      <w:r>
        <w:t xml:space="preserve">Final Production Country: China, Supply Chain Focus: Europe Focused. This dictates the regional specificity for emission factors and energy grids.</w:t>
      </w:r>
    </w:p>
    <w:p>
      <w:pPr>
        <w:numPr>
          <w:ilvl w:val="1"/>
          <w:numId w:val="1003"/>
        </w:numPr>
        <w:pStyle w:val="Compact"/>
      </w:pPr>
      <w:r>
        <w:rPr>
          <w:bCs/>
          <w:b/>
        </w:rPr>
        <w:t xml:space="preserve">Allocation:</w:t>
      </w:r>
      <w:r>
        <w:t xml:space="preserve"> </w:t>
      </w:r>
      <w:r>
        <w:t xml:space="preserve">For co-product or multi-output processes, allocation of environmental burdens would be performed based on established methodologies such as mass, economic value, or energy content, ensuring fairness and proportionality. (No specific allocation details are provided with placeholder data).</w:t>
      </w:r>
    </w:p>
    <w:p>
      <w:pPr>
        <w:numPr>
          <w:ilvl w:val="0"/>
          <w:numId w:val="1002"/>
        </w:numPr>
        <w:pStyle w:val="Heading3"/>
      </w:pPr>
      <w:bookmarkStart w:id="27" w:name="map-lifecycle-lci-inventory-stages"/>
      <w:r>
        <w:t xml:space="preserve">Map Lifecycle (LCI Inventory Stages)</w:t>
      </w:r>
      <w:bookmarkEnd w:id="27"/>
    </w:p>
    <w:p>
      <w:pPr>
        <w:numPr>
          <w:ilvl w:val="0"/>
          <w:numId w:val="1000"/>
        </w:numPr>
      </w:pPr>
      <w:r>
        <w:t xml:space="preserve">The lifecycle of zqkdgipnkj is mapped across key stages, detailing the flow of materials, energy, and waste:</w:t>
      </w:r>
    </w:p>
    <w:p>
      <w:pPr>
        <w:numPr>
          <w:ilvl w:val="1"/>
          <w:numId w:val="1004"/>
        </w:numPr>
        <w:pStyle w:val="Compact"/>
      </w:pPr>
      <w:r>
        <w:rPr>
          <w:bCs/>
          <w:b/>
        </w:rPr>
        <w:t xml:space="preserve">Material Acquisition &amp; Pre-processing (Upstream - Scope 3, Category 1):</w:t>
      </w:r>
      <w:r>
        <w:t xml:space="preserve"> </w:t>
      </w:r>
      <w:r>
        <w:t xml:space="preserve">Extraction of raw materials and their processing into usable forms.</w:t>
      </w:r>
    </w:p>
    <w:p>
      <w:pPr>
        <w:numPr>
          <w:ilvl w:val="1"/>
          <w:numId w:val="1004"/>
        </w:numPr>
        <w:pStyle w:val="Compact"/>
      </w:pPr>
      <w:r>
        <w:rPr>
          <w:bCs/>
          <w:b/>
        </w:rPr>
        <w:t xml:space="preserve">Manufacturing/Production (Core - Scope 1, 2, &amp; 3):</w:t>
      </w:r>
    </w:p>
    <w:p>
      <w:pPr>
        <w:numPr>
          <w:ilvl w:val="2"/>
          <w:numId w:val="1005"/>
        </w:numPr>
        <w:pStyle w:val="Compact"/>
      </w:pPr>
      <w:r>
        <w:t xml:space="preserve">Direct emissions from owned/controlled operations (Scope 1).</w:t>
      </w:r>
    </w:p>
    <w:p>
      <w:pPr>
        <w:numPr>
          <w:ilvl w:val="2"/>
          <w:numId w:val="1005"/>
        </w:numPr>
        <w:pStyle w:val="Compact"/>
      </w:pPr>
      <w:r>
        <w:t xml:space="preserve">Indirect emissions from purchased electricity/heat (Scope 2).</w:t>
      </w:r>
    </w:p>
    <w:p>
      <w:pPr>
        <w:numPr>
          <w:ilvl w:val="2"/>
          <w:numId w:val="1005"/>
        </w:numPr>
        <w:pStyle w:val="Compact"/>
      </w:pPr>
      <w:r>
        <w:t xml:space="preserve">Upstream emissions from purchased goods/services for manufacturing (Scope 3).</w:t>
      </w:r>
    </w:p>
    <w:p>
      <w:pPr>
        <w:numPr>
          <w:ilvl w:val="1"/>
          <w:numId w:val="1004"/>
        </w:numPr>
        <w:pStyle w:val="Compact"/>
      </w:pPr>
      <w:r>
        <w:rPr>
          <w:bCs/>
          <w:b/>
        </w:rPr>
        <w:t xml:space="preserve">Transportation (Upstream &amp; Downstream - Scope 3, Categories 4 &amp; 9):</w:t>
      </w:r>
      <w:r>
        <w:t xml:space="preserve"> </w:t>
      </w:r>
      <w:r>
        <w:t xml:space="preserve">Movement of raw materials to the factory, and finished products to distribution centers/customers.</w:t>
      </w:r>
    </w:p>
    <w:p>
      <w:pPr>
        <w:numPr>
          <w:ilvl w:val="1"/>
          <w:numId w:val="1004"/>
        </w:numPr>
        <w:pStyle w:val="Compact"/>
      </w:pPr>
      <w:r>
        <w:rPr>
          <w:bCs/>
          <w:b/>
        </w:rPr>
        <w:t xml:space="preserve">Use Phase (Downstream - Scope 3, Category 11):</w:t>
      </w:r>
      <w:r>
        <w:t xml:space="preserve"> </w:t>
      </w:r>
      <w:r>
        <w:t xml:space="preserve">Energy consumption, maintenance, and other impacts during the product\'s active life.</w:t>
      </w:r>
    </w:p>
    <w:p>
      <w:pPr>
        <w:numPr>
          <w:ilvl w:val="1"/>
          <w:numId w:val="1004"/>
        </w:numPr>
        <w:pStyle w:val="Compact"/>
      </w:pPr>
      <w:r>
        <w:rPr>
          <w:bCs/>
          <w:b/>
        </w:rPr>
        <w:t xml:space="preserve">End-of-Life (Downstream - Scope 3, Category 12):</w:t>
      </w:r>
      <w:r>
        <w:t xml:space="preserve"> </w:t>
      </w:r>
      <w:r>
        <w:t xml:space="preserve">Disposal, recycling, or recovery processes at the end of the product\'s lifespan.</w:t>
      </w:r>
    </w:p>
    <w:p>
      <w:pPr>
        <w:numPr>
          <w:ilvl w:val="0"/>
          <w:numId w:val="1002"/>
        </w:numPr>
        <w:pStyle w:val="Heading3"/>
      </w:pPr>
      <w:bookmarkStart w:id="28" w:name="Xb57f50a89bf1f3f1837369be949d9d60d6c1272"/>
      <w:r>
        <w:t xml:space="preserve">Collect Data (Primary/Secondary Data Points)</w:t>
      </w:r>
      <w:bookmarkEnd w:id="28"/>
    </w:p>
    <w:p>
      <w:pPr>
        <w:numPr>
          <w:ilvl w:val="0"/>
          <w:numId w:val="1000"/>
        </w:numPr>
      </w:pPr>
      <w:r>
        <w:t xml:space="preserve">Data collection involves gathering quantitative information on resource consumption, energy use, and waste generation throughout the product\'s lifecycle. Given the placeholder nature of the input, illustrative examples are used below:</w:t>
      </w:r>
    </w:p>
    <w:p>
      <w:pPr>
        <w:numPr>
          <w:ilvl w:val="0"/>
          <w:numId w:val="1000"/>
        </w:numPr>
        <w:pStyle w:val="Heading4"/>
      </w:pPr>
      <w:bookmarkStart w:id="29" w:name="Xb192403a1d3edae3aabe90b426e045113614d36"/>
      <w:r>
        <w:t xml:space="preserve">Detailed Bill of Materials (BOM) - zegmfdtn (Illustrative for Upstream Scope 3)</w:t>
      </w:r>
      <w:bookmarkEnd w:id="29"/>
    </w:p>
    <w:p>
      <w:pPr>
        <w:numPr>
          <w:ilvl w:val="0"/>
          <w:numId w:val="1000"/>
        </w:numPr>
      </w:pPr>
      <w:r>
        <w:t xml:space="preserve">The provided Detailed Bill of Materials (BOM) `zegmfdtn` would serve as the primary input for material impact calculation. An example of the expected format and illustrative values is shown below:</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Alloy Sheet</w:t>
            </w:r>
          </w:p>
        </w:tc>
        <w:tc>
          <w:tcPr/>
          <w:p>
            <w:pPr>
              <w:pStyle w:val="Compact"/>
              <w:jc w:val="left"/>
            </w:pPr>
            <w:r>
              <w:t xml:space="preserve">Metals</w:t>
            </w:r>
          </w:p>
        </w:tc>
        <w:tc>
          <w:tcPr/>
          <w:p>
            <w:pPr>
              <w:pStyle w:val="Compact"/>
              <w:jc w:val="left"/>
            </w:pPr>
            <w:r>
              <w:t xml:space="preserve">Primary Aluminum Production (Europe)</w:t>
            </w:r>
          </w:p>
        </w:tc>
        <w:tc>
          <w:tcPr/>
          <w:p>
            <w:pPr>
              <w:pStyle w:val="Compact"/>
              <w:jc w:val="left"/>
            </w:pPr>
            <w:r>
              <w:t xml:space="preserve">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18.0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Injection Molding Grade ABS Production (China)</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Semiconductor Grade Silicon Production (China)</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Copper Rod Production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gridSpan w:val="6"/>
          </w:tcPr>
          <w:p>
            <w:pPr>
              <w:pStyle w:val="Compact"/>
              <w:jc w:val="right"/>
            </w:pPr>
            <w:r>
              <w:t xml:space="preserve">Subtotal Materials Carbon Footprint:</w:t>
            </w:r>
          </w:p>
        </w:tc>
        <w:tc>
          <w:tcPr>
            <w:gridSpan w:val="2"/>
          </w:tcPr>
          <w:p>
            <w:pPr>
              <w:pStyle w:val="Compact"/>
              <w:jc w:val="left"/>
            </w:pPr>
            <w:r>
              <w:t xml:space="preserve">23.05 kg CO2e</w:t>
            </w:r>
          </w:p>
        </w:tc>
      </w:tr>
    </w:tbl>
    <w:p>
      <w:pPr>
        <w:numPr>
          <w:ilvl w:val="0"/>
          <w:numId w:val="1000"/>
        </w:numPr>
      </w:pPr>
      <w:r>
        <w:rPr>
          <w:iCs/>
          <w:i/>
        </w:rPr>
        <w:t xml:space="preserve">Note: The "Emission Factor" and "Total Carbon" values in the table above are illustrative. In a real analysis, these would be derived from comprehensive Life Cycle Inventory (LCI) databases like Ecoinvent or DEFRA for specific materials and processes.</w:t>
      </w:r>
    </w:p>
    <w:p>
      <w:pPr>
        <w:numPr>
          <w:ilvl w:val="0"/>
          <w:numId w:val="1000"/>
        </w:numPr>
        <w:pStyle w:val="Heading4"/>
      </w:pPr>
      <w:bookmarkStart w:id="30" w:name="X04671dd1d5af2728230bf61d27a4740bf659883"/>
      <w:r>
        <w:t xml:space="preserve">Energy Inputs (Production Phase - Scope 1 &amp; 2)</w:t>
      </w:r>
      <w:bookmarkEnd w:id="30"/>
    </w:p>
    <w:p>
      <w:pPr>
        <w:numPr>
          <w:ilvl w:val="0"/>
          <w:numId w:val="1000"/>
        </w:numPr>
      </w:pPr>
      <w:r>
        <w:rPr>
          <w:bCs/>
          <w:b/>
        </w:rPr>
        <w:t xml:space="preserve">Energy Intensity (kWh/unit):</w:t>
      </w:r>
      <w:r>
        <w:t xml:space="preserve"> </w:t>
      </w:r>
      <w:r>
        <w:t xml:space="preserve">`lpzqtsvmrx` (Illustrative: 15 kWh/unit)</w:t>
      </w:r>
      <w:r>
        <w:br/>
      </w:r>
      <w:r>
        <w:rPr>
          <w:bCs/>
          <w:b/>
        </w:rPr>
        <w:t xml:space="preserve">Renewable Energy Usage:</w:t>
      </w:r>
      <w:r>
        <w:t xml:space="preserve"> </w:t>
      </w:r>
      <w:r>
        <w:t xml:space="preserve">`sxoumjdsrj` (Illustrative: 70% of purchased electricity)</w:t>
      </w:r>
      <w:r>
        <w:br/>
      </w:r>
      <w:r>
        <w:rPr>
          <w:iCs/>
          <w:i/>
        </w:rPr>
        <w:t xml:space="preserve">Actual values for `lpzqtsvmrx` and `sxoumjdsrj` would be provided for precise calculations.</w:t>
      </w:r>
    </w:p>
    <w:p>
      <w:pPr>
        <w:numPr>
          <w:ilvl w:val="0"/>
          <w:numId w:val="1000"/>
        </w:numPr>
        <w:pStyle w:val="Heading4"/>
      </w:pPr>
      <w:bookmarkStart w:id="31" w:name="X8561c609dc065491707cf594da57179f8ed9b88"/>
      <w:r>
        <w:t xml:space="preserve">Logistics Data (Upstream &amp; Downstream Transportation - Scope 3)</w:t>
      </w:r>
      <w:bookmarkEnd w:id="31"/>
    </w:p>
    <w:p>
      <w:pPr>
        <w:numPr>
          <w:ilvl w:val="0"/>
          <w:numId w:val="1000"/>
        </w:numPr>
      </w:pPr>
      <w:r>
        <w:rPr>
          <w:bCs/>
          <w:b/>
        </w:rPr>
        <w:t xml:space="preserve">Transport Mode (Raw Materials to Factory):</w:t>
      </w:r>
      <w:r>
        <w:t xml:space="preserve"> </w:t>
      </w:r>
      <w:r>
        <w:t xml:space="preserve">`Select Mode` (Illustrative: Road Freight, Heavy Truck)</w:t>
      </w:r>
      <w:r>
        <w:br/>
      </w:r>
      <w:r>
        <w:rPr>
          <w:bCs/>
          <w:b/>
        </w:rPr>
        <w:t xml:space="preserve">Transport Distance (Raw Materials to Factory):</w:t>
      </w:r>
      <w:r>
        <w:t xml:space="preserve"> </w:t>
      </w:r>
      <w:r>
        <w:t xml:space="preserve">`fmrxmfltnp` (Illustrative: 1,500 km, average from Europe to China via sea freight with last-mile road)</w:t>
      </w:r>
      <w:r>
        <w:br/>
      </w:r>
      <w:r>
        <w:rPr>
          <w:bCs/>
          <w:b/>
        </w:rPr>
        <w:t xml:space="preserve">Last-Mile Delivery Channel (Finished Product to Customer):</w:t>
      </w:r>
      <w:r>
        <w:t xml:space="preserve"> </w:t>
      </w:r>
      <w:r>
        <w:t xml:space="preserve">`Delivery Type` (Illustrative: Parcel delivery, Van)</w:t>
      </w:r>
      <w:r>
        <w:br/>
      </w:r>
      <w:r>
        <w:rPr>
          <w:iCs/>
          <w:i/>
        </w:rPr>
        <w:t xml:space="preserve">Actual transport modes, distances, and delivery channels for `Select Mode`, `fmrxmfltnp`, and `Delivery Type` would be used.</w:t>
      </w:r>
    </w:p>
    <w:p>
      <w:pPr>
        <w:numPr>
          <w:ilvl w:val="0"/>
          <w:numId w:val="1000"/>
        </w:numPr>
        <w:pStyle w:val="Heading4"/>
      </w:pPr>
      <w:bookmarkStart w:id="32" w:name="use-phase-data-downstream---scope-3"/>
      <w:r>
        <w:t xml:space="preserve">Use Phase Data (Downstream - Scope 3)</w:t>
      </w:r>
      <w:bookmarkEnd w:id="32"/>
    </w:p>
    <w:p>
      <w:pPr>
        <w:numPr>
          <w:ilvl w:val="0"/>
          <w:numId w:val="1000"/>
        </w:numPr>
      </w:pPr>
      <w:r>
        <w:rPr>
          <w:bCs/>
          <w:b/>
        </w:rPr>
        <w:t xml:space="preserve">Product Lifespan:</w:t>
      </w:r>
      <w:r>
        <w:t xml:space="preserve"> </w:t>
      </w:r>
      <w:r>
        <w:t xml:space="preserve">`xvefwgzuil` (Illustrative: 5 years)</w:t>
      </w:r>
      <w:r>
        <w:br/>
      </w:r>
      <w:r>
        <w:rPr>
          <w:bCs/>
          <w:b/>
        </w:rPr>
        <w:t xml:space="preserve">Energy Consumption in Use:</w:t>
      </w:r>
      <w:r>
        <w:t xml:space="preserve"> </w:t>
      </w:r>
      <w:r>
        <w:t xml:space="preserve">`tryddhqnhd` (Illustrative: 10 kWh/year)</w:t>
      </w:r>
      <w:r>
        <w:br/>
      </w:r>
      <w:r>
        <w:rPr>
          <w:iCs/>
          <w:i/>
        </w:rPr>
        <w:t xml:space="preserve">Actual `xvefwgzuil` and `tryddhqnhd` values are crucial for accurate use phase modeling.</w:t>
      </w:r>
    </w:p>
    <w:p>
      <w:pPr>
        <w:numPr>
          <w:ilvl w:val="0"/>
          <w:numId w:val="1000"/>
        </w:numPr>
        <w:pStyle w:val="Heading4"/>
      </w:pPr>
      <w:bookmarkStart w:id="33" w:name="X5d6d551cd10008517912bad390b5dc6a3dfac47"/>
      <w:r>
        <w:t xml:space="preserve">End-of-Life (EoL) Data (Downstream - Scope 3)</w:t>
      </w:r>
      <w:bookmarkEnd w:id="33"/>
    </w:p>
    <w:p>
      <w:pPr>
        <w:numPr>
          <w:ilvl w:val="0"/>
          <w:numId w:val="1000"/>
        </w:numPr>
      </w:pPr>
      <w:r>
        <w:rPr>
          <w:bCs/>
          <w:b/>
        </w:rPr>
        <w:t xml:space="preserve">Recyclability Percentage:</w:t>
      </w:r>
      <w:r>
        <w:t xml:space="preserve"> </w:t>
      </w:r>
      <w:r>
        <w:t xml:space="preserve">`hvgyxzrejx` (Illustrative: 80%)</w:t>
      </w:r>
      <w:r>
        <w:br/>
      </w:r>
      <w:r>
        <w:rPr>
          <w:bCs/>
          <w:b/>
        </w:rPr>
        <w:t xml:space="preserve">Circular/Take-back Programs:</w:t>
      </w:r>
      <w:r>
        <w:t xml:space="preserve"> </w:t>
      </w:r>
      <w:r>
        <w:t xml:space="preserve">`nvgppmnpno` (Illustrative: Company offers a take-back program for recycling)</w:t>
      </w:r>
      <w:r>
        <w:br/>
      </w:r>
      <w:r>
        <w:rPr>
          <w:iCs/>
          <w:i/>
        </w:rPr>
        <w:t xml:space="preserve">Specific `hvgyxzrejx` and `nvgppmnpno` details are vital for EoL scenario modeling.</w:t>
      </w:r>
    </w:p>
    <w:p>
      <w:pPr>
        <w:numPr>
          <w:ilvl w:val="0"/>
          <w:numId w:val="1002"/>
        </w:numPr>
        <w:pStyle w:val="Heading3"/>
      </w:pPr>
      <w:bookmarkStart w:id="34" w:name="Xb404f6bea4a0013006ec7a9103609d9ea6643c1"/>
      <w:r>
        <w:t xml:space="preserve">Calculate Emissions (Activity * Emission Factor = CO2e)</w:t>
      </w:r>
      <w:bookmarkEnd w:id="34"/>
    </w:p>
    <w:p>
      <w:pPr>
        <w:numPr>
          <w:ilvl w:val="0"/>
          <w:numId w:val="1000"/>
        </w:numPr>
      </w:pPr>
      <w:r>
        <w:t xml:space="preserve">Emissions are calculated by multiplying the activity data (e.g., kg of material, kWh of energy, km of transport) by corresponding emission factors. Industry-standard emission factors are sourced from reputable Life Cycle Inventory (LCI) databases such as Ecoinvent and DEFRA. Ecoinvent provides comprehensive data for various materials, processes, and energy, including regional averages, while DEFRA offers specific factors, particularly for transportation. Global Warming Potential (GWP100) values are used to express all greenhouse gases in CO₂ equivalents (CO2e).</w:t>
      </w:r>
    </w:p>
    <w:p>
      <w:pPr>
        <w:numPr>
          <w:ilvl w:val="0"/>
          <w:numId w:val="1000"/>
        </w:numPr>
        <w:pStyle w:val="Heading4"/>
      </w:pPr>
      <w:bookmarkStart w:id="35" w:name="X9cee6208389782d79486ee8ab6f8c616f2d196a"/>
      <w:r>
        <w:t xml:space="preserve">Illustrative Emissions Calculation Breakdown</w:t>
      </w:r>
      <w:bookmarkEnd w:id="35"/>
    </w:p>
    <w:p>
      <w:pPr>
        <w:numPr>
          <w:ilvl w:val="0"/>
          <w:numId w:val="1000"/>
        </w:numPr>
        <w:pStyle w:val="Heading4"/>
      </w:pPr>
      <w:bookmarkStart w:id="36" w:name="Xc6615a86139298bb52f47737de5617a0dbe1fe3"/>
      <w:r>
        <w:t xml:space="preserve">Scope 1 Emissions (Direct Emissions from jvlpsoqdok Operations)</w:t>
      </w:r>
      <w:bookmarkEnd w:id="36"/>
    </w:p>
    <w:p>
      <w:pPr>
        <w:numPr>
          <w:ilvl w:val="0"/>
          <w:numId w:val="1000"/>
        </w:numPr>
      </w:pPr>
      <w:r>
        <w:t xml:space="preserve">Assuming jvlpsoqdok owns and controls the manufacturing facility in China, any direct fuel combustion for heating or machinery would fall under Scope 1.</w:t>
      </w:r>
    </w:p>
    <w:p>
      <w:pPr>
        <w:numPr>
          <w:ilvl w:val="1"/>
          <w:numId w:val="1006"/>
        </w:numPr>
        <w:pStyle w:val="Compact"/>
      </w:pPr>
      <w:r>
        <w:rPr>
          <w:bCs/>
          <w:b/>
        </w:rPr>
        <w:t xml:space="preserve">Activity:</w:t>
      </w:r>
      <w:r>
        <w:t xml:space="preserve"> </w:t>
      </w:r>
      <w:r>
        <w:t xml:space="preserve">On-site natural gas consumption for process heat (Illustrative: 100 m³/unit of zqkdgipnkj)</w:t>
      </w:r>
    </w:p>
    <w:p>
      <w:pPr>
        <w:numPr>
          <w:ilvl w:val="1"/>
          <w:numId w:val="1006"/>
        </w:numPr>
        <w:pStyle w:val="Compact"/>
      </w:pPr>
      <w:r>
        <w:rPr>
          <w:bCs/>
          <w:b/>
        </w:rPr>
        <w:t xml:space="preserve">Emission Factor (Natural Gas Combustion):</w:t>
      </w:r>
      <w:r>
        <w:t xml:space="preserve"> </w:t>
      </w:r>
      <w:r>
        <w:t xml:space="preserve">2.0 kg CO2e/m³ (Illustrative)</w:t>
      </w:r>
    </w:p>
    <w:p>
      <w:pPr>
        <w:numPr>
          <w:ilvl w:val="1"/>
          <w:numId w:val="1006"/>
        </w:numPr>
        <w:pStyle w:val="Compact"/>
      </w:pPr>
      <w:r>
        <w:rPr>
          <w:bCs/>
          <w:b/>
        </w:rPr>
        <w:t xml:space="preserve">Illustrative Scope 1 Emissions:</w:t>
      </w:r>
      <w:r>
        <w:t xml:space="preserve"> </w:t>
      </w:r>
      <w:r>
        <w:t xml:space="preserve">100 m³/unit * 2.0 kg CO2e/m³ = 200 kg CO2e/unit</w:t>
      </w:r>
    </w:p>
    <w:p>
      <w:pPr>
        <w:numPr>
          <w:ilvl w:val="0"/>
          <w:numId w:val="1000"/>
        </w:numPr>
        <w:pStyle w:val="Heading4"/>
      </w:pPr>
      <w:bookmarkStart w:id="37" w:name="X6977f3fa422f6765b2c2cda913de286a6141650"/>
      <w:r>
        <w:t xml:space="preserve">Scope 2 Emissions (Indirect Emissions from Purchased Electricity)</w:t>
      </w:r>
      <w:bookmarkEnd w:id="37"/>
    </w:p>
    <w:p>
      <w:pPr>
        <w:numPr>
          <w:ilvl w:val="0"/>
          <w:numId w:val="1000"/>
        </w:numPr>
      </w:pPr>
      <w:r>
        <w:t xml:space="preserve">Calculated based on purchased electricity, accounting for renewable energy usage and the regional grid mix in China.</w:t>
      </w:r>
    </w:p>
    <w:p>
      <w:pPr>
        <w:numPr>
          <w:ilvl w:val="1"/>
          <w:numId w:val="1007"/>
        </w:numPr>
        <w:pStyle w:val="Compact"/>
      </w:pPr>
      <w:r>
        <w:rPr>
          <w:bCs/>
          <w:b/>
        </w:rPr>
        <w:t xml:space="preserve">Activity (Total Electricity):</w:t>
      </w:r>
      <w:r>
        <w:t xml:space="preserve"> </w:t>
      </w:r>
      <w:r>
        <w:t xml:space="preserve">`lpzqtsvmrx` (Illustrative: 15 kWh/unit)</w:t>
      </w:r>
    </w:p>
    <w:p>
      <w:pPr>
        <w:numPr>
          <w:ilvl w:val="1"/>
          <w:numId w:val="1007"/>
        </w:numPr>
        <w:pStyle w:val="Compact"/>
      </w:pPr>
      <w:r>
        <w:rPr>
          <w:bCs/>
          <w:b/>
        </w:rPr>
        <w:t xml:space="preserve">Renewable Energy Usage:</w:t>
      </w:r>
      <w:r>
        <w:t xml:space="preserve"> </w:t>
      </w:r>
      <w:r>
        <w:t xml:space="preserve">`sxoumjdsrj` (Illustrative: 70%)</w:t>
      </w:r>
    </w:p>
    <w:p>
      <w:pPr>
        <w:numPr>
          <w:ilvl w:val="1"/>
          <w:numId w:val="1007"/>
        </w:numPr>
        <w:pStyle w:val="Compact"/>
      </w:pPr>
      <w:r>
        <w:rPr>
          <w:bCs/>
          <w:b/>
        </w:rPr>
        <w:t xml:space="preserve">Non-Renewable Electricity:</w:t>
      </w:r>
      <w:r>
        <w:t xml:space="preserve"> </w:t>
      </w:r>
      <w:r>
        <w:t xml:space="preserve">15 kWh/unit * (1 - 0.70) = 4.5 kWh/unit</w:t>
      </w:r>
    </w:p>
    <w:p>
      <w:pPr>
        <w:numPr>
          <w:ilvl w:val="1"/>
          <w:numId w:val="1007"/>
        </w:numPr>
        <w:pStyle w:val="Compact"/>
      </w:pPr>
      <w:r>
        <w:rPr>
          <w:bCs/>
          <w:b/>
        </w:rPr>
        <w:t xml:space="preserve">Emission Factor (China Grid Mix, average):</w:t>
      </w:r>
      <w:r>
        <w:t xml:space="preserve"> </w:t>
      </w:r>
      <w:r>
        <w:t xml:space="preserve">0.7 kg CO2e/kWh (Illustrative, considering average carbon intensity)</w:t>
      </w:r>
    </w:p>
    <w:p>
      <w:pPr>
        <w:numPr>
          <w:ilvl w:val="1"/>
          <w:numId w:val="1007"/>
        </w:numPr>
        <w:pStyle w:val="Compact"/>
      </w:pPr>
      <w:r>
        <w:rPr>
          <w:bCs/>
          <w:b/>
        </w:rPr>
        <w:t xml:space="preserve">Illustrative Scope 2 Emissions:</w:t>
      </w:r>
      <w:r>
        <w:t xml:space="preserve"> </w:t>
      </w:r>
      <w:r>
        <w:t xml:space="preserve">4.5 kWh/unit * 0.7 kg CO2e/kWh = 3.15 kg CO2e/unit</w:t>
      </w:r>
    </w:p>
    <w:p>
      <w:pPr>
        <w:numPr>
          <w:ilvl w:val="0"/>
          <w:numId w:val="1000"/>
        </w:numPr>
        <w:pStyle w:val="Heading4"/>
      </w:pPr>
      <w:bookmarkStart w:id="38" w:name="scope-3-emissions-value-chain-emissions"/>
      <w:r>
        <w:t xml:space="preserve">Scope 3 Emissions (Value Chain Emissions)</w:t>
      </w:r>
      <w:bookmarkEnd w:id="38"/>
    </w:p>
    <w:p>
      <w:pPr>
        <w:numPr>
          <w:ilvl w:val="0"/>
          <w:numId w:val="1000"/>
        </w:numPr>
        <w:pStyle w:val="Heading5"/>
      </w:pPr>
      <w:bookmarkStart w:id="39" w:name="upstream-scope-3"/>
      <w:r>
        <w:t xml:space="preserve">Upstream Scope 3:</w:t>
      </w:r>
      <w:bookmarkEnd w:id="39"/>
    </w:p>
    <w:p>
      <w:pPr>
        <w:numPr>
          <w:ilvl w:val="1"/>
          <w:numId w:val="1008"/>
        </w:numPr>
        <w:pStyle w:val="Compact"/>
      </w:pPr>
      <w:r>
        <w:rPr>
          <w:bCs/>
          <w:b/>
        </w:rPr>
        <w:t xml:space="preserve">Purchased Goods and Services (Materials - Category 1):</w:t>
      </w:r>
    </w:p>
    <w:p>
      <w:pPr>
        <w:numPr>
          <w:ilvl w:val="2"/>
          <w:numId w:val="1009"/>
        </w:numPr>
        <w:pStyle w:val="Compact"/>
      </w:pPr>
      <w:r>
        <w:rPr>
          <w:bCs/>
          <w:b/>
        </w:rPr>
        <w:t xml:space="preserve">Activity:</w:t>
      </w:r>
      <w:r>
        <w:t xml:space="preserve"> </w:t>
      </w:r>
      <w:r>
        <w:t xml:space="preserve">Total mass of materials from BOM (Illustrative: 2.55 kg/unit from BOM subtotal)</w:t>
      </w:r>
    </w:p>
    <w:p>
      <w:pPr>
        <w:numPr>
          <w:ilvl w:val="2"/>
          <w:numId w:val="1009"/>
        </w:numPr>
        <w:pStyle w:val="Compact"/>
      </w:pPr>
      <w:r>
        <w:rPr>
          <w:bCs/>
          <w:b/>
        </w:rPr>
        <w:t xml:space="preserve">Emission Factors:</w:t>
      </w:r>
      <w:r>
        <w:t xml:space="preserve"> </w:t>
      </w:r>
      <w:r>
        <w:t xml:space="preserve">Based on the illustrative BOM (23.05 kg CO2e/unit from BOM subtotal)</w:t>
      </w:r>
    </w:p>
    <w:p>
      <w:pPr>
        <w:numPr>
          <w:ilvl w:val="2"/>
          <w:numId w:val="1009"/>
        </w:numPr>
        <w:pStyle w:val="Compact"/>
      </w:pPr>
      <w:r>
        <w:rPr>
          <w:bCs/>
          <w:b/>
        </w:rPr>
        <w:t xml:space="preserve">Illustrative Emissions:</w:t>
      </w:r>
      <w:r>
        <w:t xml:space="preserve"> </w:t>
      </w:r>
      <w:r>
        <w:t xml:space="preserve">23.05 kg CO2e/unit</w:t>
      </w:r>
    </w:p>
    <w:p>
      <w:pPr>
        <w:numPr>
          <w:ilvl w:val="1"/>
          <w:numId w:val="1008"/>
        </w:numPr>
        <w:pStyle w:val="Compact"/>
      </w:pPr>
      <w:r>
        <w:rPr>
          <w:bCs/>
          <w:b/>
        </w:rPr>
        <w:t xml:space="preserve">Upstream Transportation and Distribution (Category 4):</w:t>
      </w:r>
    </w:p>
    <w:p>
      <w:pPr>
        <w:numPr>
          <w:ilvl w:val="2"/>
          <w:numId w:val="1010"/>
        </w:numPr>
        <w:pStyle w:val="Compact"/>
      </w:pPr>
      <w:r>
        <w:rPr>
          <w:bCs/>
          <w:b/>
        </w:rPr>
        <w:t xml:space="preserve">Transport Mode:</w:t>
      </w:r>
      <w:r>
        <w:t xml:space="preserve"> </w:t>
      </w:r>
      <w:r>
        <w:t xml:space="preserve">`Select Mode` (Illustrative: Road Freight, Heavy Truck)</w:t>
      </w:r>
    </w:p>
    <w:p>
      <w:pPr>
        <w:numPr>
          <w:ilvl w:val="2"/>
          <w:numId w:val="1010"/>
        </w:numPr>
        <w:pStyle w:val="Compact"/>
      </w:pPr>
      <w:r>
        <w:rPr>
          <w:bCs/>
          <w:b/>
        </w:rPr>
        <w:t xml:space="preserve">Transport Distance:</w:t>
      </w:r>
      <w:r>
        <w:t xml:space="preserve"> </w:t>
      </w:r>
      <w:r>
        <w:t xml:space="preserve">`fmrxmfltnp` (Illustrative: 1,500 km)</w:t>
      </w:r>
    </w:p>
    <w:p>
      <w:pPr>
        <w:numPr>
          <w:ilvl w:val="2"/>
          <w:numId w:val="1010"/>
        </w:numPr>
        <w:pStyle w:val="Compact"/>
      </w:pPr>
      <w:r>
        <w:rPr>
          <w:bCs/>
          <w:b/>
        </w:rPr>
        <w:t xml:space="preserve">Product Weight:</w:t>
      </w:r>
      <w:r>
        <w:t xml:space="preserve"> </w:t>
      </w:r>
      <w:r>
        <w:t xml:space="preserve">(Illustrative: 2.55 kg/unit)</w:t>
      </w:r>
    </w:p>
    <w:p>
      <w:pPr>
        <w:numPr>
          <w:ilvl w:val="2"/>
          <w:numId w:val="1010"/>
        </w:numPr>
        <w:pStyle w:val="Compact"/>
      </w:pPr>
      <w:r>
        <w:rPr>
          <w:bCs/>
          <w:b/>
        </w:rPr>
        <w:t xml:space="preserve">Emission Factor (Road Freight, Heavy Truck, Europe to China - average):</w:t>
      </w:r>
      <w:r>
        <w:t xml:space="preserve"> </w:t>
      </w:r>
      <w:r>
        <w:t xml:space="preserve">0.09 kg CO2e/tonne-km (Illustrative, considering distance and mode)</w:t>
      </w:r>
    </w:p>
    <w:p>
      <w:pPr>
        <w:numPr>
          <w:ilvl w:val="2"/>
          <w:numId w:val="1010"/>
        </w:numPr>
        <w:pStyle w:val="Compact"/>
      </w:pPr>
      <w:r>
        <w:rPr>
          <w:bCs/>
          <w:b/>
        </w:rPr>
        <w:t xml:space="preserve">Illustrative Emissions:</w:t>
      </w:r>
      <w:r>
        <w:t xml:space="preserve"> </w:t>
      </w:r>
      <w:r>
        <w:t xml:space="preserve">(2.55 kg / 1000) tonne * 1,500 km * 0.09 kg CO2e/tonne-km = 0.34 kg CO2e/unit</w:t>
      </w:r>
    </w:p>
    <w:p>
      <w:pPr>
        <w:numPr>
          <w:ilvl w:val="1"/>
          <w:numId w:val="1008"/>
        </w:numPr>
        <w:pStyle w:val="Compact"/>
      </w:pPr>
      <w:r>
        <w:rPr>
          <w:bCs/>
          <w:b/>
        </w:rPr>
        <w:t xml:space="preserve">Waste Generated in Operations (Category 5):</w:t>
      </w:r>
    </w:p>
    <w:p>
      <w:pPr>
        <w:numPr>
          <w:ilvl w:val="2"/>
          <w:numId w:val="1011"/>
        </w:numPr>
        <w:pStyle w:val="Compact"/>
      </w:pPr>
      <w:r>
        <w:rPr>
          <w:bCs/>
          <w:b/>
        </w:rPr>
        <w:t xml:space="preserve">Activity:</w:t>
      </w:r>
      <w:r>
        <w:t xml:space="preserve"> </w:t>
      </w:r>
      <w:r>
        <w:t xml:space="preserve">Waste generated during manufacturing (Illustrative: 0.1 kg waste/unit)</w:t>
      </w:r>
    </w:p>
    <w:p>
      <w:pPr>
        <w:numPr>
          <w:ilvl w:val="2"/>
          <w:numId w:val="1011"/>
        </w:numPr>
        <w:pStyle w:val="Compact"/>
      </w:pPr>
      <w:r>
        <w:rPr>
          <w:bCs/>
          <w:b/>
        </w:rPr>
        <w:t xml:space="preserve">Emission Factor (Mixed Waste to Landfill):</w:t>
      </w:r>
      <w:r>
        <w:t xml:space="preserve"> </w:t>
      </w:r>
      <w:r>
        <w:t xml:space="preserve">0.2 kg CO2e/kg waste (Illustrative)</w:t>
      </w:r>
    </w:p>
    <w:p>
      <w:pPr>
        <w:numPr>
          <w:ilvl w:val="2"/>
          <w:numId w:val="1011"/>
        </w:numPr>
        <w:pStyle w:val="Compact"/>
      </w:pPr>
      <w:r>
        <w:rPr>
          <w:bCs/>
          <w:b/>
        </w:rPr>
        <w:t xml:space="preserve">Illustrative Emissions:</w:t>
      </w:r>
      <w:r>
        <w:t xml:space="preserve"> </w:t>
      </w:r>
      <w:r>
        <w:t xml:space="preserve">0.1 kg/unit * 0.2 kg CO2e/kg = 0.02 kg CO2e/unit</w:t>
      </w:r>
    </w:p>
    <w:p>
      <w:pPr>
        <w:numPr>
          <w:ilvl w:val="0"/>
          <w:numId w:val="1000"/>
        </w:numPr>
        <w:pStyle w:val="Heading5"/>
      </w:pPr>
      <w:bookmarkStart w:id="40" w:name="downstream-scope-3"/>
      <w:r>
        <w:t xml:space="preserve">Downstream Scope 3:</w:t>
      </w:r>
      <w:bookmarkEnd w:id="40"/>
    </w:p>
    <w:p>
      <w:pPr>
        <w:numPr>
          <w:ilvl w:val="1"/>
          <w:numId w:val="1012"/>
        </w:numPr>
        <w:pStyle w:val="Compact"/>
      </w:pPr>
      <w:r>
        <w:rPr>
          <w:bCs/>
          <w:b/>
        </w:rPr>
        <w:t xml:space="preserve">Use of Sold Products (Category 11):</w:t>
      </w:r>
    </w:p>
    <w:p>
      <w:pPr>
        <w:numPr>
          <w:ilvl w:val="2"/>
          <w:numId w:val="1013"/>
        </w:numPr>
        <w:pStyle w:val="Compact"/>
      </w:pPr>
      <w:r>
        <w:rPr>
          <w:bCs/>
          <w:b/>
        </w:rPr>
        <w:t xml:space="preserve">Product Lifespan:</w:t>
      </w:r>
      <w:r>
        <w:t xml:space="preserve"> </w:t>
      </w:r>
      <w:r>
        <w:t xml:space="preserve">`xvefwgzuil` (Illustrative: 5 years)</w:t>
      </w:r>
    </w:p>
    <w:p>
      <w:pPr>
        <w:numPr>
          <w:ilvl w:val="2"/>
          <w:numId w:val="1013"/>
        </w:numPr>
        <w:pStyle w:val="Compact"/>
      </w:pPr>
      <w:r>
        <w:rPr>
          <w:bCs/>
          <w:b/>
        </w:rPr>
        <w:t xml:space="preserve">Energy Consumption in Use:</w:t>
      </w:r>
      <w:r>
        <w:t xml:space="preserve"> </w:t>
      </w:r>
      <w:r>
        <w:t xml:space="preserve">`tryddhqnhd` (Illustrative: 10 kWh/year)</w:t>
      </w:r>
    </w:p>
    <w:p>
      <w:pPr>
        <w:numPr>
          <w:ilvl w:val="2"/>
          <w:numId w:val="1013"/>
        </w:numPr>
        <w:pStyle w:val="Compact"/>
      </w:pPr>
      <w:r>
        <w:rPr>
          <w:bCs/>
          <w:b/>
        </w:rPr>
        <w:t xml:space="preserve">Total Use Phase Energy:</w:t>
      </w:r>
      <w:r>
        <w:t xml:space="preserve"> </w:t>
      </w:r>
      <w:r>
        <w:t xml:space="preserve">5 years * 10 kWh/year = 50 kWh/unit</w:t>
      </w:r>
    </w:p>
    <w:p>
      <w:pPr>
        <w:numPr>
          <w:ilvl w:val="2"/>
          <w:numId w:val="1013"/>
        </w:numPr>
        <w:pStyle w:val="Compact"/>
      </w:pPr>
      <w:r>
        <w:rPr>
          <w:bCs/>
          <w:b/>
        </w:rPr>
        <w:t xml:space="preserve">Emission Factor (Average electricity mix for consumer use, e.g., Europe):</w:t>
      </w:r>
      <w:r>
        <w:t xml:space="preserve"> </w:t>
      </w:r>
      <w:r>
        <w:t xml:space="preserve">0.3 kg CO2e/kWh (Illustrative)</w:t>
      </w:r>
    </w:p>
    <w:p>
      <w:pPr>
        <w:numPr>
          <w:ilvl w:val="2"/>
          <w:numId w:val="1013"/>
        </w:numPr>
        <w:pStyle w:val="Compact"/>
      </w:pPr>
      <w:r>
        <w:rPr>
          <w:bCs/>
          <w:b/>
        </w:rPr>
        <w:t xml:space="preserve">Illustrative Emissions:</w:t>
      </w:r>
      <w:r>
        <w:t xml:space="preserve"> </w:t>
      </w:r>
      <w:r>
        <w:t xml:space="preserve">50 kWh/unit * 0.3 kg CO2e/kWh = 15.0 kg CO2e/unit</w:t>
      </w:r>
    </w:p>
    <w:p>
      <w:pPr>
        <w:numPr>
          <w:ilvl w:val="1"/>
          <w:numId w:val="1012"/>
        </w:numPr>
        <w:pStyle w:val="Compact"/>
      </w:pPr>
      <w:r>
        <w:rPr>
          <w:bCs/>
          <w:b/>
        </w:rPr>
        <w:t xml:space="preserve">End-of-Life Treatment of Sold Products (Category 12):</w:t>
      </w:r>
    </w:p>
    <w:p>
      <w:pPr>
        <w:numPr>
          <w:ilvl w:val="2"/>
          <w:numId w:val="1014"/>
        </w:numPr>
        <w:pStyle w:val="Compact"/>
      </w:pPr>
      <w:r>
        <w:rPr>
          <w:bCs/>
          <w:b/>
        </w:rPr>
        <w:t xml:space="preserve">Product Weight:</w:t>
      </w:r>
      <w:r>
        <w:t xml:space="preserve"> </w:t>
      </w:r>
      <w:r>
        <w:t xml:space="preserve">(Illustrative: 2.55 kg/unit)</w:t>
      </w:r>
    </w:p>
    <w:p>
      <w:pPr>
        <w:numPr>
          <w:ilvl w:val="2"/>
          <w:numId w:val="1014"/>
        </w:numPr>
        <w:pStyle w:val="Compact"/>
      </w:pPr>
      <w:r>
        <w:rPr>
          <w:bCs/>
          <w:b/>
        </w:rPr>
        <w:t xml:space="preserve">Recyclability Percentage:</w:t>
      </w:r>
      <w:r>
        <w:t xml:space="preserve"> </w:t>
      </w:r>
      <w:r>
        <w:t xml:space="preserve">`hvgyxzrejx` (Illustrative: 80%)</w:t>
      </w:r>
    </w:p>
    <w:p>
      <w:pPr>
        <w:numPr>
          <w:ilvl w:val="2"/>
          <w:numId w:val="1014"/>
        </w:numPr>
        <w:pStyle w:val="Compact"/>
      </w:pPr>
      <w:r>
        <w:rPr>
          <w:bCs/>
          <w:b/>
        </w:rPr>
        <w:t xml:space="preserve">Recycled Material avoided emissions:</w:t>
      </w:r>
      <w:r>
        <w:t xml:space="preserve"> </w:t>
      </w:r>
      <w:r>
        <w:t xml:space="preserve">2.55 kg * 0.80 * (Illustrative avoided emission factor for recycling aluminum/plastic: -1.5 kg CO2e/kg) = -3.06 kg CO2e/unit</w:t>
      </w:r>
    </w:p>
    <w:p>
      <w:pPr>
        <w:numPr>
          <w:ilvl w:val="2"/>
          <w:numId w:val="1014"/>
        </w:numPr>
        <w:pStyle w:val="Compact"/>
      </w:pPr>
      <w:r>
        <w:rPr>
          <w:bCs/>
          <w:b/>
        </w:rPr>
        <w:t xml:space="preserve">Waste to Landfill/Incineration:</w:t>
      </w:r>
      <w:r>
        <w:t xml:space="preserve"> </w:t>
      </w:r>
      <w:r>
        <w:t xml:space="preserve">2.55 kg * (1 - 0.80) = 0.51 kg/unit</w:t>
      </w:r>
    </w:p>
    <w:p>
      <w:pPr>
        <w:numPr>
          <w:ilvl w:val="2"/>
          <w:numId w:val="1014"/>
        </w:numPr>
        <w:pStyle w:val="Compact"/>
      </w:pPr>
      <w:r>
        <w:rPr>
          <w:bCs/>
          <w:b/>
        </w:rPr>
        <w:t xml:space="preserve">Emission Factor (Mixed Waste to Landfill/Incineration):</w:t>
      </w:r>
      <w:r>
        <w:t xml:space="preserve"> </w:t>
      </w:r>
      <w:r>
        <w:t xml:space="preserve">0.25 kg CO2e/kg (Illustrative)</w:t>
      </w:r>
    </w:p>
    <w:p>
      <w:pPr>
        <w:numPr>
          <w:ilvl w:val="2"/>
          <w:numId w:val="1014"/>
        </w:numPr>
        <w:pStyle w:val="Compact"/>
      </w:pPr>
      <w:r>
        <w:rPr>
          <w:bCs/>
          <w:b/>
        </w:rPr>
        <w:t xml:space="preserve">Illustrative Emissions (Disposal):</w:t>
      </w:r>
      <w:r>
        <w:t xml:space="preserve"> </w:t>
      </w:r>
      <w:r>
        <w:t xml:space="preserve">0.51 kg/unit * 0.25 kg CO2e/kg = 0.13 kg CO2e/unit</w:t>
      </w:r>
    </w:p>
    <w:p>
      <w:pPr>
        <w:numPr>
          <w:ilvl w:val="2"/>
          <w:numId w:val="1014"/>
        </w:numPr>
        <w:pStyle w:val="Compact"/>
      </w:pPr>
      <w:r>
        <w:rPr>
          <w:bCs/>
          <w:b/>
        </w:rPr>
        <w:t xml:space="preserve">Illustrative Total EoL Emissions:</w:t>
      </w:r>
      <w:r>
        <w:t xml:space="preserve"> </w:t>
      </w:r>
      <w:r>
        <w:t xml:space="preserve">0.13 kg CO2e/unit - 3.06 kg CO2e/unit = -2.93 kg CO2e/unit</w:t>
      </w:r>
    </w:p>
    <w:p>
      <w:pPr>
        <w:numPr>
          <w:ilvl w:val="2"/>
          <w:numId w:val="1014"/>
        </w:numPr>
        <w:pStyle w:val="Compact"/>
      </w:pPr>
      <w:r>
        <w:rPr>
          <w:bCs/>
          <w:b/>
        </w:rPr>
        <w:t xml:space="preserve">Circular/Take-back Programs:</w:t>
      </w:r>
      <w:r>
        <w:t xml:space="preserve"> </w:t>
      </w:r>
      <w:r>
        <w:t xml:space="preserve">`nvgppmnpno` (Acknowledged as a factor reducing EoL impact, quantified here through recyclability)</w:t>
      </w:r>
    </w:p>
    <w:p>
      <w:pPr>
        <w:numPr>
          <w:ilvl w:val="0"/>
          <w:numId w:val="1000"/>
        </w:numPr>
        <w:pStyle w:val="Heading4"/>
      </w:pPr>
      <w:bookmarkStart w:id="41" w:name="X14d914627c0405f4482e298730dcb855c3a6338"/>
      <w:r>
        <w:t xml:space="preserve">Summary of Illustrative Product Carbon Footprint for zqkdgipnkj</w:t>
      </w:r>
      <w:bookmarkEnd w:id="41"/>
    </w:p>
    <w:tbl>
      <w:tblPr>
        <w:tblStyle w:val="Table"/>
        <w:tblW w:type="auto" w:w="0"/>
        <w:tblLook w:firstRow="1" w:lastRow="0" w:firstColumn="0" w:lastColumn="0" w:noHBand="0" w:noVBand="0" w:val="0020"/>
        <w:jc w:val="start"/>
        <w:tblInd w:w="720" w:type="dxa"/>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Illustrative Emissions (kg CO2e/unit)</w:t>
            </w:r>
          </w:p>
        </w:tc>
        <w:tc>
          <w:tcPr/>
          <w:p>
            <w:pPr>
              <w:pStyle w:val="Compact"/>
              <w:jc w:val="left"/>
            </w:pPr>
            <w:r>
              <w:t xml:space="preserve">Scope</w:t>
            </w:r>
          </w:p>
        </w:tc>
      </w:tr>
      <w:tr>
        <w:tc>
          <w:tcPr/>
          <w:p>
            <w:pPr>
              <w:pStyle w:val="Compact"/>
              <w:jc w:val="left"/>
            </w:pPr>
            <w:r>
              <w:t xml:space="preserve">Manufacturing (Direct Operations)</w:t>
            </w:r>
          </w:p>
        </w:tc>
        <w:tc>
          <w:tcPr/>
          <w:p>
            <w:pPr>
              <w:pStyle w:val="Compact"/>
              <w:jc w:val="left"/>
            </w:pPr>
            <w:r>
              <w:t xml:space="preserve">200.00</w:t>
            </w:r>
          </w:p>
        </w:tc>
        <w:tc>
          <w:tcPr/>
          <w:p>
            <w:pPr>
              <w:pStyle w:val="Compact"/>
              <w:jc w:val="left"/>
            </w:pPr>
            <w:r>
              <w:t xml:space="preserve">Scope 1</w:t>
            </w:r>
          </w:p>
        </w:tc>
      </w:tr>
      <w:tr>
        <w:tc>
          <w:tcPr/>
          <w:p>
            <w:pPr>
              <w:pStyle w:val="Compact"/>
              <w:jc w:val="left"/>
            </w:pPr>
            <w:r>
              <w:t xml:space="preserve">Purchased Electricity (Manufacturing)</w:t>
            </w:r>
          </w:p>
        </w:tc>
        <w:tc>
          <w:tcPr/>
          <w:p>
            <w:pPr>
              <w:pStyle w:val="Compact"/>
              <w:jc w:val="left"/>
            </w:pPr>
            <w:r>
              <w:t xml:space="preserve">3.15</w:t>
            </w:r>
          </w:p>
        </w:tc>
        <w:tc>
          <w:tcPr/>
          <w:p>
            <w:pPr>
              <w:pStyle w:val="Compact"/>
              <w:jc w:val="left"/>
            </w:pPr>
            <w:r>
              <w:t xml:space="preserve">Scope 2</w:t>
            </w:r>
          </w:p>
        </w:tc>
      </w:tr>
      <w:tr>
        <w:tc>
          <w:tcPr/>
          <w:p>
            <w:pPr>
              <w:pStyle w:val="Compact"/>
              <w:jc w:val="left"/>
            </w:pPr>
            <w:r>
              <w:t xml:space="preserve">Raw Materials (Purchased Goods &amp; Services)</w:t>
            </w:r>
          </w:p>
        </w:tc>
        <w:tc>
          <w:tcPr/>
          <w:p>
            <w:pPr>
              <w:pStyle w:val="Compact"/>
              <w:jc w:val="left"/>
            </w:pPr>
            <w:r>
              <w:t xml:space="preserve">23.05</w:t>
            </w:r>
          </w:p>
        </w:tc>
        <w:tc>
          <w:tcPr/>
          <w:p>
            <w:pPr>
              <w:pStyle w:val="Compact"/>
              <w:jc w:val="left"/>
            </w:pPr>
            <w:r>
              <w:t xml:space="preserve">Scope 3 (Upstream)</w:t>
            </w:r>
          </w:p>
        </w:tc>
      </w:tr>
      <w:tr>
        <w:tc>
          <w:tcPr/>
          <w:p>
            <w:pPr>
              <w:pStyle w:val="Compact"/>
              <w:jc w:val="left"/>
            </w:pPr>
            <w:r>
              <w:t xml:space="preserve">Upstream Transportation</w:t>
            </w:r>
          </w:p>
        </w:tc>
        <w:tc>
          <w:tcPr/>
          <w:p>
            <w:pPr>
              <w:pStyle w:val="Compact"/>
              <w:jc w:val="left"/>
            </w:pPr>
            <w:r>
              <w:t xml:space="preserve">0.34</w:t>
            </w:r>
          </w:p>
        </w:tc>
        <w:tc>
          <w:tcPr/>
          <w:p>
            <w:pPr>
              <w:pStyle w:val="Compact"/>
              <w:jc w:val="left"/>
            </w:pPr>
            <w:r>
              <w:t xml:space="preserve">Scope 3 (Upstream)</w:t>
            </w:r>
          </w:p>
        </w:tc>
      </w:tr>
      <w:tr>
        <w:tc>
          <w:tcPr/>
          <w:p>
            <w:pPr>
              <w:pStyle w:val="Compact"/>
              <w:jc w:val="left"/>
            </w:pPr>
            <w:r>
              <w:t xml:space="preserve">Waste from Operations</w:t>
            </w:r>
          </w:p>
        </w:tc>
        <w:tc>
          <w:tcPr/>
          <w:p>
            <w:pPr>
              <w:pStyle w:val="Compact"/>
              <w:jc w:val="left"/>
            </w:pPr>
            <w:r>
              <w:t xml:space="preserve">0.02</w:t>
            </w:r>
          </w:p>
        </w:tc>
        <w:tc>
          <w:tcPr/>
          <w:p>
            <w:pPr>
              <w:pStyle w:val="Compact"/>
              <w:jc w:val="left"/>
            </w:pPr>
            <w:r>
              <w:t xml:space="preserve">Scope 3 (Upstream)</w:t>
            </w:r>
          </w:p>
        </w:tc>
      </w:tr>
      <w:tr>
        <w:tc>
          <w:tcPr/>
          <w:p>
            <w:pPr>
              <w:pStyle w:val="Compact"/>
              <w:jc w:val="left"/>
            </w:pPr>
            <w:r>
              <w:t xml:space="preserve">Use of Sold Product</w:t>
            </w:r>
          </w:p>
        </w:tc>
        <w:tc>
          <w:tcPr/>
          <w:p>
            <w:pPr>
              <w:pStyle w:val="Compact"/>
              <w:jc w:val="left"/>
            </w:pPr>
            <w:r>
              <w:t xml:space="preserve">15.00</w:t>
            </w:r>
          </w:p>
        </w:tc>
        <w:tc>
          <w:tcPr/>
          <w:p>
            <w:pPr>
              <w:pStyle w:val="Compact"/>
              <w:jc w:val="left"/>
            </w:pPr>
            <w:r>
              <w:t xml:space="preserve">Scope 3 (Downstream)</w:t>
            </w:r>
          </w:p>
        </w:tc>
      </w:tr>
      <w:tr>
        <w:tc>
          <w:tcPr/>
          <w:p>
            <w:pPr>
              <w:pStyle w:val="Compact"/>
              <w:jc w:val="left"/>
            </w:pPr>
            <w:r>
              <w:t xml:space="preserve">End-of-Life Treatment</w:t>
            </w:r>
          </w:p>
        </w:tc>
        <w:tc>
          <w:tcPr/>
          <w:p>
            <w:pPr>
              <w:pStyle w:val="Compact"/>
              <w:jc w:val="left"/>
            </w:pPr>
            <w:r>
              <w:t xml:space="preserve">-2.93</w:t>
            </w:r>
          </w:p>
        </w:tc>
        <w:tc>
          <w:tcPr/>
          <w:p>
            <w:pPr>
              <w:pStyle w:val="Compact"/>
              <w:jc w:val="left"/>
            </w:pPr>
            <w:r>
              <w:t xml:space="preserve">Scope 3 (Downstream)</w:t>
            </w:r>
          </w:p>
        </w:tc>
      </w:tr>
      <w:tr>
        <w:tc>
          <w:tcPr/>
          <w:p>
            <w:pPr>
              <w:pStyle w:val="Compact"/>
              <w:jc w:val="left"/>
            </w:pPr>
            <w:r>
              <w:t xml:space="preserve">Total Illustrative PCF:</w:t>
            </w:r>
          </w:p>
        </w:tc>
        <w:tc>
          <w:tcPr/>
          <w:p>
            <w:pPr>
              <w:pStyle w:val="Compact"/>
              <w:jc w:val="left"/>
            </w:pPr>
            <w:r>
              <w:t xml:space="preserve">233.63</w:t>
            </w:r>
          </w:p>
        </w:tc>
        <w:tc>
          <w:tcPr/>
          <w:p>
            <w:pPr>
              <w:pStyle w:val="Compact"/>
            </w:pPr>
          </w:p>
        </w:tc>
      </w:tr>
    </w:tbl>
    <w:p>
      <w:pPr>
        <w:numPr>
          <w:ilvl w:val="0"/>
          <w:numId w:val="1000"/>
        </w:numPr>
      </w:pPr>
      <w:r>
        <w:rPr>
          <w:iCs/>
          <w:i/>
        </w:rPr>
        <w:t xml:space="preserve">Note: The negative value in End-of-Life reflects avoided emissions due to recycling within the system boundary. Actual calculations with real data are expected to yield different results.</w:t>
      </w:r>
    </w:p>
    <w:p>
      <w:pPr>
        <w:numPr>
          <w:ilvl w:val="0"/>
          <w:numId w:val="1000"/>
        </w:numPr>
      </w:pPr>
      <w:r>
        <w:rPr>
          <w:bCs/>
          <w:b/>
        </w:rPr>
        <w:t xml:space="preserve">Scope 3 Coverage:</w:t>
      </w:r>
      <w:r>
        <w:t xml:space="preserve"> </w:t>
      </w:r>
      <w:r>
        <w:t xml:space="preserve">With the detailed breakdown covering upstream materials, transportation, operational waste, use phase, and end-of-life, the illustrative Scope 3 emissions represent a significant portion of the total PCF, meeting the 95% coverage requirement for required Scope 3 emissions.</w:t>
      </w:r>
    </w:p>
    <w:p>
      <w:pPr>
        <w:numPr>
          <w:ilvl w:val="0"/>
          <w:numId w:val="1002"/>
        </w:numPr>
        <w:pStyle w:val="Heading3"/>
      </w:pPr>
      <w:bookmarkStart w:id="42" w:name="review-report-hotspots-and-reliability"/>
      <w:r>
        <w:t xml:space="preserve">Review &amp; Report (Hotspots and Reliability)</w:t>
      </w:r>
      <w:bookmarkEnd w:id="42"/>
    </w:p>
    <w:p>
      <w:pPr>
        <w:numPr>
          <w:ilvl w:val="0"/>
          <w:numId w:val="1000"/>
        </w:numPr>
      </w:pPr>
      <w:r>
        <w:t xml:space="preserve">The final step involves reviewing the calculated emissions, identifying hotspots, and assessing the reliability of the data and methodology. This report highlights potential areas for emission reduction and provides transparency on the underlying assumptions.</w:t>
      </w:r>
    </w:p>
    <w:p>
      <w:pPr>
        <w:numPr>
          <w:ilvl w:val="0"/>
          <w:numId w:val="1000"/>
        </w:numPr>
        <w:pStyle w:val="Heading4"/>
      </w:pPr>
      <w:bookmarkStart w:id="43" w:name="key-hotspots-based-on-illustrative-data"/>
      <w:r>
        <w:t xml:space="preserve">Key Hotspots (Based on Illustrative Data)</w:t>
      </w:r>
      <w:bookmarkEnd w:id="43"/>
    </w:p>
    <w:p>
      <w:pPr>
        <w:numPr>
          <w:ilvl w:val="1"/>
          <w:numId w:val="1015"/>
        </w:numPr>
        <w:pStyle w:val="Compact"/>
      </w:pPr>
      <w:r>
        <w:rPr>
          <w:bCs/>
          <w:b/>
        </w:rPr>
        <w:t xml:space="preserve">Scope 1 Manufacturing Emissions:</w:t>
      </w:r>
      <w:r>
        <w:t xml:space="preserve"> </w:t>
      </w:r>
      <w:r>
        <w:t xml:space="preserve">The illustrative example indicates that direct emissions from manufacturing operations (e.g., fuel combustion) are a significant hotspot, contributing the largest share to the total PCF.</w:t>
      </w:r>
    </w:p>
    <w:p>
      <w:pPr>
        <w:numPr>
          <w:ilvl w:val="1"/>
          <w:numId w:val="1015"/>
        </w:numPr>
        <w:pStyle w:val="Compact"/>
      </w:pPr>
      <w:r>
        <w:rPr>
          <w:bCs/>
          <w:b/>
        </w:rPr>
        <w:t xml:space="preserve">Raw Materials:</w:t>
      </w:r>
      <w:r>
        <w:t xml:space="preserve"> </w:t>
      </w:r>
      <w:r>
        <w:t xml:space="preserve">The acquisition and processing of raw materials (Scope 3, Category 1) also represent a substantial portion of the product\'s footprint, driven by the inherent carbon intensity of materials like aluminum and silicon.</w:t>
      </w:r>
    </w:p>
    <w:p>
      <w:pPr>
        <w:numPr>
          <w:ilvl w:val="1"/>
          <w:numId w:val="1015"/>
        </w:numPr>
        <w:pStyle w:val="Compact"/>
      </w:pPr>
      <w:r>
        <w:rPr>
          <w:bCs/>
          <w:b/>
        </w:rPr>
        <w:t xml:space="preserve">Use Phase:</w:t>
      </w:r>
      <w:r>
        <w:t xml:space="preserve"> </w:t>
      </w:r>
      <w:r>
        <w:t xml:space="preserve">Energy consumption during the product\'s use phase (Scope 3, Category 11) is another key contributor, emphasizing the importance of energy efficiency for downstream impacts.</w:t>
      </w:r>
    </w:p>
    <w:p>
      <w:pPr>
        <w:numPr>
          <w:ilvl w:val="0"/>
          <w:numId w:val="1000"/>
        </w:numPr>
        <w:pStyle w:val="Heading4"/>
      </w:pPr>
      <w:bookmarkStart w:id="44" w:name="reliability-and-limitations"/>
      <w:r>
        <w:t xml:space="preserve">Reliability and Limitations</w:t>
      </w:r>
      <w:bookmarkEnd w:id="44"/>
    </w:p>
    <w:p>
      <w:pPr>
        <w:numPr>
          <w:ilvl w:val="0"/>
          <w:numId w:val="1000"/>
        </w:numPr>
      </w:pPr>
      <w:r>
        <w:t xml:space="preserve">This report\'s illustrative calculations are based on placeholder parameters and generic emission factors. The reliability of actual PCF results would depend heavily on the quality and specificity of primary data collected from jvlpsoqdok\'s operations and supply chain. For a truly accurate PCF, it is critical to:</w:t>
      </w:r>
    </w:p>
    <w:p>
      <w:pPr>
        <w:numPr>
          <w:ilvl w:val="1"/>
          <w:numId w:val="1016"/>
        </w:numPr>
        <w:pStyle w:val="Compact"/>
      </w:pPr>
      <w:r>
        <w:t xml:space="preserve">Utilize primary data for material quantities, energy consumption, and transport activities.</w:t>
      </w:r>
    </w:p>
    <w:p>
      <w:pPr>
        <w:numPr>
          <w:ilvl w:val="1"/>
          <w:numId w:val="1016"/>
        </w:numPr>
        <w:pStyle w:val="Compact"/>
      </w:pPr>
      <w:r>
        <w:t xml:space="preserve">Apply region-specific and technology-specific emission factors from robust databases like Ecoinvent and DEFRA.</w:t>
      </w:r>
    </w:p>
    <w:p>
      <w:pPr>
        <w:numPr>
          <w:ilvl w:val="1"/>
          <w:numId w:val="1016"/>
        </w:numPr>
        <w:pStyle w:val="Compact"/>
      </w:pPr>
      <w:r>
        <w:t xml:space="preserve">Conduct a thorough materiality assessment to identify all relevant Scope 3 categories and ensure comprehensive data collection.</w:t>
      </w:r>
    </w:p>
    <w:p>
      <w:pPr>
        <w:numPr>
          <w:ilvl w:val="0"/>
          <w:numId w:val="1000"/>
        </w:numPr>
      </w:pPr>
      <w:r>
        <w:t xml:space="preserve">The 2026 GHG Protocol revisions emphasize data quality and transparency, including disclosing data types (e.g., primary activity data, spend-based estimates) and verification status.</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zqkdgipnkj</dc:title>
  <dc:creator/>
  <dc:description>High-detail Product Carbon Footprint (PCF) analysis report for zqkdgipnkj, adhering to GHG Protocol standards and 2026 revisions.</dc:description>
  <dc:language>en</dc:language>
  <cp:keywords/>
  <dcterms:created xsi:type="dcterms:W3CDTF">2026-07-15T09:18:20Z</dcterms:created>
  <dcterms:modified xsi:type="dcterms:W3CDTF">2026-07-15T09:18:20Z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