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zopeyprlus</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Product: zopeyprlus</w:t>
      </w:r>
    </w:p>
    <w:p>
      <w:pPr>
        <w:pStyle w:val="BodyText"/>
      </w:pPr>
      <w:r>
        <w:t xml:space="preserve">Company: ghxynznvmm</w:t>
      </w:r>
    </w:p>
    <w:p>
      <w:pPr>
        <w:pStyle w:val="BodyText"/>
      </w:pPr>
      <w:r>
        <w:t xml:space="preserve">Senior Sustainability Consultant: gykwusqoro</w:t>
      </w:r>
    </w:p>
    <w:p>
      <w:pPr>
        <w:pStyle w:val="BodyText"/>
      </w:pPr>
      <w:r>
        <w:t xml:space="preserve">Disclaimer: This report is generated based on available data and industry standards,</w:t>
      </w:r>
      <w:r>
        <w:t xml:space="preserve"> </w:t>
      </w:r>
      <w:r>
        <w:t xml:space="preserve">incorporating example values for specific parameters where real-world data was not provided.</w:t>
      </w:r>
      <w:r>
        <w:t xml:space="preserve"> </w:t>
      </w:r>
      <w:r>
        <w:t xml:space="preserve">It serves as a high-detail analysis according to the specified methodology.</w:t>
      </w:r>
    </w:p>
    <w:bookmarkEnd w:id="20"/>
    <w:bookmarkStart w:id="21" w:name="X8a2ab2c145e542a2aff81460a7a2ad537bffa42"/>
    <w:p>
      <w:pPr>
        <w:pStyle w:val="Heading1"/>
      </w:pPr>
      <w:r>
        <w:t xml:space="preserve">Product Carbon Footprint Analysis for zopeyprlus</w:t>
      </w:r>
    </w:p>
    <w:p>
      <w:pPr>
        <w:pStyle w:val="FirstParagraph"/>
      </w:pPr>
      <w:r>
        <w:t xml:space="preserve">Generated Date: May 21, 2026</w:t>
      </w:r>
    </w:p>
    <w:bookmarkEnd w:id="21"/>
    <w:p>
      <w:pPr>
        <w:pStyle w:val="BodyText"/>
      </w:pPr>
      <w:r>
        <w:t xml:space="preserve">This report presents a high-detail Product Carbon Footprint (PCF) analysis for \'zopeyprlus\', performed by gykwusqoro, Senior Sustainability Consultant at ghxynznvmm. The analysis strictly adheres to the Greenhouse Gas (GHG) Protocol standards, including the 2026 Land Sector and Removals (LSR) update and ensuring robust Scope 3 compliance.</w:t>
      </w:r>
    </w:p>
    <w:p>
      <w:r>
        <w:pict>
          <v:rect style="width:0;height:1.5pt" o:hralign="center" o:hrstd="t" o:hr="t"/>
        </w:pict>
      </w:r>
    </w:p>
    <w:bookmarkStart w:id="22" w:name="introduction"/>
    <w:p>
      <w:pPr>
        <w:pStyle w:val="Heading2"/>
      </w:pPr>
      <w:r>
        <w:t xml:space="preserve">1. Introduction</w:t>
      </w:r>
    </w:p>
    <w:p>
      <w:pPr>
        <w:pStyle w:val="FirstParagraph"/>
      </w:pPr>
      <w:r>
        <w:t xml:space="preserve">This Product Carbon Footprint (PCF) report quantifies the greenhouse gas (GHG) emissions associated with the entire lifecycle of \'zopeyprlus\', produced by \'ghxynznvmm\'. The assessment follows the principles and requirements of the GHG Protocol, a widely recognized accounting standard for corporate and product GHG emissions. The Senior Sustainability Consultant leading this analysis is \'gykwusqoro\'.</w:t>
      </w:r>
    </w:p>
    <w:p>
      <w:r>
        <w:pict>
          <v:rect style="width:0;height:1.5pt" o:hralign="center" o:hrstd="t" o:hr="t"/>
        </w:pict>
      </w:r>
    </w:p>
    <w:bookmarkEnd w:id="22"/>
    <w:bookmarkStart w:id="23" w:name="methodology"/>
    <w:p>
      <w:pPr>
        <w:pStyle w:val="Heading2"/>
      </w:pPr>
      <w:r>
        <w:t xml:space="preserve">2. Methodology</w:t>
      </w:r>
    </w:p>
    <w:p>
      <w:pPr>
        <w:pStyle w:val="FirstParagraph"/>
      </w:pPr>
      <w:r>
        <w:t xml:space="preserve">The PCF analysis was conducted following a five-step methodology as prescribed by industry best practices and aligned with the GHG Protocol Product Standard.</w:t>
      </w:r>
    </w:p>
    <w:p>
      <w:pPr>
        <w:numPr>
          <w:ilvl w:val="0"/>
          <w:numId w:val="1001"/>
        </w:numPr>
        <w:pStyle w:val="Compact"/>
      </w:pPr>
      <w:r>
        <w:rPr>
          <w:bCs/>
          <w:b/>
        </w:rPr>
        <w:t xml:space="preserve">Define Scope:</w:t>
      </w:r>
      <w:r>
        <w:t xml:space="preserve"> </w:t>
      </w:r>
      <w:r>
        <w:t xml:space="preserve">Establish the functional unit, system boundaries, geographic scope, and allocation rules for the assessment.</w:t>
      </w:r>
    </w:p>
    <w:p>
      <w:pPr>
        <w:numPr>
          <w:ilvl w:val="0"/>
          <w:numId w:val="1001"/>
        </w:numPr>
        <w:pStyle w:val="Compact"/>
      </w:pPr>
      <w:r>
        <w:rPr>
          <w:bCs/>
          <w:b/>
        </w:rPr>
        <w:t xml:space="preserve">Map Lifecycle:</w:t>
      </w:r>
      <w:r>
        <w:t xml:space="preserve"> </w:t>
      </w:r>
      <w:r>
        <w:t xml:space="preserve">Identify and diagram all relevant life cycle inventory (LCI) stages of the product.</w:t>
      </w:r>
    </w:p>
    <w:p>
      <w:pPr>
        <w:numPr>
          <w:ilvl w:val="0"/>
          <w:numId w:val="1001"/>
        </w:numPr>
        <w:pStyle w:val="Compact"/>
      </w:pPr>
      <w:r>
        <w:rPr>
          <w:bCs/>
          <w:b/>
        </w:rPr>
        <w:t xml:space="preserve">Collect Data:</w:t>
      </w:r>
      <w:r>
        <w:t xml:space="preserve"> </w:t>
      </w:r>
      <w:r>
        <w:t xml:space="preserve">Gather primary and secondary data points for all activities and processes within the defined system boundaries.</w:t>
      </w:r>
    </w:p>
    <w:p>
      <w:pPr>
        <w:numPr>
          <w:ilvl w:val="0"/>
          <w:numId w:val="1001"/>
        </w:numPr>
        <w:pStyle w:val="Compact"/>
      </w:pPr>
      <w:r>
        <w:rPr>
          <w:bCs/>
          <w:b/>
        </w:rPr>
        <w:t xml:space="preserve">Calculate Emissions:</w:t>
      </w:r>
      <w:r>
        <w:t xml:space="preserve"> </w:t>
      </w:r>
      <w:r>
        <w:t xml:space="preserve">Quantify GHG emissions by multiplying activity data by appropriate emission factors (Activity × Emission Factor = CO2e).</w:t>
      </w:r>
    </w:p>
    <w:p>
      <w:pPr>
        <w:numPr>
          <w:ilvl w:val="0"/>
          <w:numId w:val="1001"/>
        </w:numPr>
        <w:pStyle w:val="Compact"/>
      </w:pPr>
      <w:r>
        <w:rPr>
          <w:bCs/>
          <w:b/>
        </w:rPr>
        <w:t xml:space="preserve">Review &amp; Report:</w:t>
      </w:r>
      <w:r>
        <w:t xml:space="preserve"> </w:t>
      </w:r>
      <w:r>
        <w:t xml:space="preserve">Analyze results to identify emission hotspots, assess data reliability, and present findings in a transparent and comprehensive report.</w:t>
      </w:r>
    </w:p>
    <w:p>
      <w:pPr>
        <w:pStyle w:val="FirstParagraph"/>
      </w:pPr>
      <w:r>
        <w:rPr>
          <w:bCs/>
          <w:b/>
        </w:rPr>
        <w:t xml:space="preserve">GHG Protocol Adherence:</w:t>
      </w:r>
      <w:r>
        <w:t xml:space="preserve"> </w:t>
      </w:r>
      <w:r>
        <w:t xml:space="preserve">Emissions are categorized into Scope 1 (direct emissions from owned or controlled sources), Scope 2 (indirect emissions from purchased electricity, steam, heating, and cooling), and Scope 3 (all other indirect emissions in the value chain).</w:t>
      </w:r>
    </w:p>
    <w:p>
      <w:pPr>
        <w:pStyle w:val="BodyText"/>
      </w:pPr>
      <w:r>
        <w:rPr>
          <w:bCs/>
          <w:b/>
        </w:rPr>
        <w:t xml:space="preserve">2026 LSR Update:</w:t>
      </w:r>
      <w:r>
        <w:t xml:space="preserve"> </w:t>
      </w:r>
      <w:r>
        <w:t xml:space="preserve">The analysis incorporates considerations from the Land Sector and Removals (LSR) Standard for land use and carbon removals. While specific land-use changes for raw material extraction are not explicitly detailed in the provided parameters, the framework acknowledges potential impacts from primary material sourcing, ensuring future updates can capture these if data becomes available.</w:t>
      </w:r>
    </w:p>
    <w:p>
      <w:pPr>
        <w:pStyle w:val="BodyText"/>
      </w:pPr>
      <w:r>
        <w:rPr>
          <w:bCs/>
          <w:b/>
        </w:rPr>
        <w:t xml:space="preserve">Scope 3 Compliance:</w:t>
      </w:r>
      <w:r>
        <w:t xml:space="preserve"> </w:t>
      </w:r>
      <w:r>
        <w:t xml:space="preserve">A significant effort has been made to ensure at least 95% coverage for Scope 3 reporting, aligning with the 2026 requirements. This includes comprehensive analysis of purchased goods and services, transportation, use of sold products, and end-of-life treatment.</w:t>
      </w:r>
    </w:p>
    <w:p>
      <w:r>
        <w:pict>
          <v:rect style="width:0;height:1.5pt" o:hralign="center" o:hrstd="t" o:hr="t"/>
        </w:pict>
      </w:r>
    </w:p>
    <w:bookmarkEnd w:id="23"/>
    <w:bookmarkStart w:id="28" w:name="scope-definition-step-1"/>
    <w:p>
      <w:pPr>
        <w:pStyle w:val="Heading2"/>
      </w:pPr>
      <w:r>
        <w:t xml:space="preserve">3. Scope Definition (Step 1)</w:t>
      </w:r>
    </w:p>
    <w:bookmarkStart w:id="24" w:name="functional-unit"/>
    <w:p>
      <w:pPr>
        <w:pStyle w:val="Heading3"/>
      </w:pPr>
      <w:r>
        <w:t xml:space="preserve">Functional Unit</w:t>
      </w:r>
    </w:p>
    <w:p>
      <w:pPr>
        <w:pStyle w:val="FirstParagraph"/>
      </w:pPr>
      <w:r>
        <w:t xml:space="preserve">The functional unit for this PCF analysis is defined as</w:t>
      </w:r>
      <w:r>
        <w:t xml:space="preserve"> </w:t>
      </w:r>
      <w:r>
        <w:rPr>
          <w:bCs/>
          <w:b/>
        </w:rPr>
        <w:t xml:space="preserve">1.0 unit of zopeyprlus</w:t>
      </w:r>
      <w:r>
        <w:t xml:space="preserve">, serving its intended purpose over its estimated lifespan.</w:t>
      </w:r>
    </w:p>
    <w:bookmarkEnd w:id="24"/>
    <w:bookmarkStart w:id="25" w:name="system-boundary"/>
    <w:p>
      <w:pPr>
        <w:pStyle w:val="Heading3"/>
      </w:pPr>
      <w:r>
        <w:t xml:space="preserve">System Boundary</w:t>
      </w:r>
    </w:p>
    <w:p>
      <w:pPr>
        <w:pStyle w:val="FirstParagraph"/>
      </w:pPr>
      <w:r>
        <w:t xml:space="preserve">The system boundary for the core production is defined as</w:t>
      </w:r>
      <w:r>
        <w:t xml:space="preserve"> </w:t>
      </w:r>
      <w:r>
        <w:rPr>
          <w:bCs/>
          <w:b/>
        </w:rPr>
        <w:t xml:space="preserve">factory_gate</w:t>
      </w:r>
      <w:r>
        <w:t xml:space="preserve">, covering all processes from raw material acquisition (cradle) up to the point where the finished product leaves the production facility. However, for a complete Product Carbon Footprint, the analysis extends to a \'cradle-to-grave\' approach, encompassing material acquisition, manufacturing, distribution, use, and end-of-life stages of the product \'zopeyprlus\'.</w:t>
      </w:r>
    </w:p>
    <w:bookmarkEnd w:id="25"/>
    <w:bookmarkStart w:id="26" w:name="geographic-scope"/>
    <w:p>
      <w:pPr>
        <w:pStyle w:val="Heading3"/>
      </w:pPr>
      <w:r>
        <w:t xml:space="preserve">Geographic Scope</w:t>
      </w:r>
    </w:p>
    <w:p>
      <w:pPr>
        <w:pStyle w:val="FirstParagraph"/>
      </w:pPr>
      <w:r>
        <w:t xml:space="preserve">The</w:t>
      </w:r>
      <w:r>
        <w:t xml:space="preserve"> </w:t>
      </w:r>
      <w:r>
        <w:rPr>
          <w:bCs/>
          <w:b/>
        </w:rPr>
        <w:t xml:space="preserve">Final Production Country is China</w:t>
      </w:r>
      <w:r>
        <w:t xml:space="preserve">. The</w:t>
      </w:r>
      <w:r>
        <w:t xml:space="preserve"> </w:t>
      </w:r>
      <w:r>
        <w:rPr>
          <w:bCs/>
          <w:b/>
        </w:rPr>
        <w:t xml:space="preserve">Supply Chain Focus is Europe Focused</w:t>
      </w:r>
      <w:r>
        <w:t xml:space="preserve">, implying that upstream transport to China and downstream transport from China predominantly serve European markets. The use phase and end-of-life scenarios are therefore modeled with European contexts in mind for consumption and disposal practices.</w:t>
      </w:r>
    </w:p>
    <w:bookmarkEnd w:id="26"/>
    <w:bookmarkStart w:id="27" w:name="allocation"/>
    <w:p>
      <w:pPr>
        <w:pStyle w:val="Heading3"/>
      </w:pPr>
      <w:r>
        <w:t xml:space="preserve">Allocation</w:t>
      </w:r>
    </w:p>
    <w:p>
      <w:pPr>
        <w:pStyle w:val="FirstParagraph"/>
      </w:pPr>
      <w:r>
        <w:t xml:space="preserve">Allocation of environmental impacts for co-products or recycled content is primarily based on the mass-based approach where appropriate, and the "substitution" or "avoided burden" method is applied for recycling benefits in the end-of-life phase, where recycled materials displace virgin material production.</w:t>
      </w:r>
    </w:p>
    <w:p>
      <w:r>
        <w:pict>
          <v:rect style="width:0;height:1.5pt" o:hralign="center" o:hrstd="t" o:hr="t"/>
        </w:pict>
      </w:r>
    </w:p>
    <w:bookmarkEnd w:id="27"/>
    <w:bookmarkEnd w:id="28"/>
    <w:bookmarkStart w:id="34" w:name="X165b47bb5250a55c5bdeab8c531813c156fa397"/>
    <w:p>
      <w:pPr>
        <w:pStyle w:val="Heading2"/>
      </w:pPr>
      <w:r>
        <w:t xml:space="preserve">4. Lifecycle Mapping and Data Collection (Steps 2 &amp; 3)</w:t>
      </w:r>
    </w:p>
    <w:p>
      <w:pPr>
        <w:pStyle w:val="FirstParagraph"/>
      </w:pPr>
      <w:r>
        <w:t xml:space="preserve">The lifecycle of \'zopeyprlus\' is mapped across key stages: Material Acquisition, Manufacturing, Transportation (Upstream &amp; Downstream), Use Phase, and End-of-Life. Data was collected using a combination of provided specific parameters and industry-standard emission factors from reputable databases like Ecoinvent and DEFRA (where applicable, and noting specific source citations below).</w:t>
      </w:r>
    </w:p>
    <w:bookmarkStart w:id="29" w:name="Xa1501af9850a49abcad5dabf1ca0ef771c07d4b"/>
    <w:p>
      <w:pPr>
        <w:pStyle w:val="Heading3"/>
      </w:pPr>
      <w:r>
        <w:t xml:space="preserve">4.1. Detailed Bill of Materials (BOM) - Parameter: ydmkinno</w:t>
      </w:r>
    </w:p>
    <w:p>
      <w:pPr>
        <w:pStyle w:val="FirstParagraph"/>
      </w:pPr>
      <w:r>
        <w:t xml:space="preserve">The following example Detailed Bill of Materials (BOM) is used for material impact calculations. The "Total Carbon" (CO2e) for each item is calculated based on its Quantity and the respective Emission Factor (EF).</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14.77 (Primary Al, global average)</w:t>
            </w:r>
          </w:p>
        </w:tc>
        <w:tc>
          <w:tcPr/>
          <w:p>
            <w:pPr>
              <w:pStyle w:val="Compact"/>
              <w:jc w:val="left"/>
            </w:pPr>
            <w:r>
              <w:t xml:space="preserve">7.385</w:t>
            </w:r>
          </w:p>
        </w:tc>
      </w:tr>
      <w:tr>
        <w:tc>
          <w:tcPr/>
          <w:p>
            <w:pPr>
              <w:pStyle w:val="Compact"/>
              <w:jc w:val="left"/>
            </w:pPr>
            <w:r>
              <w:t xml:space="preserve">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3.125 (Virgin ABS, Europe)</w:t>
            </w:r>
          </w:p>
        </w:tc>
        <w:tc>
          <w:tcPr/>
          <w:p>
            <w:pPr>
              <w:pStyle w:val="Compact"/>
              <w:jc w:val="left"/>
            </w:pPr>
            <w:r>
              <w:t xml:space="preserve">0.938</w:t>
            </w:r>
          </w:p>
        </w:tc>
      </w:tr>
      <w:tr>
        <w:tc>
          <w:tcPr/>
          <w:p>
            <w:pPr>
              <w:pStyle w:val="Compact"/>
              <w:jc w:val="left"/>
            </w:pPr>
            <w:r>
              <w:t xml:space="preserve">3</w:t>
            </w:r>
          </w:p>
        </w:tc>
        <w:tc>
          <w:tcPr/>
          <w:p>
            <w:pPr>
              <w:pStyle w:val="Compact"/>
              <w:jc w:val="left"/>
            </w:pPr>
            <w:r>
              <w:t xml:space="preserve">Electronic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24.865 (Electronic Devices, UK 2021 estimate)</w:t>
            </w:r>
          </w:p>
        </w:tc>
        <w:tc>
          <w:tcPr/>
          <w:p>
            <w:pPr>
              <w:pStyle w:val="Compact"/>
              <w:jc w:val="left"/>
            </w:pPr>
            <w:r>
              <w:t xml:space="preserve">2.487</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0.94 (Cardboard box, cradle-to-grave)</w:t>
            </w:r>
          </w:p>
        </w:tc>
        <w:tc>
          <w:tcPr/>
          <w:p>
            <w:pPr>
              <w:pStyle w:val="Compact"/>
              <w:jc w:val="left"/>
            </w:pPr>
            <w:r>
              <w:t xml:space="preserve">0.188</w:t>
            </w:r>
          </w:p>
        </w:tc>
      </w:tr>
    </w:tbl>
    <w:p>
      <w:pPr>
        <w:pStyle w:val="BodyText"/>
      </w:pPr>
      <w:r>
        <w:rPr>
          <w:bCs/>
          <w:b/>
        </w:rPr>
        <w:t xml:space="preserve">Total Material Footprint (Estimated): 10.998 kgCO2e</w:t>
      </w:r>
    </w:p>
    <w:bookmarkEnd w:id="29"/>
    <w:bookmarkStart w:id="30" w:name="transport-logistics-data"/>
    <w:p>
      <w:pPr>
        <w:pStyle w:val="Heading3"/>
      </w:pPr>
      <w:r>
        <w:t xml:space="preserve">4.2. Transport Logistics Data</w:t>
      </w:r>
    </w:p>
    <w:p>
      <w:pPr>
        <w:pStyle w:val="FirstParagraph"/>
      </w:pPr>
      <w:r>
        <w:t xml:space="preserve">Specific logistics data has been incorporated into the supply chain analysis.</w:t>
      </w:r>
    </w:p>
    <w:p>
      <w:pPr>
        <w:numPr>
          <w:ilvl w:val="0"/>
          <w:numId w:val="1002"/>
        </w:numPr>
        <w:pStyle w:val="Compact"/>
      </w:pPr>
      <w:r>
        <w:rPr>
          <w:bCs/>
          <w:b/>
        </w:rPr>
        <w:t xml:space="preserve">Upstream Transport Mode (Parameter: Select Mode):</w:t>
      </w:r>
      <w:r>
        <w:t xml:space="preserve"> </w:t>
      </w:r>
      <w:r>
        <w:t xml:space="preserve">Ocean Freight (from material suppliers to China production facility).</w:t>
      </w:r>
    </w:p>
    <w:p>
      <w:pPr>
        <w:numPr>
          <w:ilvl w:val="0"/>
          <w:numId w:val="1002"/>
        </w:numPr>
        <w:pStyle w:val="Compact"/>
      </w:pPr>
      <w:r>
        <w:rPr>
          <w:bCs/>
          <w:b/>
        </w:rPr>
        <w:t xml:space="preserve">Upstream Transport Distance (Parameter: rqdggefsom):</w:t>
      </w:r>
      <w:r>
        <w:t xml:space="preserve"> </w:t>
      </w:r>
      <w:r>
        <w:t xml:space="preserve">12,000 km (assumed for intercontinental shipping, e.g., Asia to Europe).</w:t>
      </w:r>
    </w:p>
    <w:p>
      <w:pPr>
        <w:numPr>
          <w:ilvl w:val="0"/>
          <w:numId w:val="1002"/>
        </w:numPr>
        <w:pStyle w:val="Compact"/>
      </w:pPr>
      <w:r>
        <w:rPr>
          <w:bCs/>
          <w:b/>
        </w:rPr>
        <w:t xml:space="preserve">Downstream Transport Mode:</w:t>
      </w:r>
      <w:r>
        <w:t xml:space="preserve"> </w:t>
      </w:r>
      <w:r>
        <w:t xml:space="preserve">Road Freight (from China production facility to European distribution hub, then to customer region).</w:t>
      </w:r>
    </w:p>
    <w:p>
      <w:pPr>
        <w:numPr>
          <w:ilvl w:val="0"/>
          <w:numId w:val="1002"/>
        </w:numPr>
        <w:pStyle w:val="Compact"/>
      </w:pPr>
      <w:r>
        <w:rPr>
          <w:bCs/>
          <w:b/>
        </w:rPr>
        <w:t xml:space="preserve">Downstream Transport Distance (Parameter: rqdggefsom):</w:t>
      </w:r>
      <w:r>
        <w:t xml:space="preserve"> </w:t>
      </w:r>
      <w:r>
        <w:t xml:space="preserve">500 km (Road Freight to hub) + 50 km (Last-Mile).</w:t>
      </w:r>
    </w:p>
    <w:p>
      <w:pPr>
        <w:numPr>
          <w:ilvl w:val="0"/>
          <w:numId w:val="1002"/>
        </w:numPr>
        <w:pStyle w:val="Compact"/>
      </w:pPr>
      <w:r>
        <w:rPr>
          <w:bCs/>
          <w:b/>
        </w:rPr>
        <w:t xml:space="preserve">Last-Mile Delivery Channel (Parameter: Delivery Type):</w:t>
      </w:r>
      <w:r>
        <w:t xml:space="preserve"> </w:t>
      </w:r>
      <w:r>
        <w:t xml:space="preserve">Small Parcel Ground Shipping.</w:t>
      </w:r>
    </w:p>
    <w:bookmarkEnd w:id="30"/>
    <w:bookmarkStart w:id="31" w:name="production-energy-customization-data"/>
    <w:p>
      <w:pPr>
        <w:pStyle w:val="Heading3"/>
      </w:pPr>
      <w:r>
        <w:t xml:space="preserve">4.3. Production Energy Customization Data</w:t>
      </w:r>
    </w:p>
    <w:p>
      <w:pPr>
        <w:pStyle w:val="FirstParagraph"/>
      </w:pPr>
      <w:r>
        <w:t xml:space="preserve">The production phase footprint incorporates the following energy data for the China facility:</w:t>
      </w:r>
    </w:p>
    <w:p>
      <w:pPr>
        <w:numPr>
          <w:ilvl w:val="0"/>
          <w:numId w:val="1003"/>
        </w:numPr>
        <w:pStyle w:val="Compact"/>
      </w:pPr>
      <w:r>
        <w:rPr>
          <w:bCs/>
          <w:b/>
        </w:rPr>
        <w:t xml:space="preserve">Renewable Energy Usage (Parameter: utwupymexo):</w:t>
      </w:r>
      <w:r>
        <w:t xml:space="preserve"> </w:t>
      </w:r>
      <w:r>
        <w:t xml:space="preserve">40% (of total electricity consumed).</w:t>
      </w:r>
    </w:p>
    <w:p>
      <w:pPr>
        <w:numPr>
          <w:ilvl w:val="0"/>
          <w:numId w:val="1003"/>
        </w:numPr>
        <w:pStyle w:val="Compact"/>
      </w:pPr>
      <w:r>
        <w:rPr>
          <w:bCs/>
          <w:b/>
        </w:rPr>
        <w:t xml:space="preserve">Energy Intensity (kWh/unit) (Parameter: izsomekptr):</w:t>
      </w:r>
      <w:r>
        <w:t xml:space="preserve"> </w:t>
      </w:r>
      <w:r>
        <w:t xml:space="preserve">10 kWh/unit.</w:t>
      </w:r>
    </w:p>
    <w:p>
      <w:pPr>
        <w:numPr>
          <w:ilvl w:val="0"/>
          <w:numId w:val="1003"/>
        </w:numPr>
        <w:pStyle w:val="Compact"/>
      </w:pPr>
      <w:r>
        <w:rPr>
          <w:bCs/>
          <w:b/>
        </w:rPr>
        <w:t xml:space="preserve">Grid Emission Factor (China):</w:t>
      </w:r>
      <w:r>
        <w:t xml:space="preserve"> </w:t>
      </w:r>
      <w:r>
        <w:t xml:space="preserve">0.6205 kg CO2e/kWh (2023 national average).</w:t>
      </w:r>
    </w:p>
    <w:bookmarkEnd w:id="31"/>
    <w:bookmarkStart w:id="32" w:name="X1ba14a67a329254cce30ddbf9878601bb9c0fa0"/>
    <w:p>
      <w:pPr>
        <w:pStyle w:val="Heading3"/>
      </w:pPr>
      <w:r>
        <w:t xml:space="preserve">4.4. Use Phase Durability and Consumption Data</w:t>
      </w:r>
    </w:p>
    <w:p>
      <w:pPr>
        <w:pStyle w:val="FirstParagraph"/>
      </w:pPr>
      <w:r>
        <w:t xml:space="preserve">The \'Use Phase\' calculation utilizes the following specific data:</w:t>
      </w:r>
    </w:p>
    <w:p>
      <w:pPr>
        <w:numPr>
          <w:ilvl w:val="0"/>
          <w:numId w:val="1004"/>
        </w:numPr>
        <w:pStyle w:val="Compact"/>
      </w:pPr>
      <w:r>
        <w:rPr>
          <w:bCs/>
          <w:b/>
        </w:rPr>
        <w:t xml:space="preserve">Product Lifespan (Parameter: ihfspymgkk):</w:t>
      </w:r>
      <w:r>
        <w:t xml:space="preserve"> </w:t>
      </w:r>
      <w:r>
        <w:t xml:space="preserve">5 years.</w:t>
      </w:r>
    </w:p>
    <w:p>
      <w:pPr>
        <w:numPr>
          <w:ilvl w:val="0"/>
          <w:numId w:val="1004"/>
        </w:numPr>
        <w:pStyle w:val="Compact"/>
      </w:pPr>
      <w:r>
        <w:rPr>
          <w:bCs/>
          <w:b/>
        </w:rPr>
        <w:t xml:space="preserve">Energy Consumption in Use (Parameter: txvfuhryyl):</w:t>
      </w:r>
      <w:r>
        <w:t xml:space="preserve"> </w:t>
      </w:r>
      <w:r>
        <w:t xml:space="preserve">5 kWh/year.</w:t>
      </w:r>
    </w:p>
    <w:p>
      <w:pPr>
        <w:numPr>
          <w:ilvl w:val="0"/>
          <w:numId w:val="1004"/>
        </w:numPr>
        <w:pStyle w:val="Compact"/>
      </w:pPr>
      <w:r>
        <w:rPr>
          <w:bCs/>
          <w:b/>
        </w:rPr>
        <w:t xml:space="preserve">Grid Emission Factor (Europe):</w:t>
      </w:r>
      <w:r>
        <w:t xml:space="preserve"> </w:t>
      </w:r>
      <w:r>
        <w:t xml:space="preserve">0.238 kg CO2e/kWh (EU 2019 average).</w:t>
      </w:r>
    </w:p>
    <w:bookmarkEnd w:id="32"/>
    <w:bookmarkStart w:id="33" w:name="end-of-life-eol-scenarios"/>
    <w:p>
      <w:pPr>
        <w:pStyle w:val="Heading3"/>
      </w:pPr>
      <w:r>
        <w:t xml:space="preserve">4.5. End-of-Life (EoL) Scenarios</w:t>
      </w:r>
    </w:p>
    <w:p>
      <w:pPr>
        <w:pStyle w:val="FirstParagraph"/>
      </w:pPr>
      <w:r>
        <w:t xml:space="preserve">End-of-Life impacts are modeled incorporating circular economy principles:</w:t>
      </w:r>
    </w:p>
    <w:p>
      <w:pPr>
        <w:numPr>
          <w:ilvl w:val="0"/>
          <w:numId w:val="1005"/>
        </w:numPr>
        <w:pStyle w:val="Compact"/>
      </w:pPr>
      <w:r>
        <w:rPr>
          <w:bCs/>
          <w:b/>
        </w:rPr>
        <w:t xml:space="preserve">Recyclability Percentage (Parameter: txpfhxshom):</w:t>
      </w:r>
      <w:r>
        <w:t xml:space="preserve"> </w:t>
      </w:r>
      <w:r>
        <w:t xml:space="preserve">60% (of total product mass, excluding packaging which is handled separately).</w:t>
      </w:r>
    </w:p>
    <w:p>
      <w:pPr>
        <w:numPr>
          <w:ilvl w:val="0"/>
          <w:numId w:val="1005"/>
        </w:numPr>
        <w:pStyle w:val="Compact"/>
      </w:pPr>
      <w:r>
        <w:rPr>
          <w:bCs/>
          <w:b/>
        </w:rPr>
        <w:t xml:space="preserve">Circular/Take-back Programs (Parameter: nfjrogqxer):</w:t>
      </w:r>
      <w:r>
        <w:t xml:space="preserve"> </w:t>
      </w:r>
      <w:r>
        <w:t xml:space="preserve">A program is in place, ensuring 20% of returned products are refurbished, thereby avoiding new production. The remaining 80% of unrefurbished products go through standard end-of-life processes (with the specified recyclability).</w:t>
      </w:r>
    </w:p>
    <w:p>
      <w:pPr>
        <w:numPr>
          <w:ilvl w:val="0"/>
          <w:numId w:val="1005"/>
        </w:numPr>
        <w:pStyle w:val="Compact"/>
      </w:pPr>
      <w:r>
        <w:rPr>
          <w:bCs/>
          <w:b/>
        </w:rPr>
        <w:t xml:space="preserve">Landfill Emission Factor (Assumed):</w:t>
      </w:r>
      <w:r>
        <w:t xml:space="preserve"> </w:t>
      </w:r>
      <w:r>
        <w:t xml:space="preserve">0.1 kg CO2e/kg (for non-recycled waste).</w:t>
      </w:r>
    </w:p>
    <w:p>
      <w:r>
        <w:pict>
          <v:rect style="width:0;height:1.5pt" o:hralign="center" o:hrstd="t" o:hr="t"/>
        </w:pict>
      </w:r>
    </w:p>
    <w:bookmarkEnd w:id="33"/>
    <w:bookmarkEnd w:id="34"/>
    <w:bookmarkStart w:id="43" w:name="emission-calculation-step-4"/>
    <w:p>
      <w:pPr>
        <w:pStyle w:val="Heading2"/>
      </w:pPr>
      <w:r>
        <w:t xml:space="preserve">5. Emission Calculation (Step 4)</w:t>
      </w:r>
    </w:p>
    <w:p>
      <w:pPr>
        <w:pStyle w:val="FirstParagraph"/>
      </w:pPr>
      <w:r>
        <w:t xml:space="preserve">Emissions are calculated for each lifecycle stage, categorized according to the GHG Protocol Scopes. Industry-standard emission factors are applied, primarily from DEFRA, Ecoinvent, and other cited sources, converted to kg CO2e where necessary. Assumptions are clearly stated.</w:t>
      </w:r>
    </w:p>
    <w:bookmarkStart w:id="35" w:name="scope-1-emissions-direct-emissions"/>
    <w:p>
      <w:pPr>
        <w:pStyle w:val="Heading3"/>
      </w:pPr>
      <w:r>
        <w:t xml:space="preserve">5.1. Scope 1 Emissions (Direct Emissions)</w:t>
      </w:r>
    </w:p>
    <w:p>
      <w:pPr>
        <w:pStyle w:val="FirstParagraph"/>
      </w:pPr>
      <w:r>
        <w:t xml:space="preserve">Given the \'factory_gate\' system boundary for direct company operations and typical product PCF focus, direct (Scope 1) emissions from manufacturing processes (e.g., on-site fuel combustion) are assumed to be negligible or covered within the upstream material/energy factors at the material supplier level for the purpose of this product-level assessment. If ghxynznvmm had direct emissions at the final production factory in China (e.g., from owned boilers), these would be quantified here. For this report, we assume the direct emissions associated with the production process itself are captured within the Scope 2 (purchased energy) and Scope 3 (purchased goods and services, upstream transport) categories for simplicity, given the available parameters.</w:t>
      </w:r>
    </w:p>
    <w:bookmarkEnd w:id="35"/>
    <w:bookmarkStart w:id="36" w:name="scope-2-emissions-purchased-electricity"/>
    <w:p>
      <w:pPr>
        <w:pStyle w:val="Heading3"/>
      </w:pPr>
      <w:r>
        <w:t xml:space="preserve">5.2. Scope 2 Emissions (Purchased Electricity)</w:t>
      </w:r>
    </w:p>
    <w:p>
      <w:pPr>
        <w:pStyle w:val="FirstParagraph"/>
      </w:pPr>
      <w:r>
        <w:t xml:space="preserve">These emissions arise from the purchase of electricity for the final production process in China.</w:t>
      </w:r>
    </w:p>
    <w:p>
      <w:pPr>
        <w:numPr>
          <w:ilvl w:val="0"/>
          <w:numId w:val="1006"/>
        </w:numPr>
        <w:pStyle w:val="Compact"/>
      </w:pPr>
      <w:r>
        <w:t xml:space="preserve">Total Energy Consumption: 10 kWh/unit [cite: izsomekptr]</w:t>
      </w:r>
    </w:p>
    <w:p>
      <w:pPr>
        <w:numPr>
          <w:ilvl w:val="0"/>
          <w:numId w:val="1006"/>
        </w:numPr>
        <w:pStyle w:val="Compact"/>
      </w:pPr>
      <w:r>
        <w:t xml:space="preserve">Renewable Energy Usage: 40% [cite: utwupymexo]</w:t>
      </w:r>
    </w:p>
    <w:p>
      <w:pPr>
        <w:numPr>
          <w:ilvl w:val="0"/>
          <w:numId w:val="1006"/>
        </w:numPr>
        <w:pStyle w:val="Compact"/>
      </w:pPr>
      <w:r>
        <w:t xml:space="preserve">Non-Renewable Energy Consumption: 10 kWh/unit * (1 - 0.40) = 6 kWh/unit</w:t>
      </w:r>
    </w:p>
    <w:p>
      <w:pPr>
        <w:numPr>
          <w:ilvl w:val="0"/>
          <w:numId w:val="1006"/>
        </w:numPr>
        <w:pStyle w:val="Compact"/>
      </w:pPr>
      <w:r>
        <w:t xml:space="preserve">China Grid Emission Factor: 0.6205 kg CO2e/kWh</w:t>
      </w:r>
    </w:p>
    <w:p>
      <w:pPr>
        <w:numPr>
          <w:ilvl w:val="0"/>
          <w:numId w:val="1006"/>
        </w:numPr>
        <w:pStyle w:val="Compact"/>
      </w:pPr>
      <w:r>
        <w:rPr>
          <w:bCs/>
          <w:b/>
        </w:rPr>
        <w:t xml:space="preserve">Scope 2 Emissions = 6 kWh/unit * 0.6205 kg CO2e/kWh = 3.723 kgCO2e/unit</w:t>
      </w:r>
    </w:p>
    <w:bookmarkEnd w:id="36"/>
    <w:bookmarkStart w:id="42" w:name="scope-3-emissions-value-chain-emissions"/>
    <w:p>
      <w:pPr>
        <w:pStyle w:val="Heading3"/>
      </w:pPr>
      <w:r>
        <w:t xml:space="preserve">5.3. Scope 3 Emissions (Value Chain Emissions)</w:t>
      </w:r>
    </w:p>
    <w:p>
      <w:pPr>
        <w:pStyle w:val="FirstParagraph"/>
      </w:pPr>
      <w:r>
        <w:t xml:space="preserve">Scope 3 emissions are the most substantial part of a product\'s footprint, covering both upstream and downstream activities.</w:t>
      </w:r>
    </w:p>
    <w:bookmarkStart w:id="37" w:name="Xab9729a0caae076ca89f2f71668734f92723cf2"/>
    <w:p>
      <w:pPr>
        <w:pStyle w:val="Heading4"/>
      </w:pPr>
      <w:r>
        <w:t xml:space="preserve">Category 1: Purchased Goods and Services (Materials)</w:t>
      </w:r>
    </w:p>
    <w:p>
      <w:pPr>
        <w:pStyle w:val="FirstParagraph"/>
      </w:pPr>
      <w:r>
        <w:t xml:space="preserve">Emissions from the extraction, production, and primary transport of raw materials and components, based on the BOM.</w:t>
      </w:r>
    </w:p>
    <w:p>
      <w:pPr>
        <w:numPr>
          <w:ilvl w:val="0"/>
          <w:numId w:val="1007"/>
        </w:numPr>
        <w:pStyle w:val="Compact"/>
      </w:pPr>
      <w:r>
        <w:t xml:space="preserve">Aluminum Casing: 0.5 kg * 14.77 kgCO2e/kg = 7.385 kgCO2e</w:t>
      </w:r>
    </w:p>
    <w:p>
      <w:pPr>
        <w:numPr>
          <w:ilvl w:val="0"/>
          <w:numId w:val="1007"/>
        </w:numPr>
        <w:pStyle w:val="Compact"/>
      </w:pPr>
      <w:r>
        <w:t xml:space="preserve">ABS Plastic Housing: 0.3 kg * 3.125 kgCO2e/kg = 0.938 kgCO2e</w:t>
      </w:r>
    </w:p>
    <w:p>
      <w:pPr>
        <w:numPr>
          <w:ilvl w:val="0"/>
          <w:numId w:val="1007"/>
        </w:numPr>
        <w:pStyle w:val="Compact"/>
      </w:pPr>
      <w:r>
        <w:t xml:space="preserve">Electronic Circuit Board: 0.1 kg * 24.865 kgCO2e/kg = 2.487 kgCO2e</w:t>
      </w:r>
    </w:p>
    <w:p>
      <w:pPr>
        <w:numPr>
          <w:ilvl w:val="0"/>
          <w:numId w:val="1007"/>
        </w:numPr>
        <w:pStyle w:val="Compact"/>
      </w:pPr>
      <w:r>
        <w:t xml:space="preserve">Packaging (Cardboard): 0.2 kg * 0.94 kgCO2e/kg = 0.188 kgCO2e</w:t>
      </w:r>
    </w:p>
    <w:p>
      <w:pPr>
        <w:numPr>
          <w:ilvl w:val="0"/>
          <w:numId w:val="1007"/>
        </w:numPr>
        <w:pStyle w:val="Compact"/>
      </w:pPr>
      <w:r>
        <w:rPr>
          <w:bCs/>
          <w:b/>
        </w:rPr>
        <w:t xml:space="preserve">Total Scope 3, Category 1 Emissions = 7.385 + 0.938 + 2.487 + 0.188 = 10.998 kgCO2e/unit</w:t>
      </w:r>
    </w:p>
    <w:bookmarkEnd w:id="37"/>
    <w:bookmarkStart w:id="38" w:name="Xcf3851b1e38aaf700f145fe407218c5e8846bbc"/>
    <w:p>
      <w:pPr>
        <w:pStyle w:val="Heading4"/>
      </w:pPr>
      <w:r>
        <w:t xml:space="preserve">Category 4 &amp; 9: Transportation and Distribution</w:t>
      </w:r>
    </w:p>
    <w:p>
      <w:pPr>
        <w:pStyle w:val="FirstParagraph"/>
      </w:pPr>
      <w:r>
        <w:t xml:space="preserve">This includes upstream transport of materials to the manufacturing facility in China, and downstream transport of finished products to the customer in Europe.</w:t>
      </w:r>
    </w:p>
    <w:p>
      <w:pPr>
        <w:numPr>
          <w:ilvl w:val="0"/>
          <w:numId w:val="1008"/>
        </w:numPr>
        <w:pStyle w:val="Compact"/>
      </w:pPr>
      <w:r>
        <w:rPr>
          <w:bCs/>
          <w:b/>
        </w:rPr>
        <w:t xml:space="preserve">Upstream Transport (Ocean Freight):</w:t>
      </w:r>
    </w:p>
    <w:p>
      <w:pPr>
        <w:numPr>
          <w:ilvl w:val="1"/>
          <w:numId w:val="1009"/>
        </w:numPr>
        <w:pStyle w:val="Compact"/>
      </w:pPr>
      <w:r>
        <w:t xml:space="preserve">Assumed average product weight per shipment (including packaging): 1 kg (0.5+0.3+0.1+0.2). Assuming raw materials also sum up to around 1kg gross per final product unit.</w:t>
      </w:r>
    </w:p>
    <w:p>
      <w:pPr>
        <w:numPr>
          <w:ilvl w:val="1"/>
          <w:numId w:val="1009"/>
        </w:numPr>
        <w:pStyle w:val="Compact"/>
      </w:pPr>
      <w:r>
        <w:t xml:space="preserve">Transport Distance: 12,000 km [cite: rqdggefsom]</w:t>
      </w:r>
    </w:p>
    <w:p>
      <w:pPr>
        <w:numPr>
          <w:ilvl w:val="1"/>
          <w:numId w:val="1009"/>
        </w:numPr>
        <w:pStyle w:val="Compact"/>
      </w:pPr>
      <w:r>
        <w:t xml:space="preserve">Emission Factor (Ocean Freight - container ship): 0.016 kg CO2e/tonne-km</w:t>
      </w:r>
    </w:p>
    <w:p>
      <w:pPr>
        <w:numPr>
          <w:ilvl w:val="1"/>
          <w:numId w:val="1009"/>
        </w:numPr>
        <w:pStyle w:val="Compact"/>
      </w:pPr>
      <w:r>
        <w:t xml:space="preserve">Emissions = 1 kg (0.001 tonne) * 12,000 km * 0.016 kg CO2e/tonne-km = 0.192 kgCO2e/unit</w:t>
      </w:r>
    </w:p>
    <w:p>
      <w:pPr>
        <w:numPr>
          <w:ilvl w:val="0"/>
          <w:numId w:val="1008"/>
        </w:numPr>
        <w:pStyle w:val="Compact"/>
      </w:pPr>
      <w:r>
        <w:rPr>
          <w:bCs/>
          <w:b/>
        </w:rPr>
        <w:t xml:space="preserve">Downstream Transport (Road Freight to Hub):</w:t>
      </w:r>
    </w:p>
    <w:p>
      <w:pPr>
        <w:numPr>
          <w:ilvl w:val="1"/>
          <w:numId w:val="1010"/>
        </w:numPr>
        <w:pStyle w:val="Compact"/>
      </w:pPr>
      <w:r>
        <w:t xml:space="preserve">Product Weight (incl. packaging): 1 kg (0.001 tonne)</w:t>
      </w:r>
    </w:p>
    <w:p>
      <w:pPr>
        <w:numPr>
          <w:ilvl w:val="1"/>
          <w:numId w:val="1010"/>
        </w:numPr>
        <w:pStyle w:val="Compact"/>
      </w:pPr>
      <w:r>
        <w:t xml:space="preserve">Transport Distance: 500 km [cite: rqdggefsom]</w:t>
      </w:r>
    </w:p>
    <w:p>
      <w:pPr>
        <w:numPr>
          <w:ilvl w:val="1"/>
          <w:numId w:val="1010"/>
        </w:numPr>
        <w:pStyle w:val="Compact"/>
      </w:pPr>
      <w:r>
        <w:t xml:space="preserve">Emission Factor (Road Freight - HGV &gt;20t, Europe): 0.092 kg CO2e/tonne-km</w:t>
      </w:r>
    </w:p>
    <w:p>
      <w:pPr>
        <w:numPr>
          <w:ilvl w:val="1"/>
          <w:numId w:val="1010"/>
        </w:numPr>
        <w:pStyle w:val="Compact"/>
      </w:pPr>
      <w:r>
        <w:t xml:space="preserve">Emissions = 0.001 tonne * 500 km * 0.092 kg CO2e/tonne-km = 0.046 kgCO2e/unit</w:t>
      </w:r>
    </w:p>
    <w:p>
      <w:pPr>
        <w:numPr>
          <w:ilvl w:val="0"/>
          <w:numId w:val="1008"/>
        </w:numPr>
        <w:pStyle w:val="Compact"/>
      </w:pPr>
      <w:r>
        <w:rPr>
          <w:bCs/>
          <w:b/>
        </w:rPr>
        <w:t xml:space="preserve">Last-Mile Delivery (Small Parcel Ground Shipping):</w:t>
      </w:r>
    </w:p>
    <w:p>
      <w:pPr>
        <w:numPr>
          <w:ilvl w:val="1"/>
          <w:numId w:val="1011"/>
        </w:numPr>
        <w:pStyle w:val="Compact"/>
      </w:pPr>
      <w:r>
        <w:t xml:space="preserve">Product Weight (incl. packaging): 1 kg (0.001 tonne)</w:t>
      </w:r>
    </w:p>
    <w:p>
      <w:pPr>
        <w:numPr>
          <w:ilvl w:val="1"/>
          <w:numId w:val="1011"/>
        </w:numPr>
        <w:pStyle w:val="Compact"/>
      </w:pPr>
      <w:r>
        <w:t xml:space="preserve">Transport Distance: 50 km [cite: rqdggefsom]</w:t>
      </w:r>
    </w:p>
    <w:p>
      <w:pPr>
        <w:numPr>
          <w:ilvl w:val="1"/>
          <w:numId w:val="1011"/>
        </w:numPr>
        <w:pStyle w:val="Compact"/>
      </w:pPr>
      <w:r>
        <w:t xml:space="preserve">Emission Factor (Small Parcel Ground, assumed for lower load efficiency): 0.2 kg CO2e/tonne-km (approximation based on road freight)</w:t>
      </w:r>
    </w:p>
    <w:p>
      <w:pPr>
        <w:numPr>
          <w:ilvl w:val="1"/>
          <w:numId w:val="1011"/>
        </w:numPr>
        <w:pStyle w:val="Compact"/>
      </w:pPr>
      <w:r>
        <w:t xml:space="preserve">Emissions = 0.001 tonne * 50 km * 0.2 kg CO2e/tonne-km = 0.010 kgCO2e/unit</w:t>
      </w:r>
    </w:p>
    <w:p>
      <w:pPr>
        <w:numPr>
          <w:ilvl w:val="0"/>
          <w:numId w:val="1008"/>
        </w:numPr>
        <w:pStyle w:val="Compact"/>
      </w:pPr>
      <w:r>
        <w:rPr>
          <w:bCs/>
          <w:b/>
        </w:rPr>
        <w:t xml:space="preserve">Total Scope 3, Category 4 &amp; 9 Emissions = 0.192 + 0.046 + 0.010 = 0.248 kgCO2e/unit</w:t>
      </w:r>
    </w:p>
    <w:bookmarkEnd w:id="38"/>
    <w:bookmarkStart w:id="39" w:name="category-11-use-of-sold-products"/>
    <w:p>
      <w:pPr>
        <w:pStyle w:val="Heading4"/>
      </w:pPr>
      <w:r>
        <w:t xml:space="preserve">Category 11: Use of Sold Products</w:t>
      </w:r>
    </w:p>
    <w:p>
      <w:pPr>
        <w:pStyle w:val="FirstParagraph"/>
      </w:pPr>
      <w:r>
        <w:t xml:space="preserve">Emissions from the energy consumption during the product\'s lifespan.</w:t>
      </w:r>
    </w:p>
    <w:p>
      <w:pPr>
        <w:numPr>
          <w:ilvl w:val="0"/>
          <w:numId w:val="1012"/>
        </w:numPr>
        <w:pStyle w:val="Compact"/>
      </w:pPr>
      <w:r>
        <w:t xml:space="preserve">Product Lifespan: 5 years [cite: ihfspymgkk]</w:t>
      </w:r>
    </w:p>
    <w:p>
      <w:pPr>
        <w:numPr>
          <w:ilvl w:val="0"/>
          <w:numId w:val="1012"/>
        </w:numPr>
        <w:pStyle w:val="Compact"/>
      </w:pPr>
      <w:r>
        <w:t xml:space="preserve">Energy Consumption in Use: 5 kWh/year [cite: txvfuhryyl]</w:t>
      </w:r>
    </w:p>
    <w:p>
      <w:pPr>
        <w:numPr>
          <w:ilvl w:val="0"/>
          <w:numId w:val="1012"/>
        </w:numPr>
        <w:pStyle w:val="Compact"/>
      </w:pPr>
      <w:r>
        <w:t xml:space="preserve">European Grid Emission Factor: 0.238 kg CO2e/kWh</w:t>
      </w:r>
    </w:p>
    <w:p>
      <w:pPr>
        <w:numPr>
          <w:ilvl w:val="0"/>
          <w:numId w:val="1012"/>
        </w:numPr>
        <w:pStyle w:val="Compact"/>
      </w:pPr>
      <w:r>
        <w:rPr>
          <w:bCs/>
          <w:b/>
        </w:rPr>
        <w:t xml:space="preserve">Scope 3, Category 11 Emissions = 5 years * 5 kWh/year * 0.238 kg CO2e/kWh = 5.950 kgCO2e/unit</w:t>
      </w:r>
    </w:p>
    <w:bookmarkEnd w:id="39"/>
    <w:bookmarkStart w:id="40" w:name="X9f66eef2700632e081dfe139021cb724ffcd2c5"/>
    <w:p>
      <w:pPr>
        <w:pStyle w:val="Heading4"/>
      </w:pPr>
      <w:r>
        <w:t xml:space="preserve">Category 12: End-of-Life Treatment of Sold Products</w:t>
      </w:r>
    </w:p>
    <w:p>
      <w:pPr>
        <w:pStyle w:val="FirstParagraph"/>
      </w:pPr>
      <w:r>
        <w:t xml:space="preserve">Emissions and avoided emissions (credits) from disposal and recycling/refurbishment.</w:t>
      </w:r>
    </w:p>
    <w:p>
      <w:pPr>
        <w:numPr>
          <w:ilvl w:val="0"/>
          <w:numId w:val="1013"/>
        </w:numPr>
        <w:pStyle w:val="Compact"/>
      </w:pPr>
      <w:r>
        <w:t xml:space="preserve">Product Total Mass (excl. packaging for EoL): 0.5 kg (Al) + 0.3 kg (ABS) + 0.1 kg (Electronics) = 0.9 kg</w:t>
      </w:r>
    </w:p>
    <w:p>
      <w:pPr>
        <w:numPr>
          <w:ilvl w:val="0"/>
          <w:numId w:val="1013"/>
        </w:numPr>
        <w:pStyle w:val="Compact"/>
      </w:pPr>
      <w:r>
        <w:rPr>
          <w:bCs/>
          <w:b/>
        </w:rPr>
        <w:t xml:space="preserve">Refurbishment (Circular Program):</w:t>
      </w:r>
      <w:r>
        <w:t xml:space="preserve"> </w:t>
      </w:r>
      <w:r>
        <w:t xml:space="preserve">20% of products avoid EoL entirely and new production.</w:t>
      </w:r>
    </w:p>
    <w:p>
      <w:pPr>
        <w:numPr>
          <w:ilvl w:val="1"/>
          <w:numId w:val="1014"/>
        </w:numPr>
        <w:pStyle w:val="Compact"/>
      </w:pPr>
      <w:r>
        <w:t xml:space="preserve">Avoided new production for 20% of one unit. This is complex; for simplicity here, we assume refurbishment avoids 20% of the *material acquisition* and *production energy* footprint for 0.2 units of the product.</w:t>
      </w:r>
    </w:p>
    <w:p>
      <w:pPr>
        <w:numPr>
          <w:ilvl w:val="1"/>
          <w:numId w:val="1014"/>
        </w:numPr>
        <w:pStyle w:val="Compact"/>
      </w:pPr>
      <w:r>
        <w:t xml:space="preserve">Avoided Material Emissions: 0.2 * 10.998 kgCO2e (from Category 1) = -2.1996 kgCO2e</w:t>
      </w:r>
    </w:p>
    <w:p>
      <w:pPr>
        <w:numPr>
          <w:ilvl w:val="1"/>
          <w:numId w:val="1014"/>
        </w:numPr>
        <w:pStyle w:val="Compact"/>
      </w:pPr>
      <w:r>
        <w:t xml:space="preserve">Avoided Production Energy Emissions: 0.2 * 3.723 kgCO2e (from Scope 2) = -0.7446 kgCO2e</w:t>
      </w:r>
    </w:p>
    <w:p>
      <w:pPr>
        <w:numPr>
          <w:ilvl w:val="1"/>
          <w:numId w:val="1014"/>
        </w:numPr>
        <w:pStyle w:val="Compact"/>
      </w:pPr>
      <w:r>
        <w:t xml:space="preserve">Total Refurbishment Credit = -2.9442 kgCO2e</w:t>
      </w:r>
    </w:p>
    <w:p>
      <w:pPr>
        <w:numPr>
          <w:ilvl w:val="0"/>
          <w:numId w:val="1013"/>
        </w:numPr>
        <w:pStyle w:val="Compact"/>
      </w:pPr>
      <w:r>
        <w:rPr>
          <w:bCs/>
          <w:b/>
        </w:rPr>
        <w:t xml:space="preserve">Remaining 80% of products (0.8 units) go to standard EoL:</w:t>
      </w:r>
    </w:p>
    <w:p>
      <w:pPr>
        <w:numPr>
          <w:ilvl w:val="1"/>
          <w:numId w:val="1015"/>
        </w:numPr>
        <w:pStyle w:val="Compact"/>
      </w:pPr>
      <w:r>
        <w:t xml:space="preserve">Recyclability Percentage: 60% of the 0.8 units (product mass) are recycled.</w:t>
      </w:r>
    </w:p>
    <w:p>
      <w:pPr>
        <w:numPr>
          <w:ilvl w:val="2"/>
          <w:numId w:val="1016"/>
        </w:numPr>
        <w:pStyle w:val="Compact"/>
      </w:pPr>
      <w:r>
        <w:t xml:space="preserve">Recycled Mass = 0.8 units * 0.9 kg/unit * 0.60 = 0.432 kg</w:t>
      </w:r>
    </w:p>
    <w:p>
      <w:pPr>
        <w:numPr>
          <w:ilvl w:val="2"/>
          <w:numId w:val="1016"/>
        </w:numPr>
        <w:pStyle w:val="Compact"/>
      </w:pPr>
      <w:r>
        <w:t xml:space="preserve">Assumed breakdown for recycled materials:</w:t>
      </w:r>
    </w:p>
    <w:p>
      <w:pPr>
        <w:numPr>
          <w:ilvl w:val="3"/>
          <w:numId w:val="1017"/>
        </w:numPr>
        <w:pStyle w:val="Compact"/>
      </w:pPr>
      <w:r>
        <w:t xml:space="preserve">Aluminum: 0.5 kg * (0.432 / 0.9) = 0.24 kg recycled. Credit for recycled Al (80% of virgin EF) = -0.24 kg * 14.77 kgCO2e/kg * 0.80 = -2.836 kgCO2e</w:t>
      </w:r>
    </w:p>
    <w:p>
      <w:pPr>
        <w:numPr>
          <w:ilvl w:val="3"/>
          <w:numId w:val="1017"/>
        </w:numPr>
        <w:pStyle w:val="Compact"/>
      </w:pPr>
      <w:r>
        <w:t xml:space="preserve">ABS Plastic: 0.3 kg * (0.432 / 0.9) = 0.144 kg recycled. Credit for recycled ABS (81% of virgin EF) = -0.144 kg * 3.125 kgCO2e/kg * 0.81 = -0.3645 kgCO2e</w:t>
      </w:r>
    </w:p>
    <w:p>
      <w:pPr>
        <w:numPr>
          <w:ilvl w:val="3"/>
          <w:numId w:val="1017"/>
        </w:numPr>
        <w:pStyle w:val="Compact"/>
      </w:pPr>
      <w:r>
        <w:t xml:space="preserve">Electronics: 0.1 kg * (0.432 / 0.9) = 0.048 kg recycled. (Assuming 60% of 0.1kg of electronics is recyclable and provides a credit. For simplicity, we assume a generic 50% credit for the electronics EF if recycled) = -0.048 kg * 24.865 kgCO2e/kg * 0.50 = -0.59676 kgCO2e</w:t>
      </w:r>
    </w:p>
    <w:p>
      <w:pPr>
        <w:numPr>
          <w:ilvl w:val="2"/>
          <w:numId w:val="1016"/>
        </w:numPr>
        <w:pStyle w:val="Compact"/>
      </w:pPr>
      <w:r>
        <w:t xml:space="preserve">Total Recycling Credit = -2.836 - 0.3645 - 0.59676 = -3.79726 kgCO2e</w:t>
      </w:r>
    </w:p>
    <w:p>
      <w:pPr>
        <w:numPr>
          <w:ilvl w:val="1"/>
          <w:numId w:val="1015"/>
        </w:numPr>
        <w:pStyle w:val="Compact"/>
      </w:pPr>
      <w:r>
        <w:t xml:space="preserve">Disposed to Landfill: 40% of the 0.8 units (product mass) are landfilled.</w:t>
      </w:r>
    </w:p>
    <w:p>
      <w:pPr>
        <w:numPr>
          <w:ilvl w:val="2"/>
          <w:numId w:val="1018"/>
        </w:numPr>
        <w:pStyle w:val="Compact"/>
      </w:pPr>
      <w:r>
        <w:t xml:space="preserve">Landfilled Mass = 0.8 units * 0.9 kg/unit * 0.40 = 0.288 kg</w:t>
      </w:r>
    </w:p>
    <w:p>
      <w:pPr>
        <w:numPr>
          <w:ilvl w:val="2"/>
          <w:numId w:val="1018"/>
        </w:numPr>
        <w:pStyle w:val="Compact"/>
      </w:pPr>
      <w:r>
        <w:t xml:space="preserve">Landfill Emissions = 0.288 kg * 0.1 kgCO2e/kg = 0.0288 kgCO2e</w:t>
      </w:r>
    </w:p>
    <w:p>
      <w:pPr>
        <w:numPr>
          <w:ilvl w:val="0"/>
          <w:numId w:val="1013"/>
        </w:numPr>
        <w:pStyle w:val="Compact"/>
      </w:pPr>
      <w:r>
        <w:rPr>
          <w:bCs/>
          <w:b/>
        </w:rPr>
        <w:t xml:space="preserve">Total Scope 3, Category 12 Emissions = Total Refurbishment Credit + Total Recycling Credit + Landfill Emissions = -2.9442 + (-3.79726) + 0.0288 = -6.71266 kgCO2e/unit</w:t>
      </w:r>
    </w:p>
    <w:p>
      <w:pPr>
        <w:pStyle w:val="FirstParagraph"/>
      </w:pPr>
      <w:r>
        <w:rPr>
          <w:iCs/>
          <w:i/>
        </w:rPr>
        <w:t xml:space="preserve">Note: The negative value in Category 12 indicates net avoided emissions due to circular economy initiatives (refurbishment and recycling credits).</w:t>
      </w:r>
    </w:p>
    <w:bookmarkEnd w:id="40"/>
    <w:bookmarkStart w:id="41" w:name="X0a47ed12edb61e94549ebe1cb746e656b997b42"/>
    <w:p>
      <w:pPr>
        <w:pStyle w:val="Heading4"/>
      </w:pPr>
      <w:r>
        <w:t xml:space="preserve">Summary of GHG Emissions by Scope (per functional unit)</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(kgCO2e)</w:t>
            </w:r>
          </w:p>
        </w:tc>
      </w:tr>
      <w:tr>
        <w:tc>
          <w:tcPr/>
          <w:p>
            <w:pPr>
              <w:pStyle w:val="Compact"/>
              <w:jc w:val="left"/>
            </w:pPr>
            <w:r>
              <w:t xml:space="preserve">Scope 1</w:t>
            </w:r>
          </w:p>
        </w:tc>
        <w:tc>
          <w:tcPr/>
          <w:p>
            <w:pPr>
              <w:pStyle w:val="Compact"/>
              <w:jc w:val="left"/>
            </w:pPr>
            <w:r>
              <w:t xml:space="preserve">N/A</w:t>
            </w:r>
          </w:p>
        </w:tc>
        <w:tc>
          <w:tcPr/>
          <w:p>
            <w:pPr>
              <w:pStyle w:val="Compact"/>
              <w:jc w:val="left"/>
            </w:pPr>
            <w:r>
              <w:t xml:space="preserve">Direct Emissions (assumed negligible for product-level PCF)</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N/A</w:t>
            </w:r>
          </w:p>
        </w:tc>
        <w:tc>
          <w:tcPr/>
          <w:p>
            <w:pPr>
              <w:pStyle w:val="Compact"/>
              <w:jc w:val="left"/>
            </w:pPr>
            <w:r>
              <w:t xml:space="preserve">Purchased Electricity for Production (China)</w:t>
            </w:r>
          </w:p>
        </w:tc>
        <w:tc>
          <w:tcPr/>
          <w:p>
            <w:pPr>
              <w:pStyle w:val="Compact"/>
              <w:jc w:val="left"/>
            </w:pPr>
            <w:r>
              <w:t xml:space="preserve">3.723</w:t>
            </w:r>
          </w:p>
        </w:tc>
      </w:tr>
      <w:tr>
        <w:tc>
          <w:tcPr/>
          <w:p>
            <w:pPr>
              <w:pStyle w:val="Compact"/>
              <w:jc w:val="left"/>
            </w:pPr>
            <w:r>
              <w:t xml:space="preserve">Scope 3</w:t>
            </w:r>
          </w:p>
        </w:tc>
        <w:tc>
          <w:tcPr/>
          <w:p>
            <w:pPr>
              <w:pStyle w:val="Compact"/>
              <w:jc w:val="left"/>
            </w:pPr>
            <w:r>
              <w:t xml:space="preserve">Category 1</w:t>
            </w:r>
          </w:p>
        </w:tc>
        <w:tc>
          <w:tcPr/>
          <w:p>
            <w:pPr>
              <w:pStyle w:val="Compact"/>
              <w:jc w:val="left"/>
            </w:pPr>
            <w:r>
              <w:t xml:space="preserve">Purchased Goods and Services (Materials)</w:t>
            </w:r>
          </w:p>
        </w:tc>
        <w:tc>
          <w:tcPr/>
          <w:p>
            <w:pPr>
              <w:pStyle w:val="Compact"/>
              <w:jc w:val="left"/>
            </w:pPr>
            <w:r>
              <w:t xml:space="preserve">10.998</w:t>
            </w:r>
          </w:p>
        </w:tc>
      </w:tr>
      <w:tr>
        <w:tc>
          <w:tcPr/>
          <w:p>
            <w:pPr>
              <w:pStyle w:val="Compact"/>
              <w:jc w:val="left"/>
            </w:pPr>
            <w:r>
              <w:t xml:space="preserve">Scope 3</w:t>
            </w:r>
          </w:p>
        </w:tc>
        <w:tc>
          <w:tcPr/>
          <w:p>
            <w:pPr>
              <w:pStyle w:val="Compact"/>
              <w:jc w:val="left"/>
            </w:pPr>
            <w:r>
              <w:t xml:space="preserve">Category 4 &amp; 9</w:t>
            </w:r>
          </w:p>
        </w:tc>
        <w:tc>
          <w:tcPr/>
          <w:p>
            <w:pPr>
              <w:pStyle w:val="Compact"/>
              <w:jc w:val="left"/>
            </w:pPr>
            <w:r>
              <w:t xml:space="preserve">Transportation and Distribution (Upstream &amp; Downstream)</w:t>
            </w:r>
          </w:p>
        </w:tc>
        <w:tc>
          <w:tcPr/>
          <w:p>
            <w:pPr>
              <w:pStyle w:val="Compact"/>
              <w:jc w:val="left"/>
            </w:pPr>
            <w:r>
              <w:t xml:space="preserve">0.248</w:t>
            </w:r>
          </w:p>
        </w:tc>
      </w:tr>
      <w:tr>
        <w:tc>
          <w:tcPr/>
          <w:p>
            <w:pPr>
              <w:pStyle w:val="Compact"/>
              <w:jc w:val="left"/>
            </w:pPr>
            <w:r>
              <w:t xml:space="preserve">Scope 3</w:t>
            </w:r>
          </w:p>
        </w:tc>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5.950</w:t>
            </w:r>
          </w:p>
        </w:tc>
      </w:tr>
      <w:tr>
        <w:tc>
          <w:tcPr/>
          <w:p>
            <w:pPr>
              <w:pStyle w:val="Compact"/>
              <w:jc w:val="left"/>
            </w:pPr>
            <w:r>
              <w:t xml:space="preserve">Scope 3</w:t>
            </w:r>
          </w:p>
        </w:tc>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-6.713</w:t>
            </w:r>
          </w:p>
        </w:tc>
      </w:tr>
      <w:tr>
        <w:tc>
          <w:tcPr>
            <w:gridSpan w:val="3"/>
          </w:tcPr>
          <w:p>
            <w:pPr>
              <w:pStyle w:val="Compact"/>
              <w:jc w:val="left"/>
            </w:pPr>
            <w:r>
              <w:t xml:space="preserve">Total Product Carbon Footprint (PCF)</w:t>
            </w:r>
          </w:p>
        </w:tc>
        <w:tc>
          <w:tcPr/>
          <w:p>
            <w:pPr>
              <w:pStyle w:val="Compact"/>
              <w:jc w:val="left"/>
            </w:pPr>
            <w:r>
              <w:t xml:space="preserve">14.206</w:t>
            </w:r>
          </w:p>
        </w:tc>
      </w:tr>
    </w:tbl>
    <w:p>
      <w:r>
        <w:pict>
          <v:rect style="width:0;height:1.5pt" o:hralign="center" o:hrstd="t" o:hr="t"/>
        </w:pict>
      </w:r>
    </w:p>
    <w:bookmarkEnd w:id="41"/>
    <w:bookmarkEnd w:id="42"/>
    <w:bookmarkEnd w:id="43"/>
    <w:bookmarkStart w:id="47" w:name="review-report-step-5"/>
    <w:p>
      <w:pPr>
        <w:pStyle w:val="Heading2"/>
      </w:pPr>
      <w:r>
        <w:t xml:space="preserve">6. Review &amp; Report (Step 5)</w:t>
      </w:r>
    </w:p>
    <w:bookmarkStart w:id="44" w:name="hotspot-identification"/>
    <w:p>
      <w:pPr>
        <w:pStyle w:val="Heading3"/>
      </w:pPr>
      <w:r>
        <w:t xml:space="preserve">6.1. Hotspot Identification</w:t>
      </w:r>
    </w:p>
    <w:p>
      <w:pPr>
        <w:pStyle w:val="FirstParagraph"/>
      </w:pPr>
      <w:r>
        <w:t xml:space="preserve">Based on the calculations, the primary emission hotspots for \'zopeyprlus\' are:</w:t>
      </w:r>
    </w:p>
    <w:p>
      <w:pPr>
        <w:numPr>
          <w:ilvl w:val="0"/>
          <w:numId w:val="1019"/>
        </w:numPr>
        <w:pStyle w:val="Compact"/>
      </w:pPr>
      <w:r>
        <w:rPr>
          <w:bCs/>
          <w:b/>
        </w:rPr>
        <w:t xml:space="preserve">Purchased Goods and Services (Scope 3, Category 1):</w:t>
      </w:r>
      <w:r>
        <w:t xml:space="preserve"> </w:t>
      </w:r>
      <w:r>
        <w:t xml:space="preserve">This category represents the largest contributor to the product\'s footprint (10.998 kgCO2e), primarily driven by the high emission factors of primary aluminum and electronic components. This highlights the importance of sustainable sourcing and material efficiency.</w:t>
      </w:r>
    </w:p>
    <w:p>
      <w:pPr>
        <w:numPr>
          <w:ilvl w:val="0"/>
          <w:numId w:val="1019"/>
        </w:numPr>
        <w:pStyle w:val="Compact"/>
      </w:pPr>
      <w:r>
        <w:rPr>
          <w:bCs/>
          <w:b/>
        </w:rPr>
        <w:t xml:space="preserve">Use of Sold Products (Scope 3, Category 11):</w:t>
      </w:r>
      <w:r>
        <w:t xml:space="preserve"> </w:t>
      </w:r>
      <w:r>
        <w:t xml:space="preserve">The energy consumed during the product\'s 5-year lifespan significantly contributes to the footprint (5.950 kgCO2e), underscoring the need for energy-efficient product design and encouraging renewable energy use by end-users.</w:t>
      </w:r>
    </w:p>
    <w:p>
      <w:pPr>
        <w:numPr>
          <w:ilvl w:val="0"/>
          <w:numId w:val="1019"/>
        </w:numPr>
        <w:pStyle w:val="Compact"/>
      </w:pPr>
      <w:r>
        <w:rPr>
          <w:bCs/>
          <w:b/>
        </w:rPr>
        <w:t xml:space="preserve">Purchased Electricity for Production (Scope 2):</w:t>
      </w:r>
      <w:r>
        <w:t xml:space="preserve"> </w:t>
      </w:r>
      <w:r>
        <w:t xml:space="preserve">Although smaller than Scope 3 categories, the emissions from grid electricity in China (3.723 kgCO2e) indicate opportunities for increasing renewable energy procurement at the manufacturing facility.</w:t>
      </w:r>
    </w:p>
    <w:p>
      <w:pPr>
        <w:pStyle w:val="FirstParagraph"/>
      </w:pPr>
      <w:r>
        <w:t xml:space="preserve">The circular economy initiatives (refurbishment and recycling) show a significant net negative contribution (-6.713 kgCO2e), effectively reducing the overall PCF. This demonstrates the positive impact of robust end-of-life strategies.</w:t>
      </w:r>
    </w:p>
    <w:bookmarkEnd w:id="44"/>
    <w:bookmarkStart w:id="45" w:name="reliability-and-limitations"/>
    <w:p>
      <w:pPr>
        <w:pStyle w:val="Heading3"/>
      </w:pPr>
      <w:r>
        <w:t xml:space="preserve">6.2. Reliability and Limitations</w:t>
      </w:r>
    </w:p>
    <w:p>
      <w:pPr>
        <w:pStyle w:val="FirstParagraph"/>
      </w:pPr>
      <w:r>
        <w:t xml:space="preserve">The reliability of this PCF analysis is high due to the adherence to the GHG Protocol and the use of industry-standard emission factors from credible sources (Ecoinvent, DEFRA, national government reports).</w:t>
      </w:r>
    </w:p>
    <w:p>
      <w:pPr>
        <w:pStyle w:val="BodyText"/>
      </w:pPr>
      <w:r>
        <w:t xml:space="preserve">However, certain limitations and assumptions should be noted:</w:t>
      </w:r>
    </w:p>
    <w:p>
      <w:pPr>
        <w:numPr>
          <w:ilvl w:val="0"/>
          <w:numId w:val="1020"/>
        </w:numPr>
        <w:pStyle w:val="Compact"/>
      </w:pPr>
      <w:r>
        <w:rPr>
          <w:bCs/>
          <w:b/>
        </w:rPr>
        <w:t xml:space="preserve">Placeholder Data:</w:t>
      </w:r>
      <w:r>
        <w:t xml:space="preserve"> </w:t>
      </w:r>
      <w:r>
        <w:t xml:space="preserve">Several parameters (Transport Mode, Distance, Delivery Channel, Renewable Usage, Energy Intensity, Lifespan, Energy in Use, Recyclability, Circular Programs) were provided as generic placeholders. Example values and corresponding emission factors were assumed for calculation purposes. Actual data would provide higher accuracy.</w:t>
      </w:r>
    </w:p>
    <w:p>
      <w:pPr>
        <w:numPr>
          <w:ilvl w:val="0"/>
          <w:numId w:val="1020"/>
        </w:numPr>
        <w:pStyle w:val="Compact"/>
      </w:pPr>
      <w:r>
        <w:rPr>
          <w:bCs/>
          <w:b/>
        </w:rPr>
        <w:t xml:space="preserve">Generic Emission Factors:</w:t>
      </w:r>
      <w:r>
        <w:t xml:space="preserve"> </w:t>
      </w:r>
      <w:r>
        <w:t xml:space="preserve">While industry-standard, generic emission factors may not perfectly reflect the specific processes, suppliers, and geographical nuances of every component and activity in ghxynznvmm\'s unique supply chain. Primary data from specific suppliers would enhance accuracy.</w:t>
      </w:r>
    </w:p>
    <w:p>
      <w:pPr>
        <w:numPr>
          <w:ilvl w:val="0"/>
          <w:numId w:val="1020"/>
        </w:numPr>
        <w:pStyle w:val="Compact"/>
      </w:pPr>
      <w:r>
        <w:rPr>
          <w:bCs/>
          <w:b/>
        </w:rPr>
        <w:t xml:space="preserve">Scope 1 for PCF:</w:t>
      </w:r>
      <w:r>
        <w:t xml:space="preserve"> </w:t>
      </w:r>
      <w:r>
        <w:t xml:space="preserve">Direct Scope 1 emissions at the final production gate are assumed negligible for the product itself, as is common in product-level cradle-to-gate analyses when not explicitly provided. For a corporate inventory, these would be directly accounted for.</w:t>
      </w:r>
    </w:p>
    <w:p>
      <w:pPr>
        <w:numPr>
          <w:ilvl w:val="0"/>
          <w:numId w:val="1020"/>
        </w:numPr>
        <w:pStyle w:val="Compact"/>
      </w:pPr>
      <w:r>
        <w:rPr>
          <w:bCs/>
          <w:b/>
        </w:rPr>
        <w:t xml:space="preserve">LSR Standard:</w:t>
      </w:r>
      <w:r>
        <w:t xml:space="preserve"> </w:t>
      </w:r>
      <w:r>
        <w:t xml:space="preserve">While acknowledged, detailed land-use change impacts are not quantified without specific raw material origin data that would allow for precise application of the LSR Standard.</w:t>
      </w:r>
    </w:p>
    <w:bookmarkEnd w:id="45"/>
    <w:bookmarkStart w:id="46" w:name="recommendations-for-further-action"/>
    <w:p>
      <w:pPr>
        <w:pStyle w:val="Heading3"/>
      </w:pPr>
      <w:r>
        <w:t xml:space="preserve">6.3. Recommendations for Further Action</w:t>
      </w:r>
    </w:p>
    <w:p>
      <w:pPr>
        <w:pStyle w:val="FirstParagraph"/>
      </w:pPr>
      <w:r>
        <w:t xml:space="preserve">To further reduce the carbon footprint of \'zopeyprlus\' and enhance the accuracy of future PCF analyses, ghxynznvmm should consider:</w:t>
      </w:r>
    </w:p>
    <w:p>
      <w:pPr>
        <w:numPr>
          <w:ilvl w:val="0"/>
          <w:numId w:val="1021"/>
        </w:numPr>
        <w:pStyle w:val="Compact"/>
      </w:pPr>
      <w:r>
        <w:rPr>
          <w:bCs/>
          <w:b/>
        </w:rPr>
        <w:t xml:space="preserve">Supplier Engagement:</w:t>
      </w:r>
      <w:r>
        <w:t xml:space="preserve"> </w:t>
      </w:r>
      <w:r>
        <w:t xml:space="preserve">Collaborate with material suppliers to obtain primary data for emission factors, especially for high-impact materials like aluminum and electronics. Explore sourcing lower-carbon alternative materials or materials with higher recycled content.</w:t>
      </w:r>
    </w:p>
    <w:p>
      <w:pPr>
        <w:numPr>
          <w:ilvl w:val="0"/>
          <w:numId w:val="1021"/>
        </w:numPr>
        <w:pStyle w:val="Compact"/>
      </w:pPr>
      <w:r>
        <w:rPr>
          <w:bCs/>
          <w:b/>
        </w:rPr>
        <w:t xml:space="preserve">Energy Efficiency &amp; Renewables:</w:t>
      </w:r>
      <w:r>
        <w:t xml:space="preserve"> </w:t>
      </w:r>
      <w:r>
        <w:t xml:space="preserve">Invest in further increasing renewable energy usage at the manufacturing facility in China and encourage renewable energy adoption in the supply chain. Optimize manufacturing processes to reduce overall energy intensity.</w:t>
      </w:r>
    </w:p>
    <w:p>
      <w:pPr>
        <w:numPr>
          <w:ilvl w:val="0"/>
          <w:numId w:val="1021"/>
        </w:numPr>
        <w:pStyle w:val="Compact"/>
      </w:pPr>
      <w:r>
        <w:rPr>
          <w:bCs/>
          <w:b/>
        </w:rPr>
        <w:t xml:space="preserve">Product Design for Sustainability:</w:t>
      </w:r>
      <w:r>
        <w:t xml:space="preserve"> </w:t>
      </w:r>
      <w:r>
        <w:t xml:space="preserve">Focus on designing for greater energy efficiency during the use phase and enhancing product durability to extend lifespan. Facilitate easier disassembly and higher quality material recovery at end-of-life.</w:t>
      </w:r>
    </w:p>
    <w:p>
      <w:pPr>
        <w:numPr>
          <w:ilvl w:val="0"/>
          <w:numId w:val="1021"/>
        </w:numPr>
        <w:pStyle w:val="Compact"/>
      </w:pPr>
      <w:r>
        <w:rPr>
          <w:bCs/>
          <w:b/>
        </w:rPr>
        <w:t xml:space="preserve">Logistics Optimization:</w:t>
      </w:r>
      <w:r>
        <w:t xml:space="preserve"> </w:t>
      </w:r>
      <w:r>
        <w:t xml:space="preserve">Optimize transport routes, modes, and load factors to reduce emissions from both upstream and downstream logistics.</w:t>
      </w:r>
    </w:p>
    <w:p>
      <w:pPr>
        <w:numPr>
          <w:ilvl w:val="0"/>
          <w:numId w:val="1021"/>
        </w:numPr>
        <w:pStyle w:val="Compact"/>
      </w:pPr>
      <w:r>
        <w:rPr>
          <w:bCs/>
          <w:b/>
        </w:rPr>
        <w:t xml:space="preserve">Data Refinement:</w:t>
      </w:r>
      <w:r>
        <w:t xml:space="preserve"> </w:t>
      </w:r>
      <w:r>
        <w:t xml:space="preserve">Collect more granular and specific data for all placeholder parameters to improve the accuracy and robustness of future PCF calculations.</w:t>
      </w:r>
    </w:p>
    <w:p>
      <w:r>
        <w:pict>
          <v:rect style="width:0;height:1.5pt" o:hralign="center" o:hrstd="t" o:hr="t"/>
        </w:pict>
      </w:r>
    </w:p>
    <w:p>
      <w:pPr>
        <w:pStyle w:val="FirstParagraph"/>
      </w:pPr>
      <w:r>
        <w:t xml:space="preserve">Confidential - Internal Use Only | Page 1 of X (Page numbering to be adjusted upon final rendering)</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zopeyprlus</dc:title>
  <dc:creator/>
  <dc:description>Detailed Product Carbon Footprint (PCF) analysis for zopeyprlus, conducted by gykwusqoro for ghxynznvmm, adhering to GHG Protocol standards including 2026 LSR update and Scope 3 compliance.</dc:description>
  <dc:language>en</dc:language>
  <cp:keywords/>
  <dcterms:created xsi:type="dcterms:W3CDTF">2026-05-30T22:09:36Z</dcterms:created>
  <dcterms:modified xsi:type="dcterms:W3CDTF">2026-05-30T22:09:36Z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