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znzmzorpht</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znzmzorpht</w:t>
      </w:r>
    </w:p>
    <w:p>
      <w:pPr>
        <w:pStyle w:val="BodyText"/>
      </w:pPr>
      <w:r>
        <w:rPr>
          <w:bCs/>
          <w:b/>
        </w:rPr>
        <w:t xml:space="preserve">Company Name:</w:t>
      </w:r>
      <w:r>
        <w:t xml:space="preserve"> </w:t>
      </w:r>
      <w:r>
        <w:t xml:space="preserve">kwevjyzjip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feidhpisyo</w:t>
      </w:r>
    </w:p>
    <w:p>
      <w:pPr>
        <w:pStyle w:val="BodyText"/>
      </w:pPr>
      <w:r>
        <w:t xml:space="preserve">Disclaimer: This report is generated based on available data and industry standards. The calculations presented herein are illustrative due to the use of placeholder data for specific parameters (e.g., Bill of Materials, transport distances, energy consumption) and should be updated with primary, audited data for definitive results.</w:t>
      </w:r>
    </w:p>
    <w:bookmarkEnd w:id="20"/>
    <w:bookmarkStart w:id="21" w:name="product-carbon-footprint-analysis"/>
    <w:p>
      <w:pPr>
        <w:pStyle w:val="Heading1"/>
      </w:pPr>
      <w:r>
        <w:t xml:space="preserve">Product Carbon Footprint Analysis</w:t>
      </w:r>
    </w:p>
    <w:p>
      <w:pPr>
        <w:pStyle w:val="FirstParagraph"/>
      </w:pPr>
      <w:r>
        <w:t xml:space="preserve">Generated Date: 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details the Product Carbon Footprint (PCF) analysis for \'znzmzorpht\' manufactured by kwevjyzjip, conducted by Senior Sustainability Consultant feidhpisyo. The analysis adheres strictly to the GHG Protocol and incorporates the latest 2026 Land Sector and Removals (LSR) Standard where applicable. The primary objective is to quantify the greenhouse gas (GHG) emissions associated with the product across its lifecycle, from material acquisition to end-of-life, expressed in CO2 equivalent (CO2e) per functional unit. Due to the placeholder nature of some input parameters, this report provides a robust methodological framework and illustrative calculations, identifying potential hotspots and areas for emission reduction.</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for znzmzorpht is assessed following the five-step methodology outlined by the GHG Protocol Product Standard, ensuring a comprehensive and transparent accounting of emissions.</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znzmzorpht. This unit serves as the reference basis for all emission calculations, allowing for consistent comparison and aggregation of impacts across the product lifecycle.</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This "cradle-to-gate" boundary focuses on emissions from raw material extraction, manufacturing processes, and all transportation up to the point the finished product leaves the factory gate. However, to provide a holistic view, this report also extends calculations to cover the use phase and end-of-life scenarios based on provided parameters, effectively adopting a "cradle-to-grave" perspective for comprehensive analysis.</w:t>
      </w:r>
    </w:p>
    <w:p>
      <w:pPr>
        <w:numPr>
          <w:ilvl w:val="0"/>
          <w:numId w:val="1002"/>
        </w:numPr>
        <w:pStyle w:val="Compact"/>
      </w:pPr>
      <w:r>
        <w:rPr>
          <w:bCs/>
          <w:b/>
        </w:rPr>
        <w:t xml:space="preserve">Included Lifecycle Stages (Cradle-to-Grave for illustrative purposes):</w:t>
      </w:r>
    </w:p>
    <w:p>
      <w:pPr>
        <w:numPr>
          <w:ilvl w:val="1"/>
          <w:numId w:val="1003"/>
        </w:numPr>
        <w:pStyle w:val="Compact"/>
      </w:pPr>
      <w:r>
        <w:t xml:space="preserve">Raw Material Acquisition &amp; Pre-processing (Upstream Scope 3)</w:t>
      </w:r>
    </w:p>
    <w:p>
      <w:pPr>
        <w:numPr>
          <w:ilvl w:val="1"/>
          <w:numId w:val="1003"/>
        </w:numPr>
        <w:pStyle w:val="Compact"/>
      </w:pPr>
      <w:r>
        <w:t xml:space="preserve">Manufacturing &amp; Production (Scope 1, 2, Upstream Scope 3)</w:t>
      </w:r>
    </w:p>
    <w:p>
      <w:pPr>
        <w:numPr>
          <w:ilvl w:val="1"/>
          <w:numId w:val="1003"/>
        </w:numPr>
        <w:pStyle w:val="Compact"/>
      </w:pPr>
      <w:r>
        <w:t xml:space="preserve">Transportation (Upstream &amp; Downstream Scope 3)</w:t>
      </w:r>
    </w:p>
    <w:p>
      <w:pPr>
        <w:numPr>
          <w:ilvl w:val="1"/>
          <w:numId w:val="1003"/>
        </w:numPr>
        <w:pStyle w:val="Compact"/>
      </w:pPr>
      <w:r>
        <w:t xml:space="preserve">Use Phase (Downstream Scope 3)</w:t>
      </w:r>
    </w:p>
    <w:p>
      <w:pPr>
        <w:numPr>
          <w:ilvl w:val="1"/>
          <w:numId w:val="1003"/>
        </w:numPr>
        <w:pStyle w:val="Compact"/>
      </w:pPr>
      <w:r>
        <w:t xml:space="preserve">End-of-Life Treatment (Downstream Scope 3)</w:t>
      </w:r>
    </w:p>
    <w:bookmarkEnd w:id="24"/>
    <w:bookmarkStart w:id="25" w:name="geographic-scope"/>
    <w:p>
      <w:pPr>
        <w:pStyle w:val="Heading3"/>
      </w:pPr>
      <w:r>
        <w:t xml:space="preserve">1.3.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w:t>
      </w:r>
    </w:p>
    <w:p>
      <w:pPr>
        <w:numPr>
          <w:ilvl w:val="0"/>
          <w:numId w:val="1004"/>
        </w:numPr>
        <w:pStyle w:val="Compact"/>
      </w:pPr>
      <w:r>
        <w:t xml:space="preserve">This geographic scope dictates the selection of relevant emission factors for energy grids, transportation, and material sourcing, prioritizing data relevant to European supply chains culminating in Chinese manufacturing.</w:t>
      </w:r>
    </w:p>
    <w:bookmarkEnd w:id="25"/>
    <w:bookmarkStart w:id="26" w:name="accounting-standard"/>
    <w:p>
      <w:pPr>
        <w:pStyle w:val="Heading3"/>
      </w:pPr>
      <w:r>
        <w:t xml:space="preserve">1.4. Accounting Standard</w:t>
      </w:r>
    </w:p>
    <w:p>
      <w:pPr>
        <w:numPr>
          <w:ilvl w:val="0"/>
          <w:numId w:val="1005"/>
        </w:numPr>
        <w:pStyle w:val="Compact"/>
      </w:pPr>
      <w:r>
        <w:rPr>
          <w:bCs/>
          <w:b/>
        </w:rPr>
        <w:t xml:space="preserve">Accounting Standard:</w:t>
      </w:r>
      <w:r>
        <w:t xml:space="preserve"> </w:t>
      </w:r>
      <w:r>
        <w:t xml:space="preserve">GHG Protocol (Product Life Cycle Accounting and Reporting Standard). This standard provides the foundational principles and requirements for quantifying the GHG emissions and removals associated with products.</w:t>
      </w:r>
    </w:p>
    <w:p>
      <w:pPr>
        <w:numPr>
          <w:ilvl w:val="0"/>
          <w:numId w:val="1005"/>
        </w:numPr>
        <w:pStyle w:val="Compact"/>
      </w:pPr>
      <w:r>
        <w:rPr>
          <w:bCs/>
          <w:b/>
        </w:rPr>
        <w:t xml:space="preserve">GHG Protocol Categorization:</w:t>
      </w:r>
      <w:r>
        <w:t xml:space="preserve"> </w:t>
      </w:r>
      <w:r>
        <w:t xml:space="preserve">Emissions are categorized into Scope 1 (direct emissions from owned or controlled sources), Scope 2 (indirect emissions from the generation of purchased energy), and Scope 3 (all other indirect emissions that occur in the value chain).</w:t>
      </w:r>
    </w:p>
    <w:p>
      <w:pPr>
        <w:numPr>
          <w:ilvl w:val="0"/>
          <w:numId w:val="1005"/>
        </w:numPr>
        <w:pStyle w:val="Compact"/>
      </w:pPr>
      <w:r>
        <w:rPr>
          <w:bCs/>
          <w:b/>
        </w:rPr>
        <w:t xml:space="preserve">2026 LSR Update:</w:t>
      </w:r>
      <w:r>
        <w:t xml:space="preserve"> </w:t>
      </w:r>
      <w:r>
        <w:t xml:space="preserve">The Land Sector and Removals (LSR) Standard for land use and carbon removals is considered. For this product, without specific land-use change data for material acquisition, the focus remains on operational emissions and removals from end-of-life processes, acknowledging the potential for future integration of detailed LSR data.</w:t>
      </w:r>
    </w:p>
    <w:p>
      <w:pPr>
        <w:numPr>
          <w:ilvl w:val="0"/>
          <w:numId w:val="1005"/>
        </w:numPr>
        <w:pStyle w:val="Compact"/>
      </w:pPr>
      <w:r>
        <w:rPr>
          <w:bCs/>
          <w:b/>
        </w:rPr>
        <w:t xml:space="preserve">Scope 3 Compliance:</w:t>
      </w:r>
      <w:r>
        <w:t xml:space="preserve"> </w:t>
      </w:r>
      <w:r>
        <w:t xml:space="preserve">A rigorous effort is made to ensure at least 95% coverage for Scope 3 reporting, aligning with the 2026 requirements, by including comprehensive upstream and downstream value chain emissions.</w:t>
      </w:r>
    </w:p>
    <w:p>
      <w:r>
        <w:pict>
          <v:rect style="width:0;height:1.5pt" o:hralign="center" o:hrstd="t" o:hr="t"/>
        </w:pict>
      </w:r>
    </w:p>
    <w:bookmarkEnd w:id="26"/>
    <w:bookmarkEnd w:id="27"/>
    <w:bookmarkStart w:id="33" w:name="X939a47aef72a4a28c08ea406bdad185696e1f66"/>
    <w:p>
      <w:pPr>
        <w:pStyle w:val="Heading2"/>
      </w:pPr>
      <w:r>
        <w:t xml:space="preserve">2. &amp; 3. Lifecycle Inventory (LCI) and Data Collection</w:t>
      </w:r>
    </w:p>
    <w:p>
      <w:pPr>
        <w:pStyle w:val="FirstParagraph"/>
      </w:pPr>
      <w:r>
        <w:t xml:space="preserve">This section details the inventory of materials, energy, and transportation required for the production, use, and end-of-life of znzmzorpht. Due to the placeholder nature of the provided parameters (e.g., "zmohltes," "pvjfqvjypn," etc.), illustrative data based on typical product components and supply chain configurations is used to demonstrate the methodology. For a precise calculation, primary data for these parameters would be essential.</w:t>
      </w:r>
    </w:p>
    <w:bookmarkStart w:id="28" w:name="X1428ec1d1885feb992205144a5c6ed055eb01cb"/>
    <w:p>
      <w:pPr>
        <w:pStyle w:val="Heading3"/>
      </w:pPr>
      <w:r>
        <w:t xml:space="preserve">2.1. Material Inputs (Detailed Bill of Materials - BOM)</w:t>
      </w:r>
    </w:p>
    <w:p>
      <w:pPr>
        <w:pStyle w:val="FirstParagraph"/>
      </w:pPr>
      <w:r>
        <w:t xml:space="preserve">The provided BOM placeholder \'zmohltes\' would typically contain a list of all raw materials and components. For illustrative purposes, we assume a representative BOM for a generic electronic or consumer product. Emission factors are sourced from industry-standard databases like Ecoinvent or DEFRA, representing a "cradle-to-gate" impact.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Illustrative Emission Factor (kg CO2e/unit)</w:t>
            </w:r>
          </w:p>
        </w:tc>
        <w:tc>
          <w:tcPr/>
          <w:p>
            <w:pPr>
              <w:pStyle w:val="Compact"/>
              <w:jc w:val="left"/>
            </w:pPr>
            <w:r>
              <w:t xml:space="preserve">Illustrative Total Carbon (kg CO2e)</w:t>
            </w:r>
          </w:p>
        </w:tc>
      </w:tr>
      <w:tr>
        <w:tc>
          <w:tcPr/>
          <w:p>
            <w:pPr>
              <w:pStyle w:val="Compact"/>
              <w:jc w:val="left"/>
            </w:pPr>
            <w:r>
              <w:t xml:space="preserve">M001</w:t>
            </w:r>
          </w:p>
        </w:tc>
        <w:tc>
          <w:tcPr/>
          <w:p>
            <w:pPr>
              <w:pStyle w:val="Compact"/>
              <w:jc w:val="left"/>
            </w:pPr>
            <w:r>
              <w:t xml:space="preserve">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7.00</w:t>
            </w:r>
          </w:p>
        </w:tc>
        <w:tc>
          <w:tcPr/>
          <w:p>
            <w:pPr>
              <w:pStyle w:val="Compact"/>
              <w:jc w:val="left"/>
            </w:pPr>
            <w:r>
              <w:t xml:space="preserve">1.40</w:t>
            </w:r>
          </w:p>
        </w:tc>
      </w:tr>
      <w:tr>
        <w:tc>
          <w:tcPr/>
          <w:p>
            <w:pPr>
              <w:pStyle w:val="Compact"/>
              <w:jc w:val="left"/>
            </w:pPr>
            <w:r>
              <w:t xml:space="preserve">M003</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3.00</w:t>
            </w:r>
          </w:p>
        </w:tc>
        <w:tc>
          <w:tcPr/>
          <w:p>
            <w:pPr>
              <w:pStyle w:val="Compact"/>
              <w:jc w:val="left"/>
            </w:pPr>
            <w:r>
              <w:t xml:space="preserve">3.00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w:t>
            </w:r>
          </w:p>
        </w:tc>
      </w:tr>
      <w:tr>
        <w:tc>
          <w:tcPr>
            <w:gridSpan w:val="7"/>
          </w:tcPr>
          <w:p>
            <w:pPr>
              <w:pStyle w:val="Compact"/>
              <w:jc w:val="right"/>
            </w:pPr>
            <w:r>
              <w:rPr>
                <w:bCs/>
                <w:b/>
              </w:rPr>
              <w:t xml:space="preserve">Total Illustrative Material Impact:</w:t>
            </w:r>
          </w:p>
        </w:tc>
        <w:tc>
          <w:tcPr/>
          <w:p>
            <w:pPr>
              <w:pStyle w:val="Compact"/>
              <w:jc w:val="left"/>
            </w:pPr>
            <w:r>
              <w:rPr>
                <w:bCs/>
                <w:b/>
              </w:rPr>
              <w:t xml:space="preserve">7.30</w:t>
            </w:r>
          </w:p>
        </w:tc>
      </w:tr>
    </w:tbl>
    <w:p>
      <w:pPr>
        <w:pStyle w:val="BodyText"/>
      </w:pPr>
      <w:r>
        <w:rPr>
          <w:iCs/>
          <w:i/>
        </w:rPr>
        <w:t xml:space="preserve">Note: The "Illustrative Emission Factor" and "Illustrative Total Carbon" are examples. Actual calculations require precise BOM data and specific emission factors for each material and process.</w:t>
      </w:r>
    </w:p>
    <w:bookmarkEnd w:id="28"/>
    <w:bookmarkStart w:id="29" w:name="energy-inputs-production-phase"/>
    <w:p>
      <w:pPr>
        <w:pStyle w:val="Heading3"/>
      </w:pPr>
      <w:r>
        <w:t xml:space="preserve">2.2. Energy Inputs (Production Phase)</w:t>
      </w:r>
    </w:p>
    <w:p>
      <w:pPr>
        <w:pStyle w:val="FirstParagraph"/>
      </w:pPr>
      <w:r>
        <w:t xml:space="preserve">The energy consumption during the manufacturing of znzmzorpht in China is a significant contributor to the PCF. The provided placeholder `gimtrgiexo` for Renewable Energy Usage and `rmdnvfksjv` for Energy Intensity are critical inputs.</w:t>
      </w:r>
    </w:p>
    <w:p>
      <w:pPr>
        <w:numPr>
          <w:ilvl w:val="0"/>
          <w:numId w:val="1006"/>
        </w:numPr>
        <w:pStyle w:val="Compact"/>
      </w:pPr>
      <w:r>
        <w:rPr>
          <w:bCs/>
          <w:b/>
        </w:rPr>
        <w:t xml:space="preserve">Illustrative Renewable Energy Usage (`gimtrgiexo`):</w:t>
      </w:r>
      <w:r>
        <w:t xml:space="preserve"> </w:t>
      </w:r>
      <w:r>
        <w:t xml:space="preserve">Assuming 30% renewable energy usage (e.g., from direct solar, wind PPAs, or purchased green electricity certificates).</w:t>
      </w:r>
    </w:p>
    <w:p>
      <w:pPr>
        <w:numPr>
          <w:ilvl w:val="0"/>
          <w:numId w:val="1006"/>
        </w:numPr>
        <w:pStyle w:val="Compact"/>
      </w:pPr>
      <w:r>
        <w:rPr>
          <w:bCs/>
          <w:b/>
        </w:rPr>
        <w:t xml:space="preserve">Illustrative Energy Intensity (`rmdnvfksjv`):</w:t>
      </w:r>
      <w:r>
        <w:t xml:space="preserve"> </w:t>
      </w:r>
      <w:r>
        <w:t xml:space="preserve">Assuming 5 kWh/unit.</w:t>
      </w:r>
    </w:p>
    <w:p>
      <w:pPr>
        <w:numPr>
          <w:ilvl w:val="0"/>
          <w:numId w:val="1006"/>
        </w:numPr>
        <w:pStyle w:val="Compact"/>
      </w:pPr>
      <w:r>
        <w:rPr>
          <w:bCs/>
          <w:b/>
        </w:rPr>
        <w:t xml:space="preserve">Grid Emission Factor (China, illustrative):</w:t>
      </w:r>
      <w:r>
        <w:t xml:space="preserve"> </w:t>
      </w:r>
      <w:r>
        <w:t xml:space="preserve">~0.7 kg CO2e/kWh (average for China\'s grid mix).</w:t>
      </w:r>
    </w:p>
    <w:p>
      <w:pPr>
        <w:numPr>
          <w:ilvl w:val="0"/>
          <w:numId w:val="1006"/>
        </w:numPr>
        <w:pStyle w:val="Compact"/>
      </w:pPr>
      <w:r>
        <w:rPr>
          <w:bCs/>
          <w:b/>
        </w:rPr>
        <w:t xml:space="preserve">Adjusted Emission Factor for Production:</w:t>
      </w:r>
    </w:p>
    <w:p>
      <w:pPr>
        <w:numPr>
          <w:ilvl w:val="1"/>
          <w:numId w:val="1007"/>
        </w:numPr>
        <w:pStyle w:val="Compact"/>
      </w:pPr>
      <w:r>
        <w:t xml:space="preserve">Non-renewable portion: 70% * 0.7 kg CO2e/kWh = 0.49 kg CO2e/kWh</w:t>
      </w:r>
    </w:p>
    <w:p>
      <w:pPr>
        <w:numPr>
          <w:ilvl w:val="1"/>
          <w:numId w:val="1007"/>
        </w:numPr>
        <w:pStyle w:val="Compact"/>
      </w:pPr>
      <w:r>
        <w:t xml:space="preserve">Renewable portion: 30% * 0 kg CO2e/kWh (assuming zero emissions for renewable source) = 0 kg CO2e/kWh</w:t>
      </w:r>
    </w:p>
    <w:p>
      <w:pPr>
        <w:numPr>
          <w:ilvl w:val="1"/>
          <w:numId w:val="1007"/>
        </w:numPr>
        <w:pStyle w:val="Compact"/>
      </w:pPr>
      <w:r>
        <w:t xml:space="preserve">Effective Production Emission Factor: 0.49 kg CO2e/kWh</w:t>
      </w:r>
    </w:p>
    <w:bookmarkEnd w:id="29"/>
    <w:bookmarkStart w:id="30" w:name="logistics-data-transportation"/>
    <w:p>
      <w:pPr>
        <w:pStyle w:val="Heading3"/>
      </w:pPr>
      <w:r>
        <w:t xml:space="preserve">2.3. Logistics Data (Transportation)</w:t>
      </w:r>
    </w:p>
    <w:p>
      <w:pPr>
        <w:pStyle w:val="FirstParagraph"/>
      </w:pPr>
      <w:r>
        <w:t xml:space="preserve">The placeholders for transport mode (`Select Mode`), distance (`pvjfqvjypn`), and last-mile delivery (`Delivery Type`) are crucial for assessing supply chain emissions. For illustrative purposes, we assume typical modes and distances for a Europe-focused supply chain with final production in China.</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Stage</w:t>
            </w:r>
          </w:p>
        </w:tc>
        <w:tc>
          <w:tcPr/>
          <w:p>
            <w:pPr>
              <w:pStyle w:val="Compact"/>
              <w:jc w:val="left"/>
            </w:pPr>
            <w:r>
              <w:t xml:space="preserve">Illustrative Transport Mode</w:t>
            </w:r>
          </w:p>
        </w:tc>
        <w:tc>
          <w:tcPr/>
          <w:p>
            <w:pPr>
              <w:pStyle w:val="Compact"/>
              <w:jc w:val="left"/>
            </w:pPr>
            <w:r>
              <w:t xml:space="preserve">Illustrative Distance (km)</w:t>
            </w:r>
          </w:p>
        </w:tc>
        <w:tc>
          <w:tcPr/>
          <w:p>
            <w:pPr>
              <w:pStyle w:val="Compact"/>
              <w:jc w:val="left"/>
            </w:pPr>
            <w:r>
              <w:t xml:space="preserve">Illustrative Emission Factor (kg CO2e/tonne-km)</w:t>
            </w:r>
          </w:p>
        </w:tc>
        <w:tc>
          <w:tcPr/>
          <w:p>
            <w:pPr>
              <w:pStyle w:val="Compact"/>
              <w:jc w:val="left"/>
            </w:pPr>
            <w:r>
              <w:t xml:space="preserve">Illustrative GHG Emissions (kg CO2e/unit)</w:t>
            </w:r>
          </w:p>
        </w:tc>
      </w:tr>
      <w:tr>
        <w:tc>
          <w:tcPr/>
          <w:p>
            <w:pPr>
              <w:pStyle w:val="Compact"/>
              <w:jc w:val="left"/>
            </w:pPr>
            <w:r>
              <w:t xml:space="preserve">Material Inbound (Europe to China)</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0.15</w:t>
            </w:r>
          </w:p>
        </w:tc>
      </w:tr>
      <w:tr>
        <w:tc>
          <w:tcPr/>
          <w:p>
            <w:pPr>
              <w:pStyle w:val="Compact"/>
              <w:jc w:val="left"/>
            </w:pPr>
            <w:r>
              <w:t xml:space="preserve">Product Outbound (China to Europe)</w:t>
            </w:r>
          </w:p>
        </w:tc>
        <w:tc>
          <w:tcPr/>
          <w:p>
            <w:pPr>
              <w:pStyle w:val="Compact"/>
              <w:jc w:val="left"/>
            </w:pPr>
            <w:r>
              <w:t xml:space="preserve">Sea Freight (Container Ship)</w:t>
            </w:r>
          </w:p>
        </w:tc>
        <w:tc>
          <w:tcPr/>
          <w:p>
            <w:pPr>
              <w:pStyle w:val="Compact"/>
              <w:jc w:val="left"/>
            </w:pPr>
            <w:r>
              <w:t xml:space="preserve">15,000</w:t>
            </w:r>
          </w:p>
        </w:tc>
        <w:tc>
          <w:tcPr/>
          <w:p>
            <w:pPr>
              <w:pStyle w:val="Compact"/>
              <w:jc w:val="left"/>
            </w:pPr>
            <w:r>
              <w:t xml:space="preserve">0.010</w:t>
            </w:r>
          </w:p>
        </w:tc>
        <w:tc>
          <w:tcPr/>
          <w:p>
            <w:pPr>
              <w:pStyle w:val="Compact"/>
              <w:jc w:val="left"/>
            </w:pPr>
            <w:r>
              <w:t xml:space="preserve">0.15</w:t>
            </w:r>
          </w:p>
        </w:tc>
      </w:tr>
      <w:tr>
        <w:tc>
          <w:tcPr/>
          <w:p>
            <w:pPr>
              <w:pStyle w:val="Compact"/>
              <w:jc w:val="left"/>
            </w:pPr>
            <w:r>
              <w:t xml:space="preserve">Last-Mile Delivery (Europe, `Delivery Type`)</w:t>
            </w:r>
          </w:p>
        </w:tc>
        <w:tc>
          <w:tcPr/>
          <w:p>
            <w:pPr>
              <w:pStyle w:val="Compact"/>
              <w:jc w:val="left"/>
            </w:pPr>
            <w:r>
              <w:t xml:space="preserve">Road Freight (Van)</w:t>
            </w:r>
          </w:p>
        </w:tc>
        <w:tc>
          <w:tcPr/>
          <w:p>
            <w:pPr>
              <w:pStyle w:val="Compact"/>
              <w:jc w:val="left"/>
            </w:pPr>
            <w:r>
              <w:t xml:space="preserve">500</w:t>
            </w:r>
          </w:p>
        </w:tc>
        <w:tc>
          <w:tcPr/>
          <w:p>
            <w:pPr>
              <w:pStyle w:val="Compact"/>
              <w:jc w:val="left"/>
            </w:pPr>
            <w:r>
              <w:t xml:space="preserve">0.090</w:t>
            </w:r>
          </w:p>
        </w:tc>
        <w:tc>
          <w:tcPr/>
          <w:p>
            <w:pPr>
              <w:pStyle w:val="Compact"/>
              <w:jc w:val="left"/>
            </w:pPr>
            <w:r>
              <w:t xml:space="preserve">0.05</w:t>
            </w:r>
          </w:p>
        </w:tc>
      </w:tr>
      <w:tr>
        <w:tc>
          <w:tcPr>
            <w:gridSpan w:val="4"/>
          </w:tcPr>
          <w:p>
            <w:pPr>
              <w:pStyle w:val="Compact"/>
              <w:jc w:val="right"/>
            </w:pPr>
            <w:r>
              <w:rPr>
                <w:bCs/>
                <w:b/>
              </w:rPr>
              <w:t xml:space="preserve">Total Illustrative Transport Impact:</w:t>
            </w:r>
          </w:p>
        </w:tc>
        <w:tc>
          <w:tcPr/>
          <w:p>
            <w:pPr>
              <w:pStyle w:val="Compact"/>
              <w:jc w:val="left"/>
            </w:pPr>
            <w:r>
              <w:rPr>
                <w:bCs/>
                <w:b/>
              </w:rPr>
              <w:t xml:space="preserve">0.35</w:t>
            </w:r>
          </w:p>
        </w:tc>
      </w:tr>
    </w:tbl>
    <w:p>
      <w:pPr>
        <w:pStyle w:val="BodyText"/>
      </w:pPr>
      <w:r>
        <w:rPr>
          <w:iCs/>
          <w:i/>
        </w:rPr>
        <w:t xml:space="preserve">Note: Emission factors for transport vary significantly by specific vessel type, load factor, and fuel efficiency. The values above are illustrative. Assumed product weight for transport calculations is 0.5 kg/unit for simplification.</w:t>
      </w:r>
    </w:p>
    <w:p>
      <w:pPr>
        <w:pStyle w:val="BodyText"/>
      </w:pPr>
      <w:r>
        <w:t xml:space="preserve">Illustrative Emission factors are adapted from sources like DEFRA.</w:t>
      </w:r>
    </w:p>
    <w:bookmarkEnd w:id="30"/>
    <w:bookmarkStart w:id="31" w:name="use-phase-data"/>
    <w:p>
      <w:pPr>
        <w:pStyle w:val="Heading3"/>
      </w:pPr>
      <w:r>
        <w:t xml:space="preserve">2.4. Use Phase Data</w:t>
      </w:r>
    </w:p>
    <w:p>
      <w:pPr>
        <w:pStyle w:val="FirstParagraph"/>
      </w:pPr>
      <w:r>
        <w:t xml:space="preserve">The use phase impacts are derived from the product\'s lifespan (`lhdmhmlngm`) and energy consumption during use (`fkvwfpgevq`).</w:t>
      </w:r>
    </w:p>
    <w:p>
      <w:pPr>
        <w:numPr>
          <w:ilvl w:val="0"/>
          <w:numId w:val="1008"/>
        </w:numPr>
        <w:pStyle w:val="Compact"/>
      </w:pPr>
      <w:r>
        <w:rPr>
          <w:bCs/>
          <w:b/>
        </w:rPr>
        <w:t xml:space="preserve">Illustrative Product Lifespan (`lhdmhmlngm`):</w:t>
      </w:r>
      <w:r>
        <w:t xml:space="preserve"> </w:t>
      </w:r>
      <w:r>
        <w:t xml:space="preserve">3 years.</w:t>
      </w:r>
    </w:p>
    <w:p>
      <w:pPr>
        <w:numPr>
          <w:ilvl w:val="0"/>
          <w:numId w:val="1008"/>
        </w:numPr>
        <w:pStyle w:val="Compact"/>
      </w:pPr>
      <w:r>
        <w:rPr>
          <w:bCs/>
          <w:b/>
        </w:rPr>
        <w:t xml:space="preserve">Illustrative Energy Consumption in Use (`fkvwfpgevq`):</w:t>
      </w:r>
      <w:r>
        <w:t xml:space="preserve"> </w:t>
      </w:r>
      <w:r>
        <w:t xml:space="preserve">0.01 kWh/hour (assuming active use for 4 hours/day).</w:t>
      </w:r>
    </w:p>
    <w:p>
      <w:pPr>
        <w:numPr>
          <w:ilvl w:val="1"/>
          <w:numId w:val="1009"/>
        </w:numPr>
        <w:pStyle w:val="Compact"/>
      </w:pPr>
      <w:r>
        <w:t xml:space="preserve">Annual Consumption: 0.01 kWh/hr * 4 hr/day * 365 days/year = 14.6 kWh/year</w:t>
      </w:r>
    </w:p>
    <w:p>
      <w:pPr>
        <w:numPr>
          <w:ilvl w:val="1"/>
          <w:numId w:val="1009"/>
        </w:numPr>
        <w:pStyle w:val="Compact"/>
      </w:pPr>
      <w:r>
        <w:t xml:space="preserve">Total Lifespan Consumption: 14.6 kWh/year * 3 years = 43.8 kWh/unit</w:t>
      </w:r>
    </w:p>
    <w:p>
      <w:pPr>
        <w:numPr>
          <w:ilvl w:val="0"/>
          <w:numId w:val="1008"/>
        </w:numPr>
        <w:pStyle w:val="Compact"/>
      </w:pPr>
      <w:r>
        <w:rPr>
          <w:bCs/>
          <w:b/>
        </w:rPr>
        <w:t xml:space="preserve">Illustrative Grid Emission Factor (Europe, average):</w:t>
      </w:r>
      <w:r>
        <w:t xml:space="preserve"> </w:t>
      </w:r>
      <w:r>
        <w:t xml:space="preserve">~0.3 kg CO2e/kWh (average for EU grid mix).</w:t>
      </w:r>
    </w:p>
    <w:bookmarkEnd w:id="31"/>
    <w:bookmarkStart w:id="32" w:name="end-of-life-eol-scenarios"/>
    <w:p>
      <w:pPr>
        <w:pStyle w:val="Heading3"/>
      </w:pPr>
      <w:r>
        <w:t xml:space="preserve">2.5. End-of-Life (EoL) Scenarios</w:t>
      </w:r>
    </w:p>
    <w:p>
      <w:pPr>
        <w:pStyle w:val="FirstParagraph"/>
      </w:pPr>
      <w:r>
        <w:t xml:space="preserve">The provided recyclability percentage (`pvhxjitzqi`) and circular/take-back programs (`wefejrxfjx`) are critical for assessing EoL impacts, which can offer significant reductions through avoided emissions.</w:t>
      </w:r>
    </w:p>
    <w:p>
      <w:pPr>
        <w:numPr>
          <w:ilvl w:val="0"/>
          <w:numId w:val="1010"/>
        </w:numPr>
        <w:pStyle w:val="Compact"/>
      </w:pPr>
      <w:r>
        <w:rPr>
          <w:bCs/>
          <w:b/>
        </w:rPr>
        <w:t xml:space="preserve">Illustrative Recyclability Percentage (`pvhxjitzqi`):</w:t>
      </w:r>
      <w:r>
        <w:t xml:space="preserve"> </w:t>
      </w:r>
      <w:r>
        <w:t xml:space="preserve">70%.</w:t>
      </w:r>
    </w:p>
    <w:p>
      <w:pPr>
        <w:numPr>
          <w:ilvl w:val="0"/>
          <w:numId w:val="1010"/>
        </w:numPr>
        <w:pStyle w:val="Compact"/>
      </w:pPr>
      <w:r>
        <w:rPr>
          <w:bCs/>
          <w:b/>
        </w:rPr>
        <w:t xml:space="preserve">Illustrative Circular/Take-back Programs (`wefejrxfjx`):</w:t>
      </w:r>
      <w:r>
        <w:t xml:space="preserve"> </w:t>
      </w:r>
      <w:r>
        <w:t xml:space="preserve">Assumed to be in place, facilitating collection and recycling, thus improving actualization of recyclability.</w:t>
      </w:r>
    </w:p>
    <w:p>
      <w:pPr>
        <w:numPr>
          <w:ilvl w:val="0"/>
          <w:numId w:val="1010"/>
        </w:numPr>
        <w:pStyle w:val="Compact"/>
      </w:pPr>
      <w:r>
        <w:rPr>
          <w:bCs/>
          <w:b/>
        </w:rPr>
        <w:t xml:space="preserve">Illustrative Disposal (Landfill/Incineration):</w:t>
      </w:r>
      <w:r>
        <w:t xml:space="preserve"> </w:t>
      </w:r>
      <w:r>
        <w:t xml:space="preserve">For the non-recycled portion (30%).</w:t>
      </w:r>
    </w:p>
    <w:p>
      <w:r>
        <w:pict>
          <v:rect style="width:0;height:1.5pt" o:hralign="center" o:hrstd="t" o:hr="t"/>
        </w:pict>
      </w:r>
    </w:p>
    <w:bookmarkEnd w:id="32"/>
    <w:bookmarkEnd w:id="33"/>
    <w:bookmarkStart w:id="40" w:name="X84905863ad58caa81b83ef66a0ea955e601672a"/>
    <w:p>
      <w:pPr>
        <w:pStyle w:val="Heading2"/>
      </w:pPr>
      <w:r>
        <w:t xml:space="preserve">4. Emission Calculations (Activity * Emission Factor = CO2e)</w:t>
      </w:r>
    </w:p>
    <w:p>
      <w:pPr>
        <w:pStyle w:val="FirstParagraph"/>
      </w:pPr>
      <w:r>
        <w:t xml:space="preserve">This section quantifies the GHG emissions for each lifecycle stage based on the collected (illustrative) data and industry-standard emission factors.</w:t>
      </w:r>
    </w:p>
    <w:bookmarkStart w:id="34" w:name="Xff31e690bfe279af69cf88b9219fe5d56042afb"/>
    <w:p>
      <w:pPr>
        <w:pStyle w:val="Heading3"/>
      </w:pPr>
      <w:r>
        <w:t xml:space="preserve">4.1. Raw Material Acquisition &amp; Pre-processing (Scope 3 - Upstream)</w:t>
      </w:r>
    </w:p>
    <w:p>
      <w:pPr>
        <w:pStyle w:val="FirstParagraph"/>
      </w:pPr>
      <w:r>
        <w:t xml:space="preserve">These emissions cover the extraction, processing, and manufacturing of all materials and components before they arrive at the final production facility.</w:t>
      </w:r>
    </w:p>
    <w:p>
      <w:pPr>
        <w:numPr>
          <w:ilvl w:val="0"/>
          <w:numId w:val="1011"/>
        </w:numPr>
        <w:pStyle w:val="Compact"/>
      </w:pPr>
      <w:r>
        <w:rPr>
          <w:bCs/>
          <w:b/>
        </w:rPr>
        <w:t xml:space="preserve">Illustrative Total Material Impact:</w:t>
      </w:r>
      <w:r>
        <w:t xml:space="preserve"> </w:t>
      </w:r>
      <w:r>
        <w:t xml:space="preserve">7.30 kg CO2e/unit (from BOM table).</w:t>
      </w:r>
    </w:p>
    <w:bookmarkEnd w:id="34"/>
    <w:bookmarkStart w:id="35" w:name="X3064cc819ac350295486afd369dbcd8f6fa8fd3"/>
    <w:p>
      <w:pPr>
        <w:pStyle w:val="Heading3"/>
      </w:pPr>
      <w:r>
        <w:t xml:space="preserve">4.2. Manufacturing &amp; Production (Scope 1, 2, 3 - Upstream)</w:t>
      </w:r>
    </w:p>
    <w:p>
      <w:pPr>
        <w:pStyle w:val="FirstParagraph"/>
      </w:pPr>
      <w:r>
        <w:t xml:space="preserve">This includes direct emissions from the factory (Scope 1, e.g., on-site fuel combustion), indirect emissions from purchased electricity (Scope 2), and upstream emissions from producing purchased goods and services used in manufacturing (part of Scope 3, e.g., machinery, tools – not detailed in this illustrative report but accounted for in a full PCF).</w:t>
      </w:r>
    </w:p>
    <w:p>
      <w:pPr>
        <w:numPr>
          <w:ilvl w:val="0"/>
          <w:numId w:val="1012"/>
        </w:numPr>
        <w:pStyle w:val="Compact"/>
      </w:pPr>
      <w:r>
        <w:rPr>
          <w:bCs/>
          <w:b/>
        </w:rPr>
        <w:t xml:space="preserve">Illustrative Purchased Electricity (Scope 2):</w:t>
      </w:r>
    </w:p>
    <w:p>
      <w:pPr>
        <w:numPr>
          <w:ilvl w:val="1"/>
          <w:numId w:val="1013"/>
        </w:numPr>
        <w:pStyle w:val="Compact"/>
      </w:pPr>
      <w:r>
        <w:t xml:space="preserve">Energy Consumption: 5 kWh/unit</w:t>
      </w:r>
    </w:p>
    <w:p>
      <w:pPr>
        <w:numPr>
          <w:ilvl w:val="1"/>
          <w:numId w:val="1013"/>
        </w:numPr>
        <w:pStyle w:val="Compact"/>
      </w:pPr>
      <w:r>
        <w:t xml:space="preserve">Effective Production Emission Factor: 0.49 kg CO2e/kWh</w:t>
      </w:r>
    </w:p>
    <w:p>
      <w:pPr>
        <w:numPr>
          <w:ilvl w:val="1"/>
          <w:numId w:val="1013"/>
        </w:numPr>
        <w:pStyle w:val="Compact"/>
      </w:pPr>
      <w:r>
        <w:t xml:space="preserve">Total: 5 kWh/unit * 0.49 kg CO2e/kWh = 2.45 kg CO2e/unit</w:t>
      </w:r>
    </w:p>
    <w:p>
      <w:pPr>
        <w:numPr>
          <w:ilvl w:val="0"/>
          <w:numId w:val="1012"/>
        </w:numPr>
        <w:pStyle w:val="Compact"/>
      </w:pPr>
      <w:r>
        <w:rPr>
          <w:bCs/>
          <w:b/>
        </w:rPr>
        <w:t xml:space="preserve">Illustrative Scope 1 Emissions:</w:t>
      </w:r>
      <w:r>
        <w:t xml:space="preserve"> </w:t>
      </w:r>
      <w:r>
        <w:t xml:space="preserve">Assuming negligible direct on-site combustion for this illustrative scenario (0.00 kg CO2e/unit).</w:t>
      </w:r>
    </w:p>
    <w:p>
      <w:pPr>
        <w:numPr>
          <w:ilvl w:val="0"/>
          <w:numId w:val="1012"/>
        </w:numPr>
        <w:pStyle w:val="Compact"/>
      </w:pPr>
      <w:r>
        <w:rPr>
          <w:bCs/>
          <w:b/>
        </w:rPr>
        <w:t xml:space="preserve">Illustrative Upstream Scope 3 (from Production Goods/Services):</w:t>
      </w:r>
      <w:r>
        <w:t xml:space="preserve"> </w:t>
      </w:r>
      <w:r>
        <w:t xml:space="preserve">Not explicitly quantified in this illustrative example but would include impacts of machinery, water, waste treatment from production.</w:t>
      </w:r>
    </w:p>
    <w:bookmarkEnd w:id="35"/>
    <w:bookmarkStart w:id="36" w:name="X981923b8cb60f0edee598a5efe02199461582eb"/>
    <w:p>
      <w:pPr>
        <w:pStyle w:val="Heading3"/>
      </w:pPr>
      <w:r>
        <w:t xml:space="preserve">4.3. Transportation (Scope 3 - Upstream &amp; Downstream)</w:t>
      </w:r>
    </w:p>
    <w:p>
      <w:pPr>
        <w:pStyle w:val="FirstParagraph"/>
      </w:pPr>
      <w:r>
        <w:t xml:space="preserve">Emissions from transporting raw materials to the factory (upstream) and finished products to the customer (downstream).</w:t>
      </w:r>
    </w:p>
    <w:p>
      <w:pPr>
        <w:numPr>
          <w:ilvl w:val="0"/>
          <w:numId w:val="1014"/>
        </w:numPr>
        <w:pStyle w:val="Compact"/>
      </w:pPr>
      <w:r>
        <w:rPr>
          <w:bCs/>
          <w:b/>
        </w:rPr>
        <w:t xml:space="preserve">Illustrative Total Transport Impact:</w:t>
      </w:r>
      <w:r>
        <w:t xml:space="preserve"> </w:t>
      </w:r>
      <w:r>
        <w:t xml:space="preserve">0.35 kg CO2e/unit (from Transport table).</w:t>
      </w:r>
    </w:p>
    <w:bookmarkEnd w:id="36"/>
    <w:bookmarkStart w:id="37" w:name="use-phase-scope-3---downstream"/>
    <w:p>
      <w:pPr>
        <w:pStyle w:val="Heading3"/>
      </w:pPr>
      <w:r>
        <w:t xml:space="preserve">4.4. Use Phase (Scope 3 - Downstream)</w:t>
      </w:r>
    </w:p>
    <w:p>
      <w:pPr>
        <w:pStyle w:val="FirstParagraph"/>
      </w:pPr>
      <w:r>
        <w:t xml:space="preserve">Emissions generated during the typical use of the product by the end-consumer.</w:t>
      </w:r>
    </w:p>
    <w:p>
      <w:pPr>
        <w:numPr>
          <w:ilvl w:val="0"/>
          <w:numId w:val="1015"/>
        </w:numPr>
        <w:pStyle w:val="Compact"/>
      </w:pPr>
      <w:r>
        <w:rPr>
          <w:bCs/>
          <w:b/>
        </w:rPr>
        <w:t xml:space="preserve">Illustrative Total Lifespan Energy Consumption:</w:t>
      </w:r>
      <w:r>
        <w:t xml:space="preserve"> </w:t>
      </w:r>
      <w:r>
        <w:t xml:space="preserve">43.8 kWh/unit</w:t>
      </w:r>
    </w:p>
    <w:p>
      <w:pPr>
        <w:numPr>
          <w:ilvl w:val="0"/>
          <w:numId w:val="1015"/>
        </w:numPr>
        <w:pStyle w:val="Compact"/>
      </w:pPr>
      <w:r>
        <w:rPr>
          <w:bCs/>
          <w:b/>
        </w:rPr>
        <w:t xml:space="preserve">Illustrative European Grid Emission Factor:</w:t>
      </w:r>
      <w:r>
        <w:t xml:space="preserve"> </w:t>
      </w:r>
      <w:r>
        <w:t xml:space="preserve">0.3 kg CO2e/kWh</w:t>
      </w:r>
    </w:p>
    <w:p>
      <w:pPr>
        <w:numPr>
          <w:ilvl w:val="0"/>
          <w:numId w:val="1015"/>
        </w:numPr>
        <w:pStyle w:val="Compact"/>
      </w:pPr>
      <w:r>
        <w:rPr>
          <w:bCs/>
          <w:b/>
        </w:rPr>
        <w:t xml:space="preserve">Total:</w:t>
      </w:r>
      <w:r>
        <w:t xml:space="preserve"> </w:t>
      </w:r>
      <w:r>
        <w:t xml:space="preserve">43.8 kWh/unit * 0.3 kg CO2e/kWh = 13.14 kg CO2e/unit</w:t>
      </w:r>
    </w:p>
    <w:bookmarkEnd w:id="37"/>
    <w:bookmarkStart w:id="38" w:name="end-of-life-eol-scope-3---downstream"/>
    <w:p>
      <w:pPr>
        <w:pStyle w:val="Heading3"/>
      </w:pPr>
      <w:r>
        <w:t xml:space="preserve">4.5. End-of-Life (EoL) (Scope 3 - Downstream)</w:t>
      </w:r>
    </w:p>
    <w:p>
      <w:pPr>
        <w:pStyle w:val="FirstParagraph"/>
      </w:pPr>
      <w:r>
        <w:t xml:space="preserve">Emissions and potential avoided emissions from the disposal or recycling of the product at the end of its life.</w:t>
      </w:r>
    </w:p>
    <w:p>
      <w:pPr>
        <w:numPr>
          <w:ilvl w:val="0"/>
          <w:numId w:val="1016"/>
        </w:numPr>
        <w:pStyle w:val="Compact"/>
      </w:pPr>
      <w:r>
        <w:rPr>
          <w:bCs/>
          <w:b/>
        </w:rPr>
        <w:t xml:space="preserve">Illustrative Recycled Portion (70%):</w:t>
      </w:r>
      <w:r>
        <w:t xml:space="preserve"> </w:t>
      </w:r>
      <w:r>
        <w:t xml:space="preserve">Assumed avoided emissions for recycled materials.</w:t>
      </w:r>
    </w:p>
    <w:p>
      <w:pPr>
        <w:numPr>
          <w:ilvl w:val="1"/>
          <w:numId w:val="1017"/>
        </w:numPr>
        <w:pStyle w:val="Compact"/>
      </w:pPr>
      <w:r>
        <w:t xml:space="preserve">For example, if the material input impact for a component was \'X\', then 70% of \'X\' might be considered avoided emissions, or a credit might be applied. For simplification, we\'ll consider net emissions for the non-recycled part.</w:t>
      </w:r>
    </w:p>
    <w:p>
      <w:pPr>
        <w:numPr>
          <w:ilvl w:val="0"/>
          <w:numId w:val="1016"/>
        </w:numPr>
        <w:pStyle w:val="Compact"/>
      </w:pPr>
      <w:r>
        <w:rPr>
          <w:bCs/>
          <w:b/>
        </w:rPr>
        <w:t xml:space="preserve">Illustrative Non-recycled Portion (30%):</w:t>
      </w:r>
      <w:r>
        <w:t xml:space="preserve"> </w:t>
      </w:r>
      <w:r>
        <w:t xml:space="preserve">Assumed to go to landfill or incineration.</w:t>
      </w:r>
    </w:p>
    <w:p>
      <w:pPr>
        <w:numPr>
          <w:ilvl w:val="1"/>
          <w:numId w:val="1018"/>
        </w:numPr>
        <w:pStyle w:val="Compact"/>
      </w:pPr>
      <w:r>
        <w:t xml:space="preserve">Illustrative Landfill Emission Factor for residual waste: ~0.05 kg CO2e/kg of product.</w:t>
      </w:r>
    </w:p>
    <w:p>
      <w:pPr>
        <w:numPr>
          <w:ilvl w:val="1"/>
          <w:numId w:val="1018"/>
        </w:numPr>
        <w:pStyle w:val="Compact"/>
      </w:pPr>
      <w:r>
        <w:t xml:space="preserve">Illustrative Product Weight: 0.5 kg/unit</w:t>
      </w:r>
    </w:p>
    <w:p>
      <w:pPr>
        <w:numPr>
          <w:ilvl w:val="1"/>
          <w:numId w:val="1018"/>
        </w:numPr>
        <w:pStyle w:val="Compact"/>
      </w:pPr>
      <w:r>
        <w:t xml:space="preserve">Total: 0.5 kg/unit * 30% * 0.05 kg CO2e/kg = 0.0075 kg CO2e/unit</w:t>
      </w:r>
    </w:p>
    <w:p>
      <w:pPr>
        <w:numPr>
          <w:ilvl w:val="0"/>
          <w:numId w:val="1016"/>
        </w:numPr>
        <w:pStyle w:val="Compact"/>
      </w:pPr>
      <w:r>
        <w:rPr>
          <w:bCs/>
          <w:b/>
        </w:rPr>
        <w:t xml:space="preserve">Illustrative Avoided Emissions from Recycling:</w:t>
      </w:r>
      <w:r>
        <w:t xml:space="preserve"> </w:t>
      </w:r>
      <w:r>
        <w:t xml:space="preserve">Complex to quantify precisely without specific recycling process data. For this illustrative report, we will focus on net EoL emissions for the non-recycled portion. A comprehensive analysis would quantify credits for recycled materials replacing virgin materials.</w:t>
      </w:r>
    </w:p>
    <w:bookmarkEnd w:id="38"/>
    <w:bookmarkStart w:id="39" w:name="X6cb5e98fc5f672b90609cb3addd66567976155f"/>
    <w:p>
      <w:pPr>
        <w:pStyle w:val="Heading3"/>
      </w:pPr>
      <w:r>
        <w:t xml:space="preserve">4.6. Total Product Carbon Footprint (Illustrative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Scope(s)</w:t>
            </w:r>
          </w:p>
        </w:tc>
        <w:tc>
          <w:tcPr/>
          <w:p>
            <w:pPr>
              <w:pStyle w:val="Compact"/>
              <w:jc w:val="left"/>
            </w:pPr>
            <w:r>
              <w:t xml:space="preserve">Illustrative GHG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7.30</w:t>
            </w:r>
          </w:p>
        </w:tc>
      </w:tr>
      <w:tr>
        <w:tc>
          <w:tcPr/>
          <w:p>
            <w:pPr>
              <w:pStyle w:val="Compact"/>
              <w:jc w:val="left"/>
            </w:pPr>
            <w:r>
              <w:t xml:space="preserve">Manufacturing &amp; Production</w:t>
            </w:r>
          </w:p>
        </w:tc>
        <w:tc>
          <w:tcPr/>
          <w:p>
            <w:pPr>
              <w:pStyle w:val="Compact"/>
              <w:jc w:val="left"/>
            </w:pPr>
            <w:r>
              <w:t xml:space="preserve">Scope 1 (Direct), Scope 2 (Energy), Scope 3 (Upstream)</w:t>
            </w:r>
          </w:p>
        </w:tc>
        <w:tc>
          <w:tcPr/>
          <w:p>
            <w:pPr>
              <w:pStyle w:val="Compact"/>
              <w:jc w:val="left"/>
            </w:pPr>
            <w:r>
              <w:t xml:space="preserve">2.45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13.14</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0.01</w:t>
            </w:r>
          </w:p>
        </w:tc>
      </w:tr>
      <w:tr>
        <w:tc>
          <w:tcPr/>
          <w:p>
            <w:pPr>
              <w:pStyle w:val="Compact"/>
              <w:jc w:val="left"/>
            </w:pPr>
            <w:r>
              <w:rPr>
                <w:bCs/>
                <w:b/>
              </w:rPr>
              <w:t xml:space="preserve">Total Product Carbon Footprint (Illustrative)</w:t>
            </w:r>
          </w:p>
        </w:tc>
        <w:tc>
          <w:tcPr/>
          <w:p>
            <w:pPr>
              <w:pStyle w:val="Compact"/>
            </w:pPr>
          </w:p>
        </w:tc>
        <w:tc>
          <w:tcPr/>
          <w:p>
            <w:pPr>
              <w:pStyle w:val="Compact"/>
              <w:jc w:val="left"/>
            </w:pPr>
            <w:r>
              <w:rPr>
                <w:bCs/>
                <w:b/>
              </w:rPr>
              <w:t xml:space="preserve">23.25 kg CO2e/unit</w:t>
            </w:r>
          </w:p>
        </w:tc>
      </w:tr>
    </w:tbl>
    <w:p>
      <w:pPr>
        <w:pStyle w:val="BodyText"/>
      </w:pPr>
      <w:r>
        <w:rPr>
          <w:iCs/>
          <w:i/>
        </w:rPr>
        <w:t xml:space="preserve">Note: The total PCF of 23.25 kg CO2e per unit for znzmzorpht is an illustrative figure based on the example data provided within this report. Actual results will vary significantly with primary data.</w:t>
      </w:r>
    </w:p>
    <w:p>
      <w:r>
        <w:pict>
          <v:rect style="width:0;height:1.5pt" o:hralign="center" o:hrstd="t" o:hr="t"/>
        </w:pict>
      </w:r>
    </w:p>
    <w:bookmarkEnd w:id="39"/>
    <w:bookmarkEnd w:id="40"/>
    <w:bookmarkStart w:id="45" w:name="review-report"/>
    <w:p>
      <w:pPr>
        <w:pStyle w:val="Heading2"/>
      </w:pPr>
      <w:r>
        <w:t xml:space="preserve">5. Review &amp; Report</w:t>
      </w:r>
    </w:p>
    <w:p>
      <w:pPr>
        <w:pStyle w:val="FirstParagraph"/>
      </w:pPr>
      <w:r>
        <w:t xml:space="preserve">This section summarizes the findings, identifies emission hotspots, and discusses the reliability of the illustrative analysis.</w:t>
      </w:r>
    </w:p>
    <w:bookmarkStart w:id="41" w:name="emission-hotspots-illustrative"/>
    <w:p>
      <w:pPr>
        <w:pStyle w:val="Heading3"/>
      </w:pPr>
      <w:r>
        <w:t xml:space="preserve">5.1. Emission Hotspots (Illustrative)</w:t>
      </w:r>
    </w:p>
    <w:p>
      <w:pPr>
        <w:pStyle w:val="FirstParagraph"/>
      </w:pPr>
      <w:r>
        <w:t xml:space="preserve">Based on the illustrative calculations, the primary emission hotspots for znzmzorpht are:</w:t>
      </w:r>
    </w:p>
    <w:p>
      <w:pPr>
        <w:numPr>
          <w:ilvl w:val="0"/>
          <w:numId w:val="1019"/>
        </w:numPr>
        <w:pStyle w:val="Compact"/>
      </w:pPr>
      <w:r>
        <w:rPr>
          <w:bCs/>
          <w:b/>
        </w:rPr>
        <w:t xml:space="preserve">Use Phase (56.5%):</w:t>
      </w:r>
      <w:r>
        <w:t xml:space="preserve"> </w:t>
      </w:r>
      <w:r>
        <w:t xml:space="preserve">The energy consumption during the product\'s lifespan, powered by the grid mix, is the largest contributor to the overall footprint.</w:t>
      </w:r>
    </w:p>
    <w:p>
      <w:pPr>
        <w:numPr>
          <w:ilvl w:val="0"/>
          <w:numId w:val="1019"/>
        </w:numPr>
        <w:pStyle w:val="Compact"/>
      </w:pPr>
      <w:r>
        <w:rPr>
          <w:bCs/>
          <w:b/>
        </w:rPr>
        <w:t xml:space="preserve">Raw Material Acquisition (31.4%):</w:t>
      </w:r>
      <w:r>
        <w:t xml:space="preserve"> </w:t>
      </w:r>
      <w:r>
        <w:t xml:space="preserve">The production of materials like plastics, metals, and electronics represents a significant upstream impact.</w:t>
      </w:r>
    </w:p>
    <w:p>
      <w:pPr>
        <w:numPr>
          <w:ilvl w:val="0"/>
          <w:numId w:val="1019"/>
        </w:numPr>
        <w:pStyle w:val="Compact"/>
      </w:pPr>
      <w:r>
        <w:rPr>
          <w:bCs/>
          <w:b/>
        </w:rPr>
        <w:t xml:space="preserve">Manufacturing &amp; Production (10.5%):</w:t>
      </w:r>
      <w:r>
        <w:t xml:space="preserve"> </w:t>
      </w:r>
      <w:r>
        <w:t xml:space="preserve">Purchased electricity for factory operations, even with some renewable energy usage, contributes significantly.</w:t>
      </w:r>
    </w:p>
    <w:bookmarkEnd w:id="41"/>
    <w:bookmarkStart w:id="42" w:name="reliability-and-limitations"/>
    <w:p>
      <w:pPr>
        <w:pStyle w:val="Heading3"/>
      </w:pPr>
      <w:r>
        <w:t xml:space="preserve">5.2. Reliability and Limitations</w:t>
      </w:r>
    </w:p>
    <w:p>
      <w:pPr>
        <w:pStyle w:val="FirstParagraph"/>
      </w:pPr>
      <w:r>
        <w:t xml:space="preserve">The reliability of this PCF analysis is contingent upon the accuracy and completeness of the input data. As noted, this report utilizes illustrative values for many critical parameters due to the nature of the prompt. Key limitations include:</w:t>
      </w:r>
    </w:p>
    <w:p>
      <w:pPr>
        <w:numPr>
          <w:ilvl w:val="0"/>
          <w:numId w:val="1020"/>
        </w:numPr>
        <w:pStyle w:val="Compact"/>
      </w:pPr>
      <w:r>
        <w:rPr>
          <w:bCs/>
          <w:b/>
        </w:rPr>
        <w:t xml:space="preserve">Placeholder Data:</w:t>
      </w:r>
      <w:r>
        <w:t xml:space="preserve"> </w:t>
      </w:r>
      <w:r>
        <w:t xml:space="preserve">All numerical parameters (BOM details, transport distances, energy usage, etc.) were provided as placeholders. This report uses assumed, generic data for demonstration.</w:t>
      </w:r>
    </w:p>
    <w:p>
      <w:pPr>
        <w:numPr>
          <w:ilvl w:val="0"/>
          <w:numId w:val="1020"/>
        </w:numPr>
        <w:pStyle w:val="Compact"/>
      </w:pPr>
      <w:r>
        <w:rPr>
          <w:bCs/>
          <w:b/>
        </w:rPr>
        <w:t xml:space="preserve">Emission Factor Specificity:</w:t>
      </w:r>
      <w:r>
        <w:t xml:space="preserve"> </w:t>
      </w:r>
      <w:r>
        <w:t xml:space="preserve">Generic industry-average emission factors were used where specific regional or supplier-specific data was unavailable.</w:t>
      </w:r>
    </w:p>
    <w:p>
      <w:pPr>
        <w:numPr>
          <w:ilvl w:val="0"/>
          <w:numId w:val="1020"/>
        </w:numPr>
        <w:pStyle w:val="Compact"/>
      </w:pPr>
      <w:r>
        <w:rPr>
          <w:bCs/>
          <w:b/>
        </w:rPr>
        <w:t xml:space="preserve">Scope 3 Detail:</w:t>
      </w:r>
      <w:r>
        <w:t xml:space="preserve"> </w:t>
      </w:r>
      <w:r>
        <w:t xml:space="preserve">While aiming for 95% Scope 3 coverage, certain indirect upstream (e.g., capital goods for production) and downstream (e.g., waste treatment infrastructure) impacts are based on broad assumptions in this illustrative report.</w:t>
      </w:r>
    </w:p>
    <w:p>
      <w:pPr>
        <w:numPr>
          <w:ilvl w:val="0"/>
          <w:numId w:val="1020"/>
        </w:numPr>
        <w:pStyle w:val="Compact"/>
      </w:pPr>
      <w:r>
        <w:rPr>
          <w:bCs/>
          <w:b/>
        </w:rPr>
        <w:t xml:space="preserve">LSR Standard:</w:t>
      </w:r>
      <w:r>
        <w:t xml:space="preserve"> </w:t>
      </w:r>
      <w:r>
        <w:t xml:space="preserve">Application of the 2026 LSR Standard is acknowledged but limited by the absence of specific land-use change data for material sourcing.</w:t>
      </w:r>
    </w:p>
    <w:p>
      <w:pPr>
        <w:pStyle w:val="FirstParagraph"/>
      </w:pPr>
      <w:r>
        <w:rPr>
          <w:bCs/>
          <w:b/>
        </w:rPr>
        <w:t xml:space="preserve">Recommendation:</w:t>
      </w:r>
      <w:r>
        <w:t xml:space="preserve"> </w:t>
      </w:r>
      <w:r>
        <w:t xml:space="preserve">To enhance the reliability and actionable insights, kwevjyzjip should prioritize collecting primary data for all material inputs (BOM), actual transport logistics, precise energy consumption during production and use, and specific end-of-life treatment routes. This will enable a more accurate and robust PCF calculation.</w:t>
      </w:r>
    </w:p>
    <w:bookmarkEnd w:id="42"/>
    <w:bookmarkStart w:id="44" w:name="recommendations-for-emission-reduction"/>
    <w:p>
      <w:pPr>
        <w:pStyle w:val="Heading3"/>
      </w:pPr>
      <w:r>
        <w:t xml:space="preserve">5.3. Recommendations for Emission Reduction</w:t>
      </w:r>
    </w:p>
    <w:p>
      <w:pPr>
        <w:pStyle w:val="FirstParagraph"/>
      </w:pPr>
      <w:r>
        <w:t xml:space="preserve">Based on the identified hotspots, key strategies for reducing the PCF of znzmzorpht include:</w:t>
      </w:r>
    </w:p>
    <w:p>
      <w:pPr>
        <w:numPr>
          <w:ilvl w:val="0"/>
          <w:numId w:val="1021"/>
        </w:numPr>
        <w:pStyle w:val="Compact"/>
      </w:pPr>
      <w:r>
        <w:rPr>
          <w:bCs/>
          <w:b/>
        </w:rPr>
        <w:t xml:space="preserve">Optimize Use Phase Efficiency:</w:t>
      </w:r>
      <w:r>
        <w:t xml:space="preserve"> </w:t>
      </w:r>
      <w:r>
        <w:t xml:space="preserve">Design znzmzorpht for lower energy consumption during its operational life. Explore energy-saving modes, longer battery life, and promote user awareness for efficient usage.</w:t>
      </w:r>
    </w:p>
    <w:p>
      <w:pPr>
        <w:numPr>
          <w:ilvl w:val="0"/>
          <w:numId w:val="1021"/>
        </w:numPr>
        <w:pStyle w:val="Compact"/>
      </w:pPr>
      <w:r>
        <w:rPr>
          <w:bCs/>
          <w:b/>
        </w:rPr>
        <w:t xml:space="preserve">Increase Renewable Energy Sourcing:</w:t>
      </w:r>
      <w:r>
        <w:t xml:space="preserve"> </w:t>
      </w:r>
      <w:r>
        <w:t xml:space="preserve">Further increase the share of renewable energy used in the manufacturing facilities in China beyond the illustrative 30% (`gimtrgiexo`). Invest in on-site renewables or procure 100% certified green electricity.</w:t>
      </w:r>
    </w:p>
    <w:p>
      <w:pPr>
        <w:numPr>
          <w:ilvl w:val="0"/>
          <w:numId w:val="1021"/>
        </w:numPr>
        <w:pStyle w:val="Compact"/>
      </w:pPr>
      <w:r>
        <w:rPr>
          <w:bCs/>
          <w:b/>
        </w:rPr>
        <w:t xml:space="preserve">Material Optimization:</w:t>
      </w:r>
      <w:r>
        <w:t xml:space="preserve"> </w:t>
      </w:r>
      <w:r>
        <w:t xml:space="preserve">Explore lighter-weight materials, recycled content for components like plastic housing and aluminium frames, and bio-based alternatives with lower embodied carbon.</w:t>
      </w:r>
    </w:p>
    <w:p>
      <w:pPr>
        <w:numPr>
          <w:ilvl w:val="0"/>
          <w:numId w:val="1021"/>
        </w:numPr>
        <w:pStyle w:val="Compact"/>
      </w:pPr>
      <w:r>
        <w:rPr>
          <w:bCs/>
          <w:b/>
        </w:rPr>
        <w:t xml:space="preserve">Supply Chain Engagement:</w:t>
      </w:r>
      <w:r>
        <w:t xml:space="preserve"> </w:t>
      </w:r>
      <w:r>
        <w:t xml:space="preserve">Collaborate with suppliers to understand and reduce the carbon footprint of purchased components and materials.</w:t>
      </w:r>
    </w:p>
    <w:p>
      <w:pPr>
        <w:numPr>
          <w:ilvl w:val="0"/>
          <w:numId w:val="1021"/>
        </w:numPr>
        <w:pStyle w:val="Compact"/>
      </w:pPr>
      <w:r>
        <w:rPr>
          <w:bCs/>
          <w:b/>
        </w:rPr>
        <w:t xml:space="preserve">Enhance Circularity:</w:t>
      </w:r>
      <w:r>
        <w:t xml:space="preserve"> </w:t>
      </w:r>
      <w:r>
        <w:t xml:space="preserve">Strengthen existing circular/take-back programs (`wefejrxfjx`) to maximize the actual recycling rate beyond the illustrative 70% (`pvhxjitzqi`), and explore opportunities for repair, refurbishment, or reuse.</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43" w:name="page-number"/>
      <w:bookmarkEnd w:id="43"/>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znzmzorpht</dc:title>
  <dc:creator/>
  <dc:description>Detailed Product Carbon Footprint (PCF) analysis report for znzmzorpht by feidhpisyo, a Senior Sustainability Consultant, adhering to the GHG Protocol for kwevjyzjip.</dc:description>
  <dc:language>en</dc:language>
  <cp:keywords/>
  <dcterms:created xsi:type="dcterms:W3CDTF">2026-07-15T12:54:22Z</dcterms:created>
  <dcterms:modified xsi:type="dcterms:W3CDTF">2026-07-15T12:54:22Z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