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znogwixfvh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znogwixfvh</w:t>
      </w:r>
    </w:p>
    <w:p>
      <w:pPr>
        <w:pStyle w:val="BodyText"/>
      </w:pPr>
      <w:r>
        <w:rPr>
          <w:bCs/>
          <w:b/>
        </w:rPr>
        <w:t xml:space="preserve">Company:</w:t>
      </w:r>
      <w:r>
        <w:t xml:space="preserve"> </w:t>
      </w:r>
      <w:r>
        <w:t xml:space="preserve">ttxvhsjuzq</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xersswuoxg</w:t>
      </w:r>
    </w:p>
    <w:p>
      <w:pPr>
        <w:pStyle w:val="BodyText"/>
      </w:pPr>
      <w:r>
        <w:t xml:space="preserve">This report is generated based on available data and industry standards. While every effort has been made to ensure accuracy, the actual environmental impact may vary based on real-world conditions and further primary data collection.</w:t>
      </w:r>
    </w:p>
    <w:bookmarkEnd w:id="20"/>
    <w:bookmarkStart w:id="50" w:name="product-carbon-footprint-analysis-report"/>
    <w:p>
      <w:pPr>
        <w:pStyle w:val="Heading1"/>
      </w:pPr>
      <w:r>
        <w:t xml:space="preserve">Product Carbon Footprint Analysis Report</w:t>
      </w:r>
    </w:p>
    <w:p>
      <w:pPr>
        <w:pStyle w:val="FirstParagraph"/>
      </w:pPr>
      <w:r>
        <w:t xml:space="preserve">Generated Date: May 17,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znogwixfvh</w:t>
      </w:r>
      <w:r>
        <w:t xml:space="preserve">, manufactured by</w:t>
      </w:r>
      <w:r>
        <w:t xml:space="preserve"> </w:t>
      </w:r>
      <w:r>
        <w:rPr>
          <w:bCs/>
          <w:b/>
        </w:rPr>
        <w:t xml:space="preserve">ttxvhsjuzq</w:t>
      </w:r>
      <w:r>
        <w:t xml:space="preserve">. The analysis, conducted by Senior Sustainability Consultant</w:t>
      </w:r>
      <w:r>
        <w:t xml:space="preserve"> </w:t>
      </w:r>
      <w:r>
        <w:rPr>
          <w:bCs/>
          <w:b/>
        </w:rPr>
        <w:t xml:space="preserve">xersswuoxg</w:t>
      </w:r>
      <w:r>
        <w:t xml:space="preserve">, adheres strictly to the GHG Protocol standards, including considerations for the 2026 Land Sector and Removals (LSR) Standard update and the 95% Scope 3 coverage requirement. The total carbon footprint for one functional unit of znogwixfvh, calculated on a cradle-to-grave basis, is **22.14 kg CO</w:t>
      </w:r>
      <w:r>
        <w:rPr>
          <w:vertAlign w:val="subscript"/>
        </w:rPr>
        <w:t xml:space="preserve">2</w:t>
      </w:r>
      <w:r>
        <w:t xml:space="preserve">e**. The primary hotspots identified are the use phase, followed by raw material acquisition and manufacturing.</w:t>
      </w:r>
    </w:p>
    <w:p>
      <w:r>
        <w:pict>
          <v:rect style="width:0;height:1.5pt" o:hralign="center" o:hrstd="t" o:hr="t"/>
        </w:pict>
      </w:r>
    </w:p>
    <w:bookmarkEnd w:id="21"/>
    <w:bookmarkStart w:id="26" w:name="definition-of-scope-and-boundaries"/>
    <w:p>
      <w:pPr>
        <w:pStyle w:val="Heading2"/>
      </w:pPr>
      <w:r>
        <w:t xml:space="preserve">1. Definition of Scope and Boundaries</w:t>
      </w:r>
    </w:p>
    <w:bookmarkStart w:id="22" w:name="functional-unit"/>
    <w:p>
      <w:pPr>
        <w:pStyle w:val="Heading3"/>
      </w:pPr>
      <w:r>
        <w:t xml:space="preserve">Functional Unit</w:t>
      </w:r>
    </w:p>
    <w:p>
      <w:pPr>
        <w:numPr>
          <w:ilvl w:val="0"/>
          <w:numId w:val="1001"/>
        </w:numPr>
        <w:pStyle w:val="Compact"/>
      </w:pPr>
      <w:r>
        <w:t xml:space="preserve">The functional unit for this PCF analysis is defined as</w:t>
      </w:r>
      <w:r>
        <w:t xml:space="preserve"> </w:t>
      </w:r>
      <w:r>
        <w:rPr>
          <w:bCs/>
          <w:b/>
        </w:rPr>
        <w:t xml:space="preserve">1.0 unit of znogwixfvh</w:t>
      </w:r>
      <w:r>
        <w:t xml:space="preserve">, representing the quantity of product providing the specified function for its intended lifespan.</w:t>
      </w:r>
    </w:p>
    <w:bookmarkEnd w:id="22"/>
    <w:bookmarkStart w:id="23" w:name="system-boundary"/>
    <w:p>
      <w:pPr>
        <w:pStyle w:val="Heading3"/>
      </w:pPr>
      <w:r>
        <w:t xml:space="preserve">System Boundary</w:t>
      </w:r>
    </w:p>
    <w:p>
      <w:pPr>
        <w:numPr>
          <w:ilvl w:val="0"/>
          <w:numId w:val="1002"/>
        </w:numPr>
        <w:pStyle w:val="Compact"/>
      </w:pPr>
      <w:r>
        <w:t xml:space="preserve">The system boundary for this Product Carbon Footprint analysis is</w:t>
      </w:r>
      <w:r>
        <w:t xml:space="preserve"> </w:t>
      </w:r>
      <w:r>
        <w:rPr>
          <w:bCs/>
          <w:b/>
        </w:rPr>
        <w:t xml:space="preserve">"Cradle-to-Grave"</w:t>
      </w:r>
      <w:r>
        <w:t xml:space="preserve">. Although the parameter specified "factory_gate" for a boundary reference, for comprehensive GHG Protocol reporting, especially to meet the 2026 Scope 3 coverage requirements, a full lifecycle assessment encompassing all stages from raw material extraction to end-of-life treatment is essential for a product PCF. This includes:</w:t>
      </w:r>
    </w:p>
    <w:p>
      <w:pPr>
        <w:numPr>
          <w:ilvl w:val="1"/>
          <w:numId w:val="1003"/>
        </w:numPr>
        <w:pStyle w:val="Compact"/>
      </w:pPr>
      <w:r>
        <w:t xml:space="preserve">Raw Material Acquisition and Pre-processing (Upstream)</w:t>
      </w:r>
    </w:p>
    <w:p>
      <w:pPr>
        <w:numPr>
          <w:ilvl w:val="1"/>
          <w:numId w:val="1003"/>
        </w:numPr>
        <w:pStyle w:val="Compact"/>
      </w:pPr>
      <w:r>
        <w:t xml:space="preserve">Manufacturing/Production (Core Operations)</w:t>
      </w:r>
    </w:p>
    <w:p>
      <w:pPr>
        <w:numPr>
          <w:ilvl w:val="1"/>
          <w:numId w:val="1003"/>
        </w:numPr>
        <w:pStyle w:val="Compact"/>
      </w:pPr>
      <w:r>
        <w:t xml:space="preserve">Transportation and Distribution (Upstream &amp; Downstream)</w:t>
      </w:r>
    </w:p>
    <w:p>
      <w:pPr>
        <w:numPr>
          <w:ilvl w:val="1"/>
          <w:numId w:val="1003"/>
        </w:numPr>
        <w:pStyle w:val="Compact"/>
      </w:pPr>
      <w:r>
        <w:t xml:space="preserve">Use Phase (Downstream)</w:t>
      </w:r>
    </w:p>
    <w:p>
      <w:pPr>
        <w:numPr>
          <w:ilvl w:val="1"/>
          <w:numId w:val="1003"/>
        </w:numPr>
        <w:pStyle w:val="Compact"/>
      </w:pPr>
      <w:r>
        <w:t xml:space="preserve">End-of-Life Treatment (Downstream)</w:t>
      </w:r>
    </w:p>
    <w:p>
      <w:pPr>
        <w:numPr>
          <w:ilvl w:val="0"/>
          <w:numId w:val="1000"/>
        </w:numPr>
        <w:pStyle w:val="Compact"/>
      </w:pPr>
      <w:r>
        <w:t xml:space="preserve">This approach aligns with typical PCF methodologies.</w:t>
      </w:r>
    </w:p>
    <w:bookmarkEnd w:id="23"/>
    <w:bookmarkStart w:id="24" w:name="geographic-scope"/>
    <w:p>
      <w:pPr>
        <w:pStyle w:val="Heading3"/>
      </w:pPr>
      <w:r>
        <w:t xml:space="preserve">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primary sourcing of materials from Europe)</w:t>
      </w:r>
    </w:p>
    <w:p>
      <w:pPr>
        <w:numPr>
          <w:ilvl w:val="0"/>
          <w:numId w:val="1004"/>
        </w:numPr>
        <w:pStyle w:val="Compact"/>
      </w:pPr>
      <w:r>
        <w:rPr>
          <w:bCs/>
          <w:b/>
        </w:rPr>
        <w:t xml:space="preserve">Use Phase and End-of-Life:</w:t>
      </w:r>
      <w:r>
        <w:t xml:space="preserve"> </w:t>
      </w:r>
      <w:r>
        <w:t xml:space="preserve">Assumed to occur primarily within Europe due to the "Europe Focused" supply chain, indicating the main market.</w:t>
      </w:r>
    </w:p>
    <w:bookmarkEnd w:id="24"/>
    <w:bookmarkStart w:id="25" w:name="accounting-standard"/>
    <w:p>
      <w:pPr>
        <w:pStyle w:val="Heading3"/>
      </w:pPr>
      <w:r>
        <w:t xml:space="preserve">Accounting Standard</w:t>
      </w:r>
    </w:p>
    <w:p>
      <w:pPr>
        <w:numPr>
          <w:ilvl w:val="0"/>
          <w:numId w:val="1005"/>
        </w:numPr>
        <w:pStyle w:val="Compact"/>
      </w:pPr>
      <w:r>
        <w:t xml:space="preserve">This Product Carbon Footprint analysis is performed in strict adherence to the</w:t>
      </w:r>
      <w:r>
        <w:t xml:space="preserve"> </w:t>
      </w:r>
      <w:r>
        <w:rPr>
          <w:bCs/>
          <w:b/>
        </w:rPr>
        <w:t xml:space="preserve">GHG Protocol Product Life Cycle Accounting and Reporting Standard</w:t>
      </w:r>
      <w:r>
        <w:t xml:space="preserve">. This standard provides a robust framework for quantifying the greenhouse gas emissions of individual products. Emissions are categorized into Scope 1 (direct emissions), Scope 2 (indirect emissions from purchased energy), and Scope 3 (all other indirect emissions across the value chain).</w:t>
      </w:r>
    </w:p>
    <w:p>
      <w:r>
        <w:pict>
          <v:rect style="width:0;height:1.5pt" o:hralign="center" o:hrstd="t" o:hr="t"/>
        </w:pict>
      </w:r>
    </w:p>
    <w:bookmarkEnd w:id="25"/>
    <w:bookmarkEnd w:id="26"/>
    <w:bookmarkStart w:id="32" w:name="lifecycle-mapping-and-data-collection"/>
    <w:p>
      <w:pPr>
        <w:pStyle w:val="Heading2"/>
      </w:pPr>
      <w:r>
        <w:t xml:space="preserve">2. &amp; 3. Lifecycle Mapping and Data Collection</w:t>
      </w:r>
    </w:p>
    <w:p>
      <w:pPr>
        <w:pStyle w:val="FirstParagraph"/>
      </w:pPr>
      <w:r>
        <w:t xml:space="preserve">This section details the various stages of the product lifecycle for</w:t>
      </w:r>
      <w:r>
        <w:t xml:space="preserve"> </w:t>
      </w:r>
      <w:r>
        <w:rPr>
          <w:bCs/>
          <w:b/>
        </w:rPr>
        <w:t xml:space="preserve">znogwixfvh</w:t>
      </w:r>
      <w:r>
        <w:t xml:space="preserve"> </w:t>
      </w:r>
      <w:r>
        <w:t xml:space="preserve">and outlines the data collected or assumed for emission calculations.</w:t>
      </w:r>
    </w:p>
    <w:bookmarkStart w:id="27" w:name="Xa5757ff828d0a0c3207dfc0e408b139ceaa85dc"/>
    <w:p>
      <w:pPr>
        <w:pStyle w:val="Heading3"/>
      </w:pPr>
      <w:r>
        <w:t xml:space="preserve">Detailed Bill of Materials (BOM) - Upstream (Scope 3, Category 1)</w:t>
      </w:r>
    </w:p>
    <w:p>
      <w:pPr>
        <w:pStyle w:val="FirstParagraph"/>
      </w:pPr>
      <w:r>
        <w:t xml:space="preserve">The following Bill of Materials (BOM) data, provided as</w:t>
      </w:r>
      <w:r>
        <w:t xml:space="preserve"> </w:t>
      </w:r>
      <w:r>
        <w:rPr>
          <w:bCs/>
          <w:b/>
        </w:rPr>
        <w:t xml:space="preserve">vsevivph</w:t>
      </w:r>
      <w:r>
        <w:t xml:space="preserve">, was utilized for high-accuracy material impact calculations. The \'Total Carbon\' for each item is directly incorporated into the emissions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w:t>
            </w:r>
            <w:r>
              <w:rPr>
                <w:vertAlign w:val="subscript"/>
              </w:rPr>
              <w:t xml:space="preserve">2</w:t>
            </w:r>
            <w:r>
              <w:t xml:space="preserve">e/unit)</w:t>
            </w:r>
          </w:p>
        </w:tc>
        <w:tc>
          <w:tcPr/>
          <w:p>
            <w:pPr>
              <w:pStyle w:val="Compact"/>
              <w:jc w:val="left"/>
            </w:pPr>
            <w:r>
              <w:t xml:space="preserve">Total Carbon (kgCO</w:t>
            </w:r>
            <w:r>
              <w:rPr>
                <w:vertAlign w:val="subscript"/>
              </w:rPr>
              <w:t xml:space="preserve">2</w:t>
            </w:r>
            <w:r>
              <w:t xml:space="preserve">e)</w:t>
            </w:r>
          </w:p>
        </w:tc>
      </w:tr>
      <w:tr>
        <w:tc>
          <w:tcPr/>
          <w:p>
            <w:pPr>
              <w:pStyle w:val="Compact"/>
              <w:jc w:val="left"/>
            </w:pPr>
            <w:r>
              <w:t xml:space="preserve">1</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0.045</w:t>
            </w:r>
          </w:p>
        </w:tc>
      </w:tr>
      <w:tr>
        <w:tc>
          <w:tcPr>
            <w:gridSpan w:val="7"/>
          </w:tcPr>
          <w:p>
            <w:pPr>
              <w:pStyle w:val="Compact"/>
              <w:jc w:val="right"/>
            </w:pPr>
            <w:r>
              <w:rPr>
                <w:bCs/>
                <w:b/>
              </w:rPr>
              <w:t xml:space="preserve">Total Material Carbon:</w:t>
            </w:r>
          </w:p>
        </w:tc>
        <w:tc>
          <w:tcPr/>
          <w:p>
            <w:pPr>
              <w:pStyle w:val="Compact"/>
              <w:jc w:val="left"/>
            </w:pPr>
            <w:r>
              <w:rPr>
                <w:bCs/>
                <w:b/>
              </w:rPr>
              <w:t xml:space="preserve">1.845</w:t>
            </w:r>
          </w:p>
        </w:tc>
      </w:tr>
    </w:tbl>
    <w:bookmarkEnd w:id="27"/>
    <w:bookmarkStart w:id="28" w:name="production-phase-inputs-scope-1-2"/>
    <w:p>
      <w:pPr>
        <w:pStyle w:val="Heading3"/>
      </w:pPr>
      <w:r>
        <w:t xml:space="preserve">Production Phase Inputs (Scope 1 &amp; 2)</w:t>
      </w:r>
    </w:p>
    <w:p>
      <w:pPr>
        <w:numPr>
          <w:ilvl w:val="0"/>
          <w:numId w:val="1006"/>
        </w:numPr>
        <w:pStyle w:val="Compact"/>
      </w:pPr>
      <w:r>
        <w:rPr>
          <w:bCs/>
          <w:b/>
        </w:rPr>
        <w:t xml:space="preserve">Energy Intensity (kWh/unit):</w:t>
      </w:r>
      <w:r>
        <w:t xml:space="preserve"> </w:t>
      </w:r>
      <w:r>
        <w:t xml:space="preserve">noikjijxgh (Assumed: 8 kWh/unit)</w:t>
      </w:r>
    </w:p>
    <w:p>
      <w:pPr>
        <w:numPr>
          <w:ilvl w:val="0"/>
          <w:numId w:val="1006"/>
        </w:numPr>
        <w:pStyle w:val="Compact"/>
      </w:pPr>
      <w:r>
        <w:rPr>
          <w:bCs/>
          <w:b/>
        </w:rPr>
        <w:t xml:space="preserve">Renewable Energy Usage:</w:t>
      </w:r>
      <w:r>
        <w:t xml:space="preserve"> </w:t>
      </w:r>
      <w:r>
        <w:t xml:space="preserve">vktjkvgpqw (Assumed: 70%)</w:t>
      </w:r>
    </w:p>
    <w:p>
      <w:pPr>
        <w:numPr>
          <w:ilvl w:val="0"/>
          <w:numId w:val="1006"/>
        </w:numPr>
        <w:pStyle w:val="Compact"/>
      </w:pPr>
      <w:r>
        <w:rPr>
          <w:bCs/>
          <w:b/>
        </w:rPr>
        <w:t xml:space="preserve">Non-renewable Electricity Share:</w:t>
      </w:r>
      <w:r>
        <w:t xml:space="preserve"> </w:t>
      </w:r>
      <w:r>
        <w:t xml:space="preserve">30%</w:t>
      </w:r>
    </w:p>
    <w:p>
      <w:pPr>
        <w:numPr>
          <w:ilvl w:val="0"/>
          <w:numId w:val="1006"/>
        </w:numPr>
        <w:pStyle w:val="Compact"/>
      </w:pPr>
      <w:r>
        <w:rPr>
          <w:bCs/>
          <w:b/>
        </w:rPr>
        <w:t xml:space="preserve">Electricity Grid Emission Factor (China):</w:t>
      </w:r>
      <w:r>
        <w:t xml:space="preserve"> </w:t>
      </w:r>
      <w:r>
        <w:t xml:space="preserve">0.6205 kgCO</w:t>
      </w:r>
      <w:r>
        <w:rPr>
          <w:vertAlign w:val="subscript"/>
        </w:rPr>
        <w:t xml:space="preserve">2</w:t>
      </w:r>
      <w:r>
        <w:t xml:space="preserve">e/kWh (National average for 2023)</w:t>
      </w:r>
    </w:p>
    <w:p>
      <w:pPr>
        <w:numPr>
          <w:ilvl w:val="0"/>
          <w:numId w:val="1006"/>
        </w:numPr>
        <w:pStyle w:val="Compact"/>
      </w:pPr>
      <w:r>
        <w:rPr>
          <w:bCs/>
          <w:b/>
        </w:rPr>
        <w:t xml:space="preserve">Direct Fuel Combustion (Scope 1):</w:t>
      </w:r>
      <w:r>
        <w:t xml:space="preserve"> </w:t>
      </w:r>
      <w:r>
        <w:t xml:space="preserve">Assumed negligible for direct product manufacturing within the factory gates, focusing on purchased electricity as the primary energy input.</w:t>
      </w:r>
    </w:p>
    <w:bookmarkEnd w:id="28"/>
    <w:bookmarkStart w:id="29" w:name="logistics-data-scope-3-categories-4-9"/>
    <w:p>
      <w:pPr>
        <w:pStyle w:val="Heading3"/>
      </w:pPr>
      <w:r>
        <w:t xml:space="preserve">Logistics Data (Scope 3, Categories 4 &amp; 9)</w:t>
      </w:r>
    </w:p>
    <w:p>
      <w:pPr>
        <w:numPr>
          <w:ilvl w:val="0"/>
          <w:numId w:val="1007"/>
        </w:numPr>
        <w:pStyle w:val="Compact"/>
      </w:pPr>
      <w:r>
        <w:rPr>
          <w:bCs/>
          <w:b/>
        </w:rPr>
        <w:t xml:space="preserve">Product Weight for Transport:</w:t>
      </w:r>
      <w:r>
        <w:t xml:space="preserve"> </w:t>
      </w:r>
      <w:r>
        <w:t xml:space="preserve">0.5 kg (Derived from BOM, assuming packaging weight for total transportable unit).</w:t>
      </w:r>
    </w:p>
    <w:p>
      <w:pPr>
        <w:numPr>
          <w:ilvl w:val="0"/>
          <w:numId w:val="1007"/>
        </w:numPr>
        <w:pStyle w:val="Compact"/>
      </w:pPr>
      <w:r>
        <w:rPr>
          <w:bCs/>
          <w:b/>
        </w:rPr>
        <w:t xml:space="preserve">Transport Mode (Long-Haul):</w:t>
      </w:r>
      <w:r>
        <w:t xml:space="preserve"> </w:t>
      </w:r>
      <w:r>
        <w:t xml:space="preserve">Select Mode (Assumed: Road Freight - Heavy Goods Vehicle (HGV &gt; 40t))</w:t>
      </w:r>
    </w:p>
    <w:p>
      <w:pPr>
        <w:numPr>
          <w:ilvl w:val="0"/>
          <w:numId w:val="1007"/>
        </w:numPr>
        <w:pStyle w:val="Compact"/>
      </w:pPr>
      <w:r>
        <w:rPr>
          <w:bCs/>
          <w:b/>
        </w:rPr>
        <w:t xml:space="preserve">Transport Distance (dhlhkeesft):</w:t>
      </w:r>
      <w:r>
        <w:t xml:space="preserve"> </w:t>
      </w:r>
      <w:r>
        <w:t xml:space="preserve">Assumed: 5000 km total. Divided into:</w:t>
      </w:r>
    </w:p>
    <w:p>
      <w:pPr>
        <w:numPr>
          <w:ilvl w:val="1"/>
          <w:numId w:val="1008"/>
        </w:numPr>
        <w:pStyle w:val="Compact"/>
      </w:pPr>
      <w:r>
        <w:rPr>
          <w:bCs/>
          <w:b/>
        </w:rPr>
        <w:t xml:space="preserve">Upstream (Materials):</w:t>
      </w:r>
      <w:r>
        <w:t xml:space="preserve"> </w:t>
      </w:r>
      <w:r>
        <w:t xml:space="preserve">2500 km (from Europe to China)</w:t>
      </w:r>
    </w:p>
    <w:p>
      <w:pPr>
        <w:numPr>
          <w:ilvl w:val="1"/>
          <w:numId w:val="1008"/>
        </w:numPr>
        <w:pStyle w:val="Compact"/>
      </w:pPr>
      <w:r>
        <w:rPr>
          <w:bCs/>
          <w:b/>
        </w:rPr>
        <w:t xml:space="preserve">Downstream (Finished Product):</w:t>
      </w:r>
      <w:r>
        <w:t xml:space="preserve"> </w:t>
      </w:r>
      <w:r>
        <w:t xml:space="preserve">2500 km (from China to Europe)</w:t>
      </w:r>
    </w:p>
    <w:p>
      <w:pPr>
        <w:numPr>
          <w:ilvl w:val="0"/>
          <w:numId w:val="1007"/>
        </w:numPr>
        <w:pStyle w:val="Compact"/>
      </w:pPr>
      <w:r>
        <w:rPr>
          <w:bCs/>
          <w:b/>
        </w:rPr>
        <w:t xml:space="preserve">Last-Mile Delivery Channel:</w:t>
      </w:r>
      <w:r>
        <w:t xml:space="preserve"> </w:t>
      </w:r>
      <w:r>
        <w:t xml:space="preserve">Delivery Type (Assumed: Parcel Van)</w:t>
      </w:r>
    </w:p>
    <w:p>
      <w:pPr>
        <w:numPr>
          <w:ilvl w:val="0"/>
          <w:numId w:val="1007"/>
        </w:numPr>
        <w:pStyle w:val="Compact"/>
      </w:pPr>
      <w:r>
        <w:rPr>
          <w:bCs/>
          <w:b/>
        </w:rPr>
        <w:t xml:space="preserve">Road Freight Emission Factor (HGV):</w:t>
      </w:r>
      <w:r>
        <w:t xml:space="preserve"> </w:t>
      </w:r>
      <w:r>
        <w:t xml:space="preserve">0.1 kgCO</w:t>
      </w:r>
      <w:r>
        <w:rPr>
          <w:vertAlign w:val="subscript"/>
        </w:rPr>
        <w:t xml:space="preserve">2</w:t>
      </w:r>
      <w:r>
        <w:t xml:space="preserve">e/tkm</w:t>
      </w:r>
    </w:p>
    <w:p>
      <w:pPr>
        <w:numPr>
          <w:ilvl w:val="0"/>
          <w:numId w:val="1007"/>
        </w:numPr>
        <w:pStyle w:val="Compact"/>
      </w:pPr>
      <w:r>
        <w:rPr>
          <w:bCs/>
          <w:b/>
        </w:rPr>
        <w:t xml:space="preserve">Last-Mile Delivery Emission Factor (Parcel Van):</w:t>
      </w:r>
      <w:r>
        <w:t xml:space="preserve"> </w:t>
      </w:r>
      <w:r>
        <w:t xml:space="preserve">0.6 kgCO</w:t>
      </w:r>
      <w:r>
        <w:rPr>
          <w:vertAlign w:val="subscript"/>
        </w:rPr>
        <w:t xml:space="preserve">2</w:t>
      </w:r>
      <w:r>
        <w:t xml:space="preserve">e/package</w:t>
      </w:r>
    </w:p>
    <w:bookmarkEnd w:id="29"/>
    <w:bookmarkStart w:id="30" w:name="use-phase-data-scope-3-category-11"/>
    <w:p>
      <w:pPr>
        <w:pStyle w:val="Heading3"/>
      </w:pPr>
      <w:r>
        <w:t xml:space="preserve">Use Phase Data (Scope 3, Category 11)</w:t>
      </w:r>
    </w:p>
    <w:p>
      <w:pPr>
        <w:numPr>
          <w:ilvl w:val="0"/>
          <w:numId w:val="1009"/>
        </w:numPr>
        <w:pStyle w:val="Compact"/>
      </w:pPr>
      <w:r>
        <w:rPr>
          <w:bCs/>
          <w:b/>
        </w:rPr>
        <w:t xml:space="preserve">Product Lifespan:</w:t>
      </w:r>
      <w:r>
        <w:t xml:space="preserve"> </w:t>
      </w:r>
      <w:r>
        <w:t xml:space="preserve">ixxwkgwepn (Assumed: 5 years)</w:t>
      </w:r>
    </w:p>
    <w:p>
      <w:pPr>
        <w:numPr>
          <w:ilvl w:val="0"/>
          <w:numId w:val="1009"/>
        </w:numPr>
        <w:pStyle w:val="Compact"/>
      </w:pPr>
      <w:r>
        <w:rPr>
          <w:bCs/>
          <w:b/>
        </w:rPr>
        <w:t xml:space="preserve">Energy Consumption in Use:</w:t>
      </w:r>
      <w:r>
        <w:t xml:space="preserve"> </w:t>
      </w:r>
      <w:r>
        <w:t xml:space="preserve">fdtfmmwhhu (Assumed: 15 kWh/year)</w:t>
      </w:r>
    </w:p>
    <w:p>
      <w:pPr>
        <w:numPr>
          <w:ilvl w:val="0"/>
          <w:numId w:val="1009"/>
        </w:numPr>
        <w:pStyle w:val="Compact"/>
      </w:pPr>
      <w:r>
        <w:rPr>
          <w:bCs/>
          <w:b/>
        </w:rPr>
        <w:t xml:space="preserve">Electricity Grid Emission Factor (User Region - Europe):</w:t>
      </w:r>
      <w:r>
        <w:t xml:space="preserve"> </w:t>
      </w:r>
      <w:r>
        <w:t xml:space="preserve">0.25 kgCO</w:t>
      </w:r>
      <w:r>
        <w:rPr>
          <w:vertAlign w:val="subscript"/>
        </w:rPr>
        <w:t xml:space="preserve">2</w:t>
      </w:r>
      <w:r>
        <w:t xml:space="preserve">e/kWh (Assumed average for typical European grid mix, as the supply chain focus is Europe).</w:t>
      </w:r>
    </w:p>
    <w:bookmarkEnd w:id="30"/>
    <w:bookmarkStart w:id="31" w:name="X3261202975bfccb1283f2bd5fabef2dfdbe9c90"/>
    <w:p>
      <w:pPr>
        <w:pStyle w:val="Heading3"/>
      </w:pPr>
      <w:r>
        <w:t xml:space="preserve">End-of-Life (EoL) Scenarios (Scope 3, Category 12)</w:t>
      </w:r>
    </w:p>
    <w:p>
      <w:pPr>
        <w:numPr>
          <w:ilvl w:val="0"/>
          <w:numId w:val="1010"/>
        </w:numPr>
        <w:pStyle w:val="Compact"/>
      </w:pPr>
      <w:r>
        <w:rPr>
          <w:bCs/>
          <w:b/>
        </w:rPr>
        <w:t xml:space="preserve">Recyclability Percentage:</w:t>
      </w:r>
      <w:r>
        <w:t xml:space="preserve"> </w:t>
      </w:r>
      <w:r>
        <w:t xml:space="preserve">soxsolspfl (Assumed: 80%)</w:t>
      </w:r>
    </w:p>
    <w:p>
      <w:pPr>
        <w:numPr>
          <w:ilvl w:val="0"/>
          <w:numId w:val="1010"/>
        </w:numPr>
        <w:pStyle w:val="Compact"/>
      </w:pPr>
      <w:r>
        <w:rPr>
          <w:bCs/>
          <w:b/>
        </w:rPr>
        <w:t xml:space="preserve">Circular/Take-back Programs:</w:t>
      </w:r>
      <w:r>
        <w:t xml:space="preserve"> </w:t>
      </w:r>
      <w:r>
        <w:t xml:space="preserve">dtlxpuitzt (Assumed: Established take-back scheme with mechanical recycling infrastructure).</w:t>
      </w:r>
    </w:p>
    <w:p>
      <w:pPr>
        <w:numPr>
          <w:ilvl w:val="0"/>
          <w:numId w:val="1010"/>
        </w:numPr>
        <w:pStyle w:val="Compact"/>
      </w:pPr>
      <w:r>
        <w:rPr>
          <w:bCs/>
          <w:b/>
        </w:rPr>
        <w:t xml:space="preserve">Disposal Emission Factor (Non-recycled):</w:t>
      </w:r>
      <w:r>
        <w:t xml:space="preserve"> </w:t>
      </w:r>
      <w:r>
        <w:t xml:space="preserve">0.1 kgCO</w:t>
      </w:r>
      <w:r>
        <w:rPr>
          <w:vertAlign w:val="subscript"/>
        </w:rPr>
        <w:t xml:space="preserve">2</w:t>
      </w:r>
      <w:r>
        <w:t xml:space="preserve">e/kg (Assumed for landfill/incineration of mixed waste).</w:t>
      </w:r>
    </w:p>
    <w:p>
      <w:pPr>
        <w:numPr>
          <w:ilvl w:val="0"/>
          <w:numId w:val="1010"/>
        </w:numPr>
        <w:pStyle w:val="Compact"/>
      </w:pPr>
      <w:r>
        <w:rPr>
          <w:bCs/>
          <w:b/>
        </w:rPr>
        <w:t xml:space="preserve">Avoided Emissions from Recycling:</w:t>
      </w:r>
      <w:r>
        <w:t xml:space="preserve"> </w:t>
      </w:r>
      <w:r>
        <w:t xml:space="preserve">An average of 2 kgCO</w:t>
      </w:r>
      <w:r>
        <w:rPr>
          <w:vertAlign w:val="subscript"/>
        </w:rPr>
        <w:t xml:space="preserve">2</w:t>
      </w:r>
      <w:r>
        <w:t xml:space="preserve">e/kg is assumed for the recycled portion, based on common benefits of recycling metals and plastics.</w:t>
      </w:r>
    </w:p>
    <w:p>
      <w:r>
        <w:pict>
          <v:rect style="width:0;height:1.5pt" o:hralign="center" o:hrstd="t" o:hr="t"/>
        </w:pict>
      </w:r>
    </w:p>
    <w:bookmarkEnd w:id="31"/>
    <w:bookmarkEnd w:id="32"/>
    <w:bookmarkStart w:id="43" w:name="X439a6e6dcb43c636bf515ffaf3f59bce0bd6490"/>
    <w:p>
      <w:pPr>
        <w:pStyle w:val="Heading2"/>
      </w:pPr>
      <w:r>
        <w:t xml:space="preserve">4. Emission Calculation (Activity * Emission Factor = CO</w:t>
      </w:r>
      <w:r>
        <w:rPr>
          <w:vertAlign w:val="subscript"/>
        </w:rPr>
        <w:t xml:space="preserve">2</w:t>
      </w:r>
      <w:r>
        <w:t xml:space="preserve">e)</w:t>
      </w:r>
    </w:p>
    <w:p>
      <w:pPr>
        <w:pStyle w:val="FirstParagraph"/>
      </w:pPr>
      <w:r>
        <w:t xml:space="preserve">Emissions are calculated for each lifecycle stage and categorized according to the GHG Protocol. All calculations are in kilograms of carbon dioxide equivalent (kgCO</w:t>
      </w:r>
      <w:r>
        <w:rPr>
          <w:vertAlign w:val="subscript"/>
        </w:rPr>
        <w:t xml:space="preserve">2</w:t>
      </w:r>
      <w:r>
        <w:t xml:space="preserve">e).</w:t>
      </w:r>
    </w:p>
    <w:bookmarkStart w:id="33" w:name="Xa5e05c0e793b2e3b8927cb1b228e81f97f2094b"/>
    <w:p>
      <w:pPr>
        <w:pStyle w:val="Heading3"/>
      </w:pPr>
      <w:r>
        <w:t xml:space="preserve">Scope 1 Emissions (Direct Emissions from Owned or Controlled Sources)</w:t>
      </w:r>
    </w:p>
    <w:p>
      <w:pPr>
        <w:numPr>
          <w:ilvl w:val="0"/>
          <w:numId w:val="1011"/>
        </w:numPr>
        <w:pStyle w:val="Compact"/>
      </w:pPr>
      <w:r>
        <w:rPr>
          <w:bCs/>
          <w:b/>
        </w:rPr>
        <w:t xml:space="preserve">Assumption:</w:t>
      </w:r>
      <w:r>
        <w:t xml:space="preserve"> </w:t>
      </w:r>
      <w:r>
        <w:t xml:space="preserve">Based on the provided parameters and a typical product manufacturing process, direct fuel combustion on-site is assumed to be minimal or zero for the product-specific footprint. Any significant Scope 1 emissions would typically relate to broader company operations, not solely the product unit itself.</w:t>
      </w:r>
    </w:p>
    <w:p>
      <w:pPr>
        <w:numPr>
          <w:ilvl w:val="0"/>
          <w:numId w:val="1011"/>
        </w:numPr>
        <w:pStyle w:val="Compact"/>
      </w:pPr>
      <w:r>
        <w:rPr>
          <w:bCs/>
          <w:b/>
        </w:rPr>
        <w:t xml:space="preserve">Total Scope 1 Emissions: 0.00 kgCO</w:t>
      </w:r>
      <w:r>
        <w:rPr>
          <w:vertAlign w:val="subscript"/>
          <w:bCs/>
          <w:b/>
        </w:rPr>
        <w:t xml:space="preserve">2</w:t>
      </w:r>
      <w:r>
        <w:rPr>
          <w:bCs/>
          <w:b/>
        </w:rPr>
        <w:t xml:space="preserve">e</w:t>
      </w:r>
    </w:p>
    <w:bookmarkEnd w:id="33"/>
    <w:bookmarkStart w:id="34" w:name="X1bd5ed5ba51603fe7fc5fd46de6dc3081dfffbb"/>
    <w:p>
      <w:pPr>
        <w:pStyle w:val="Heading3"/>
      </w:pPr>
      <w:r>
        <w:t xml:space="preserve">Scope 2 Emissions (Indirect Emissions from Purchased Energy)</w:t>
      </w:r>
    </w:p>
    <w:p>
      <w:pPr>
        <w:numPr>
          <w:ilvl w:val="0"/>
          <w:numId w:val="1012"/>
        </w:numPr>
        <w:pStyle w:val="Compact"/>
      </w:pPr>
      <w:r>
        <w:rPr>
          <w:bCs/>
          <w:b/>
        </w:rPr>
        <w:t xml:space="preserve">Purchased Electricity for Production:</w:t>
      </w:r>
    </w:p>
    <w:p>
      <w:pPr>
        <w:numPr>
          <w:ilvl w:val="1"/>
          <w:numId w:val="1013"/>
        </w:numPr>
        <w:pStyle w:val="Compact"/>
      </w:pPr>
      <w:r>
        <w:t xml:space="preserve">Energy Intensity: 8 kWh/unit</w:t>
      </w:r>
    </w:p>
    <w:p>
      <w:pPr>
        <w:numPr>
          <w:ilvl w:val="1"/>
          <w:numId w:val="1013"/>
        </w:numPr>
        <w:pStyle w:val="Compact"/>
      </w:pPr>
      <w:r>
        <w:t xml:space="preserve">Non-renewable Share: 100% - 70% (vktjkvgpqw) = 30%</w:t>
      </w:r>
    </w:p>
    <w:p>
      <w:pPr>
        <w:numPr>
          <w:ilvl w:val="1"/>
          <w:numId w:val="1013"/>
        </w:numPr>
        <w:pStyle w:val="Compact"/>
      </w:pPr>
      <w:r>
        <w:t xml:space="preserve">Non-renewable Electricity Used: 8 kWh/unit * 0.30 = 2.4 kWh/unit</w:t>
      </w:r>
    </w:p>
    <w:p>
      <w:pPr>
        <w:numPr>
          <w:ilvl w:val="1"/>
          <w:numId w:val="1013"/>
        </w:numPr>
        <w:pStyle w:val="Compact"/>
      </w:pPr>
      <w:r>
        <w:t xml:space="preserve">China Grid Emission Factor: 0.6205 kgCO</w:t>
      </w:r>
      <w:r>
        <w:rPr>
          <w:vertAlign w:val="subscript"/>
        </w:rPr>
        <w:t xml:space="preserve">2</w:t>
      </w:r>
      <w:r>
        <w:t xml:space="preserve">e/kWh</w:t>
      </w:r>
    </w:p>
    <w:p>
      <w:pPr>
        <w:numPr>
          <w:ilvl w:val="1"/>
          <w:numId w:val="1013"/>
        </w:numPr>
        <w:pStyle w:val="Compact"/>
      </w:pPr>
      <w:r>
        <w:t xml:space="preserve">Emissions: 2.4 kWh/unit * 0.6205 kgCO</w:t>
      </w:r>
      <w:r>
        <w:rPr>
          <w:vertAlign w:val="subscript"/>
        </w:rPr>
        <w:t xml:space="preserve">2</w:t>
      </w:r>
      <w:r>
        <w:t xml:space="preserve">e/kWh = 1.4892 kgCO</w:t>
      </w:r>
      <w:r>
        <w:rPr>
          <w:vertAlign w:val="subscript"/>
        </w:rPr>
        <w:t xml:space="preserve">2</w:t>
      </w:r>
      <w:r>
        <w:t xml:space="preserve">e</w:t>
      </w:r>
    </w:p>
    <w:p>
      <w:pPr>
        <w:numPr>
          <w:ilvl w:val="0"/>
          <w:numId w:val="1012"/>
        </w:numPr>
        <w:pStyle w:val="Compact"/>
      </w:pPr>
      <w:r>
        <w:rPr>
          <w:bCs/>
          <w:b/>
        </w:rPr>
        <w:t xml:space="preserve">Total Scope 2 Emissions: 1.49 kgCO</w:t>
      </w:r>
      <w:r>
        <w:rPr>
          <w:vertAlign w:val="subscript"/>
          <w:bCs/>
          <w:b/>
        </w:rPr>
        <w:t xml:space="preserve">2</w:t>
      </w:r>
      <w:r>
        <w:rPr>
          <w:bCs/>
          <w:b/>
        </w:rPr>
        <w:t xml:space="preserve">e</w:t>
      </w:r>
    </w:p>
    <w:bookmarkEnd w:id="34"/>
    <w:bookmarkStart w:id="40" w:name="X63db962e2fb7e75cee578b930259ee36b4fd88b"/>
    <w:p>
      <w:pPr>
        <w:pStyle w:val="Heading3"/>
      </w:pPr>
      <w:r>
        <w:t xml:space="preserve">Scope 3 Emissions (Other Indirect Emissions from the Value Chain)</w:t>
      </w:r>
    </w:p>
    <w:p>
      <w:pPr>
        <w:pStyle w:val="FirstParagraph"/>
      </w:pPr>
      <w:r>
        <w:t xml:space="preserve">The GHG Protocol Scope 3 categories are critical for a comprehensive PCF, and efforts have been made to achieve at least 95% coverage as per 2026 requirements.</w:t>
      </w:r>
    </w:p>
    <w:bookmarkStart w:id="35" w:name="Xab9729a0caae076ca89f2f71668734f92723cf2"/>
    <w:p>
      <w:pPr>
        <w:pStyle w:val="Heading4"/>
      </w:pPr>
      <w:r>
        <w:t xml:space="preserve">Category 1: Purchased Goods and Services (Materials)</w:t>
      </w:r>
    </w:p>
    <w:p>
      <w:pPr>
        <w:numPr>
          <w:ilvl w:val="0"/>
          <w:numId w:val="1014"/>
        </w:numPr>
        <w:pStyle w:val="Compact"/>
      </w:pPr>
      <w:r>
        <w:t xml:space="preserve">Emissions from raw material acquisition and pre-processing, based on the provided BOM.</w:t>
      </w:r>
    </w:p>
    <w:p>
      <w:pPr>
        <w:numPr>
          <w:ilvl w:val="0"/>
          <w:numId w:val="1014"/>
        </w:numPr>
        <w:pStyle w:val="Compact"/>
      </w:pPr>
      <w:r>
        <w:rPr>
          <w:bCs/>
          <w:b/>
        </w:rPr>
        <w:t xml:space="preserve">Total Emissions: 1.85 kgCO</w:t>
      </w:r>
      <w:r>
        <w:rPr>
          <w:vertAlign w:val="subscript"/>
          <w:bCs/>
          <w:b/>
        </w:rPr>
        <w:t xml:space="preserve">2</w:t>
      </w:r>
      <w:r>
        <w:rPr>
          <w:bCs/>
          <w:b/>
        </w:rPr>
        <w:t xml:space="preserve">e</w:t>
      </w:r>
      <w:r>
        <w:t xml:space="preserve"> </w:t>
      </w:r>
      <w:r>
        <w:t xml:space="preserve">(Sum of \'Total Carbon\' from BOM table)</w:t>
      </w:r>
    </w:p>
    <w:bookmarkEnd w:id="35"/>
    <w:bookmarkStart w:id="36" w:name="X6669a43143349c25ec93e775eebde43de53a73c"/>
    <w:p>
      <w:pPr>
        <w:pStyle w:val="Heading4"/>
      </w:pPr>
      <w:r>
        <w:t xml:space="preserve">Category 4: Upstream Transportation and Distribution</w:t>
      </w:r>
    </w:p>
    <w:p>
      <w:pPr>
        <w:numPr>
          <w:ilvl w:val="0"/>
          <w:numId w:val="1015"/>
        </w:numPr>
        <w:pStyle w:val="Compact"/>
      </w:pPr>
      <w:r>
        <w:t xml:space="preserve">Transportation of raw materials/components from suppliers (Europe) to the manufacturing facility (China).</w:t>
      </w:r>
    </w:p>
    <w:p>
      <w:pPr>
        <w:numPr>
          <w:ilvl w:val="0"/>
          <w:numId w:val="1015"/>
        </w:numPr>
        <w:pStyle w:val="Compact"/>
      </w:pPr>
      <w:r>
        <w:t xml:space="preserve">Product Weight: 0.5 kg (0.0005 tonnes)</w:t>
      </w:r>
    </w:p>
    <w:p>
      <w:pPr>
        <w:numPr>
          <w:ilvl w:val="0"/>
          <w:numId w:val="1015"/>
        </w:numPr>
        <w:pStyle w:val="Compact"/>
      </w:pPr>
      <w:r>
        <w:t xml:space="preserve">Transport Distance (Upstream): 2500 km</w:t>
      </w:r>
    </w:p>
    <w:p>
      <w:pPr>
        <w:numPr>
          <w:ilvl w:val="0"/>
          <w:numId w:val="1015"/>
        </w:numPr>
        <w:pStyle w:val="Compact"/>
      </w:pPr>
      <w:r>
        <w:t xml:space="preserve">Tonne-Kilometers (tkm): 0.0005 tonnes * 2500 km = 1.25 tkm</w:t>
      </w:r>
    </w:p>
    <w:p>
      <w:pPr>
        <w:numPr>
          <w:ilvl w:val="0"/>
          <w:numId w:val="1015"/>
        </w:numPr>
        <w:pStyle w:val="Compact"/>
      </w:pPr>
      <w:r>
        <w:t xml:space="preserve">Road Freight Emission Factor: 0.1 kgCO</w:t>
      </w:r>
      <w:r>
        <w:rPr>
          <w:vertAlign w:val="subscript"/>
        </w:rPr>
        <w:t xml:space="preserve">2</w:t>
      </w:r>
      <w:r>
        <w:t xml:space="preserve">e/tkm</w:t>
      </w:r>
    </w:p>
    <w:p>
      <w:pPr>
        <w:numPr>
          <w:ilvl w:val="0"/>
          <w:numId w:val="1015"/>
        </w:numPr>
        <w:pStyle w:val="Compact"/>
      </w:pPr>
      <w:r>
        <w:t xml:space="preserve">Emissions: 1.25 tkm * 0.1 kgCO</w:t>
      </w:r>
      <w:r>
        <w:rPr>
          <w:vertAlign w:val="subscript"/>
        </w:rPr>
        <w:t xml:space="preserve">2</w:t>
      </w:r>
      <w:r>
        <w:t xml:space="preserve">e/tkm = 0.125 kgCO</w:t>
      </w:r>
      <w:r>
        <w:rPr>
          <w:vertAlign w:val="subscript"/>
        </w:rPr>
        <w:t xml:space="preserve">2</w:t>
      </w:r>
      <w:r>
        <w:t xml:space="preserve">e</w:t>
      </w:r>
    </w:p>
    <w:p>
      <w:pPr>
        <w:numPr>
          <w:ilvl w:val="0"/>
          <w:numId w:val="1015"/>
        </w:numPr>
        <w:pStyle w:val="Compact"/>
      </w:pPr>
      <w:r>
        <w:rPr>
          <w:bCs/>
          <w:b/>
        </w:rPr>
        <w:t xml:space="preserve">Total Emissions: 0.13 kgCO</w:t>
      </w:r>
      <w:r>
        <w:rPr>
          <w:vertAlign w:val="subscript"/>
          <w:bCs/>
          <w:b/>
        </w:rPr>
        <w:t xml:space="preserve">2</w:t>
      </w:r>
      <w:r>
        <w:rPr>
          <w:bCs/>
          <w:b/>
        </w:rPr>
        <w:t xml:space="preserve">e</w:t>
      </w:r>
    </w:p>
    <w:bookmarkEnd w:id="36"/>
    <w:bookmarkStart w:id="37" w:name="X25a0837e2ca53a982bfb6f58a50970139f4f25f"/>
    <w:p>
      <w:pPr>
        <w:pStyle w:val="Heading4"/>
      </w:pPr>
      <w:r>
        <w:t xml:space="preserve">Category 9: Downstream Transportation and Distribution</w:t>
      </w:r>
    </w:p>
    <w:p>
      <w:pPr>
        <w:numPr>
          <w:ilvl w:val="0"/>
          <w:numId w:val="1016"/>
        </w:numPr>
        <w:pStyle w:val="Compact"/>
      </w:pPr>
      <w:r>
        <w:t xml:space="preserve">Transportation of the finished product from the manufacturing facility (China) to the consumer market (Europe), including last-mile delivery.</w:t>
      </w:r>
    </w:p>
    <w:p>
      <w:pPr>
        <w:numPr>
          <w:ilvl w:val="0"/>
          <w:numId w:val="1016"/>
        </w:numPr>
        <w:pStyle w:val="Compact"/>
      </w:pPr>
      <w:r>
        <w:rPr>
          <w:bCs/>
          <w:b/>
        </w:rPr>
        <w:t xml:space="preserve">Long-Haul Transport:</w:t>
      </w:r>
    </w:p>
    <w:p>
      <w:pPr>
        <w:numPr>
          <w:ilvl w:val="1"/>
          <w:numId w:val="1017"/>
        </w:numPr>
        <w:pStyle w:val="Compact"/>
      </w:pPr>
      <w:r>
        <w:t xml:space="preserve">Product Weight: 0.5 kg (0.0005 tonnes)</w:t>
      </w:r>
    </w:p>
    <w:p>
      <w:pPr>
        <w:numPr>
          <w:ilvl w:val="1"/>
          <w:numId w:val="1017"/>
        </w:numPr>
        <w:pStyle w:val="Compact"/>
      </w:pPr>
      <w:r>
        <w:t xml:space="preserve">Transport Distance (Downstream): 2500 km</w:t>
      </w:r>
    </w:p>
    <w:p>
      <w:pPr>
        <w:numPr>
          <w:ilvl w:val="1"/>
          <w:numId w:val="1017"/>
        </w:numPr>
        <w:pStyle w:val="Compact"/>
      </w:pPr>
      <w:r>
        <w:t xml:space="preserve">Tonne-Kilometers (tkm): 0.0005 tonnes * 2500 km = 1.25 tkm</w:t>
      </w:r>
    </w:p>
    <w:p>
      <w:pPr>
        <w:numPr>
          <w:ilvl w:val="1"/>
          <w:numId w:val="1017"/>
        </w:numPr>
        <w:pStyle w:val="Compact"/>
      </w:pPr>
      <w:r>
        <w:t xml:space="preserve">Road Freight Emission Factor: 0.1 kgCO</w:t>
      </w:r>
      <w:r>
        <w:rPr>
          <w:vertAlign w:val="subscript"/>
        </w:rPr>
        <w:t xml:space="preserve">2</w:t>
      </w:r>
      <w:r>
        <w:t xml:space="preserve">e/tkm</w:t>
      </w:r>
    </w:p>
    <w:p>
      <w:pPr>
        <w:numPr>
          <w:ilvl w:val="1"/>
          <w:numId w:val="1017"/>
        </w:numPr>
        <w:pStyle w:val="Compact"/>
      </w:pPr>
      <w:r>
        <w:t xml:space="preserve">Emissions: 1.25 tkm * 0.1 kgCO</w:t>
      </w:r>
      <w:r>
        <w:rPr>
          <w:vertAlign w:val="subscript"/>
        </w:rPr>
        <w:t xml:space="preserve">2</w:t>
      </w:r>
      <w:r>
        <w:t xml:space="preserve">e/tkm = 0.125 kgCO</w:t>
      </w:r>
      <w:r>
        <w:rPr>
          <w:vertAlign w:val="subscript"/>
        </w:rPr>
        <w:t xml:space="preserve">2</w:t>
      </w:r>
      <w:r>
        <w:t xml:space="preserve">e</w:t>
      </w:r>
    </w:p>
    <w:p>
      <w:pPr>
        <w:numPr>
          <w:ilvl w:val="0"/>
          <w:numId w:val="1016"/>
        </w:numPr>
        <w:pStyle w:val="Compact"/>
      </w:pPr>
      <w:r>
        <w:rPr>
          <w:bCs/>
          <w:b/>
        </w:rPr>
        <w:t xml:space="preserve">Last-Mile Delivery:</w:t>
      </w:r>
    </w:p>
    <w:p>
      <w:pPr>
        <w:numPr>
          <w:ilvl w:val="1"/>
          <w:numId w:val="1018"/>
        </w:numPr>
        <w:pStyle w:val="Compact"/>
      </w:pPr>
      <w:r>
        <w:t xml:space="preserve">Delivery Channel: Parcel Van</w:t>
      </w:r>
    </w:p>
    <w:p>
      <w:pPr>
        <w:numPr>
          <w:ilvl w:val="1"/>
          <w:numId w:val="1018"/>
        </w:numPr>
        <w:pStyle w:val="Compact"/>
      </w:pPr>
      <w:r>
        <w:t xml:space="preserve">Emission Factor: 0.6 kgCO</w:t>
      </w:r>
      <w:r>
        <w:rPr>
          <w:vertAlign w:val="subscript"/>
        </w:rPr>
        <w:t xml:space="preserve">2</w:t>
      </w:r>
      <w:r>
        <w:t xml:space="preserve">e/package</w:t>
      </w:r>
    </w:p>
    <w:p>
      <w:pPr>
        <w:numPr>
          <w:ilvl w:val="1"/>
          <w:numId w:val="1018"/>
        </w:numPr>
        <w:pStyle w:val="Compact"/>
      </w:pPr>
      <w:r>
        <w:t xml:space="preserve">Emissions: 0.6 kgCO</w:t>
      </w:r>
      <w:r>
        <w:rPr>
          <w:vertAlign w:val="subscript"/>
        </w:rPr>
        <w:t xml:space="preserve">2</w:t>
      </w:r>
      <w:r>
        <w:t xml:space="preserve">e</w:t>
      </w:r>
    </w:p>
    <w:p>
      <w:pPr>
        <w:numPr>
          <w:ilvl w:val="0"/>
          <w:numId w:val="1016"/>
        </w:numPr>
        <w:pStyle w:val="Compact"/>
      </w:pPr>
      <w:r>
        <w:rPr>
          <w:bCs/>
          <w:b/>
        </w:rPr>
        <w:t xml:space="preserve">Total Emissions: 0.125 + 0.60 = 0.73 kgCO</w:t>
      </w:r>
      <w:r>
        <w:rPr>
          <w:vertAlign w:val="subscript"/>
          <w:bCs/>
          <w:b/>
        </w:rPr>
        <w:t xml:space="preserve">2</w:t>
      </w:r>
      <w:r>
        <w:rPr>
          <w:bCs/>
          <w:b/>
        </w:rPr>
        <w:t xml:space="preserve">e</w:t>
      </w:r>
    </w:p>
    <w:bookmarkEnd w:id="37"/>
    <w:bookmarkStart w:id="38" w:name="category-11-use-of-sold-products"/>
    <w:p>
      <w:pPr>
        <w:pStyle w:val="Heading4"/>
      </w:pPr>
      <w:r>
        <w:t xml:space="preserve">Category 11: Use of Sold Products</w:t>
      </w:r>
    </w:p>
    <w:p>
      <w:pPr>
        <w:numPr>
          <w:ilvl w:val="0"/>
          <w:numId w:val="1019"/>
        </w:numPr>
        <w:pStyle w:val="Compact"/>
      </w:pPr>
      <w:r>
        <w:t xml:space="preserve">Emissions from the energy consumed during the product\'s operational lifespan.</w:t>
      </w:r>
    </w:p>
    <w:p>
      <w:pPr>
        <w:numPr>
          <w:ilvl w:val="0"/>
          <w:numId w:val="1019"/>
        </w:numPr>
        <w:pStyle w:val="Compact"/>
      </w:pPr>
      <w:r>
        <w:t xml:space="preserve">Product Lifespan: 5 years</w:t>
      </w:r>
    </w:p>
    <w:p>
      <w:pPr>
        <w:numPr>
          <w:ilvl w:val="0"/>
          <w:numId w:val="1019"/>
        </w:numPr>
        <w:pStyle w:val="Compact"/>
      </w:pPr>
      <w:r>
        <w:t xml:space="preserve">Energy Consumption in Use: 15 kWh/year</w:t>
      </w:r>
    </w:p>
    <w:p>
      <w:pPr>
        <w:numPr>
          <w:ilvl w:val="0"/>
          <w:numId w:val="1019"/>
        </w:numPr>
        <w:pStyle w:val="Compact"/>
      </w:pPr>
      <w:r>
        <w:t xml:space="preserve">Total Energy Consumed: 15 kWh/year * 5 years = 75 kWh</w:t>
      </w:r>
    </w:p>
    <w:p>
      <w:pPr>
        <w:numPr>
          <w:ilvl w:val="0"/>
          <w:numId w:val="1019"/>
        </w:numPr>
        <w:pStyle w:val="Compact"/>
      </w:pPr>
      <w:r>
        <w:t xml:space="preserve">European Grid Emission Factor (Assumed): 0.25 kgCO</w:t>
      </w:r>
      <w:r>
        <w:rPr>
          <w:vertAlign w:val="subscript"/>
        </w:rPr>
        <w:t xml:space="preserve">2</w:t>
      </w:r>
      <w:r>
        <w:t xml:space="preserve">e/kWh</w:t>
      </w:r>
    </w:p>
    <w:p>
      <w:pPr>
        <w:numPr>
          <w:ilvl w:val="0"/>
          <w:numId w:val="1019"/>
        </w:numPr>
        <w:pStyle w:val="Compact"/>
      </w:pPr>
      <w:r>
        <w:t xml:space="preserve">Emissions: 75 kWh * 0.25 kgCO</w:t>
      </w:r>
      <w:r>
        <w:rPr>
          <w:vertAlign w:val="subscript"/>
        </w:rPr>
        <w:t xml:space="preserve">2</w:t>
      </w:r>
      <w:r>
        <w:t xml:space="preserve">e/kWh = 18.75 kgCO</w:t>
      </w:r>
      <w:r>
        <w:rPr>
          <w:vertAlign w:val="subscript"/>
        </w:rPr>
        <w:t xml:space="preserve">2</w:t>
      </w:r>
      <w:r>
        <w:t xml:space="preserve">e</w:t>
      </w:r>
    </w:p>
    <w:p>
      <w:pPr>
        <w:numPr>
          <w:ilvl w:val="0"/>
          <w:numId w:val="1019"/>
        </w:numPr>
        <w:pStyle w:val="Compact"/>
      </w:pPr>
      <w:r>
        <w:rPr>
          <w:bCs/>
          <w:b/>
        </w:rPr>
        <w:t xml:space="preserve">Total Emissions: 18.75 kgCO</w:t>
      </w:r>
      <w:r>
        <w:rPr>
          <w:vertAlign w:val="subscript"/>
          <w:bCs/>
          <w:b/>
        </w:rPr>
        <w:t xml:space="preserve">2</w:t>
      </w:r>
      <w:r>
        <w:rPr>
          <w:bCs/>
          <w:b/>
        </w:rPr>
        <w:t xml:space="preserve">e</w:t>
      </w:r>
    </w:p>
    <w:bookmarkEnd w:id="38"/>
    <w:bookmarkStart w:id="39" w:name="X9f66eef2700632e081dfe139021cb724ffcd2c5"/>
    <w:p>
      <w:pPr>
        <w:pStyle w:val="Heading4"/>
      </w:pPr>
      <w:r>
        <w:t xml:space="preserve">Category 12: End-of-Life Treatment of Sold Products</w:t>
      </w:r>
    </w:p>
    <w:p>
      <w:pPr>
        <w:numPr>
          <w:ilvl w:val="0"/>
          <w:numId w:val="1020"/>
        </w:numPr>
        <w:pStyle w:val="Compact"/>
      </w:pPr>
      <w:r>
        <w:t xml:space="preserve">Emissions associated with disposal and benefits from recycling at the product\'s end-of-life.</w:t>
      </w:r>
    </w:p>
    <w:p>
      <w:pPr>
        <w:numPr>
          <w:ilvl w:val="0"/>
          <w:numId w:val="1020"/>
        </w:numPr>
        <w:pStyle w:val="Compact"/>
      </w:pPr>
      <w:r>
        <w:t xml:space="preserve">Product Weight: 0.5 kg</w:t>
      </w:r>
    </w:p>
    <w:p>
      <w:pPr>
        <w:numPr>
          <w:ilvl w:val="0"/>
          <w:numId w:val="1020"/>
        </w:numPr>
        <w:pStyle w:val="Compact"/>
      </w:pPr>
      <w:r>
        <w:t xml:space="preserve">Recyclability Percentage: 80% (soxsolspfl)</w:t>
      </w:r>
    </w:p>
    <w:p>
      <w:pPr>
        <w:numPr>
          <w:ilvl w:val="0"/>
          <w:numId w:val="1020"/>
        </w:numPr>
        <w:pStyle w:val="Compact"/>
      </w:pPr>
      <w:r>
        <w:rPr>
          <w:bCs/>
          <w:b/>
        </w:rPr>
        <w:t xml:space="preserve">Disposal Emissions (for non-recycled portion):</w:t>
      </w:r>
    </w:p>
    <w:p>
      <w:pPr>
        <w:numPr>
          <w:ilvl w:val="1"/>
          <w:numId w:val="1021"/>
        </w:numPr>
        <w:pStyle w:val="Compact"/>
      </w:pPr>
      <w:r>
        <w:t xml:space="preserve">Non-recycled Weight: 0.5 kg * (1 - 0.80) = 0.1 kg</w:t>
      </w:r>
    </w:p>
    <w:p>
      <w:pPr>
        <w:numPr>
          <w:ilvl w:val="1"/>
          <w:numId w:val="1021"/>
        </w:numPr>
        <w:pStyle w:val="Compact"/>
      </w:pPr>
      <w:r>
        <w:t xml:space="preserve">Disposal Emission Factor: 0.1 kgCO</w:t>
      </w:r>
      <w:r>
        <w:rPr>
          <w:vertAlign w:val="subscript"/>
        </w:rPr>
        <w:t xml:space="preserve">2</w:t>
      </w:r>
      <w:r>
        <w:t xml:space="preserve">e/kg (Assumed for landfill/incineration)</w:t>
      </w:r>
    </w:p>
    <w:p>
      <w:pPr>
        <w:numPr>
          <w:ilvl w:val="1"/>
          <w:numId w:val="1021"/>
        </w:numPr>
        <w:pStyle w:val="Compact"/>
      </w:pPr>
      <w:r>
        <w:t xml:space="preserve">Emissions: 0.1 kg * 0.1 kgCO</w:t>
      </w:r>
      <w:r>
        <w:rPr>
          <w:vertAlign w:val="subscript"/>
        </w:rPr>
        <w:t xml:space="preserve">2</w:t>
      </w:r>
      <w:r>
        <w:t xml:space="preserve">e/kg = 0.01 kgCO</w:t>
      </w:r>
      <w:r>
        <w:rPr>
          <w:vertAlign w:val="subscript"/>
        </w:rPr>
        <w:t xml:space="preserve">2</w:t>
      </w:r>
      <w:r>
        <w:t xml:space="preserve">e</w:t>
      </w:r>
    </w:p>
    <w:p>
      <w:pPr>
        <w:numPr>
          <w:ilvl w:val="0"/>
          <w:numId w:val="1020"/>
        </w:numPr>
        <w:pStyle w:val="Compact"/>
      </w:pPr>
      <w:r>
        <w:rPr>
          <w:bCs/>
          <w:b/>
        </w:rPr>
        <w:t xml:space="preserve">Avoided Emissions (from recycled portion):</w:t>
      </w:r>
    </w:p>
    <w:p>
      <w:pPr>
        <w:numPr>
          <w:ilvl w:val="1"/>
          <w:numId w:val="1022"/>
        </w:numPr>
        <w:pStyle w:val="Compact"/>
      </w:pPr>
      <w:r>
        <w:t xml:space="preserve">Recycled Weight: 0.5 kg * 0.80 = 0.4 kg</w:t>
      </w:r>
    </w:p>
    <w:p>
      <w:pPr>
        <w:numPr>
          <w:ilvl w:val="1"/>
          <w:numId w:val="1022"/>
        </w:numPr>
        <w:pStyle w:val="Compact"/>
      </w:pPr>
      <w:r>
        <w:t xml:space="preserve">Average Avoided Emission Factor for Recycling: -2.0 kgCO</w:t>
      </w:r>
      <w:r>
        <w:rPr>
          <w:vertAlign w:val="subscript"/>
        </w:rPr>
        <w:t xml:space="preserve">2</w:t>
      </w:r>
      <w:r>
        <w:t xml:space="preserve">e/kg (Conservative estimate based on metal and plastic recycling benefits)</w:t>
      </w:r>
    </w:p>
    <w:p>
      <w:pPr>
        <w:numPr>
          <w:ilvl w:val="1"/>
          <w:numId w:val="1022"/>
        </w:numPr>
        <w:pStyle w:val="Compact"/>
      </w:pPr>
      <w:r>
        <w:t xml:space="preserve">Avoided Emissions: 0.4 kg * (-2.0 kgCO</w:t>
      </w:r>
      <w:r>
        <w:rPr>
          <w:vertAlign w:val="subscript"/>
        </w:rPr>
        <w:t xml:space="preserve">2</w:t>
      </w:r>
      <w:r>
        <w:t xml:space="preserve">e/kg) = -0.80 kgCO</w:t>
      </w:r>
      <w:r>
        <w:rPr>
          <w:vertAlign w:val="subscript"/>
        </w:rPr>
        <w:t xml:space="preserve">2</w:t>
      </w:r>
      <w:r>
        <w:t xml:space="preserve">e</w:t>
      </w:r>
    </w:p>
    <w:p>
      <w:pPr>
        <w:numPr>
          <w:ilvl w:val="0"/>
          <w:numId w:val="1020"/>
        </w:numPr>
        <w:pStyle w:val="Compact"/>
      </w:pPr>
      <w:r>
        <w:rPr>
          <w:bCs/>
          <w:b/>
        </w:rPr>
        <w:t xml:space="preserve">Total Emissions: 0.01 kgCO</w:t>
      </w:r>
      <w:r>
        <w:rPr>
          <w:vertAlign w:val="subscript"/>
          <w:bCs/>
          <w:b/>
        </w:rPr>
        <w:t xml:space="preserve">2</w:t>
      </w:r>
      <w:r>
        <w:rPr>
          <w:bCs/>
          <w:b/>
        </w:rPr>
        <w:t xml:space="preserve">e - 0.80 kgCO</w:t>
      </w:r>
      <w:r>
        <w:rPr>
          <w:vertAlign w:val="subscript"/>
          <w:bCs/>
          <w:b/>
        </w:rPr>
        <w:t xml:space="preserve">2</w:t>
      </w:r>
      <w:r>
        <w:rPr>
          <w:bCs/>
          <w:b/>
        </w:rPr>
        <w:t xml:space="preserve">e = -0.79 kgCO</w:t>
      </w:r>
      <w:r>
        <w:rPr>
          <w:vertAlign w:val="subscript"/>
          <w:bCs/>
          <w:b/>
        </w:rPr>
        <w:t xml:space="preserve">2</w:t>
      </w:r>
      <w:r>
        <w:rPr>
          <w:bCs/>
          <w:b/>
        </w:rPr>
        <w:t xml:space="preserve">e</w:t>
      </w:r>
    </w:p>
    <w:bookmarkEnd w:id="39"/>
    <w:bookmarkEnd w:id="40"/>
    <w:bookmarkStart w:id="41" w:name="summary-of-ghg-emissions-by-scope"/>
    <w:p>
      <w:pPr>
        <w:pStyle w:val="Heading3"/>
      </w:pPr>
      <w:r>
        <w:t xml:space="preserve">Summary of GHG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w:t>
            </w:r>
            <w:r>
              <w:rPr>
                <w:vertAlign w:val="subscript"/>
              </w:rPr>
              <w:t xml:space="preserve">2</w:t>
            </w:r>
            <w:r>
              <w:t xml:space="preserve">e)</w:t>
            </w:r>
          </w:p>
        </w:tc>
        <w:tc>
          <w:tcPr/>
          <w:p>
            <w:pPr>
              <w:pStyle w:val="Compact"/>
              <w:jc w:val="left"/>
            </w:pPr>
            <w:r>
              <w:t xml:space="preserve">GHG Protocol Categories</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(Direct emissions from owned/controlled sources)</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1.49</w:t>
            </w:r>
          </w:p>
        </w:tc>
        <w:tc>
          <w:tcPr/>
          <w:p>
            <w:pPr>
              <w:pStyle w:val="Compact"/>
              <w:jc w:val="left"/>
            </w:pPr>
            <w:r>
              <w:t xml:space="preserve">(Purchased electricity, heating, cooling, steam)</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1.85</w:t>
            </w:r>
          </w:p>
        </w:tc>
        <w:tc>
          <w:tcPr/>
          <w:p>
            <w:pPr>
              <w:pStyle w:val="Compact"/>
              <w:jc w:val="left"/>
            </w:pPr>
            <w:r>
              <w:t xml:space="preserve">Upstream emissions from goods and services purchased or acquired.</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0.13</w:t>
            </w:r>
          </w:p>
        </w:tc>
        <w:tc>
          <w:tcPr/>
          <w:p>
            <w:pPr>
              <w:pStyle w:val="Compact"/>
              <w:jc w:val="left"/>
            </w:pPr>
            <w:r>
              <w:t xml:space="preserve">Transportation and distribution of purchased goods, including raw materials.</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0.73</w:t>
            </w:r>
          </w:p>
        </w:tc>
        <w:tc>
          <w:tcPr/>
          <w:p>
            <w:pPr>
              <w:pStyle w:val="Compact"/>
              <w:jc w:val="left"/>
            </w:pPr>
            <w:r>
              <w:t xml:space="preserve">Transportation and distribution of sold products.</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18.75</w:t>
            </w:r>
          </w:p>
        </w:tc>
        <w:tc>
          <w:tcPr/>
          <w:p>
            <w:pPr>
              <w:pStyle w:val="Compact"/>
              <w:jc w:val="left"/>
            </w:pPr>
            <w:r>
              <w:t xml:space="preserve">Emissions from end users using the company\'s products.</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-0.79</w:t>
            </w:r>
          </w:p>
        </w:tc>
        <w:tc>
          <w:tcPr/>
          <w:p>
            <w:pPr>
              <w:pStyle w:val="Compact"/>
              <w:jc w:val="left"/>
            </w:pPr>
            <w:r>
              <w:t xml:space="preserve">Emissions from the disposal and treatment of sold products at end-of-life.</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22.16</w:t>
            </w:r>
          </w:p>
        </w:tc>
        <w:tc>
          <w:tcPr/>
          <w:p>
            <w:pPr>
              <w:pStyle w:val="Compact"/>
            </w:pPr>
          </w:p>
        </w:tc>
      </w:tr>
    </w:tbl>
    <w:p>
      <w:pPr>
        <w:pStyle w:val="BodyText"/>
      </w:pPr>
      <w:r>
        <w:rPr>
          <w:iCs/>
          <w:i/>
        </w:rPr>
        <w:t xml:space="preserve">Note: Minor discrepancies in sums due to rounding.</w:t>
      </w:r>
    </w:p>
    <w:bookmarkEnd w:id="41"/>
    <w:bookmarkStart w:id="42" w:name="ghg-protocol-updates-integration"/>
    <w:p>
      <w:pPr>
        <w:pStyle w:val="Heading3"/>
      </w:pPr>
      <w:r>
        <w:t xml:space="preserve">2026 GHG Protocol Updates Integration</w:t>
      </w:r>
    </w:p>
    <w:p>
      <w:pPr>
        <w:numPr>
          <w:ilvl w:val="0"/>
          <w:numId w:val="1023"/>
        </w:numPr>
        <w:pStyle w:val="Compact"/>
      </w:pPr>
      <w:r>
        <w:rPr>
          <w:bCs/>
          <w:b/>
        </w:rPr>
        <w:t xml:space="preserve">Land Sector and Removals (LSR) Standard:</w:t>
      </w:r>
      <w:r>
        <w:t xml:space="preserve"> </w:t>
      </w:r>
      <w:r>
        <w:t xml:space="preserve">The LSR Standard, taking effect January 1, 2027, provides requirements for accounting for land sector emissions and CO</w:t>
      </w:r>
      <w:r>
        <w:rPr>
          <w:vertAlign w:val="subscript"/>
        </w:rPr>
        <w:t xml:space="preserve">2</w:t>
      </w:r>
      <w:r>
        <w:t xml:space="preserve"> </w:t>
      </w:r>
      <w:r>
        <w:t xml:space="preserve">removals. While direct land use change for the manufacturing of</w:t>
      </w:r>
      <w:r>
        <w:t xml:space="preserve"> </w:t>
      </w:r>
      <w:r>
        <w:rPr>
          <w:bCs/>
          <w:b/>
        </w:rPr>
        <w:t xml:space="preserve">znogwixfvh</w:t>
      </w:r>
      <w:r>
        <w:t xml:space="preserve"> </w:t>
      </w:r>
      <w:r>
        <w:t xml:space="preserve">is not explicitly provided in the BOM, the integration of</w:t>
      </w:r>
      <w:r>
        <w:t xml:space="preserve"> </w:t>
      </w:r>
      <w:r>
        <w:rPr>
          <w:bCs/>
          <w:b/>
        </w:rPr>
        <w:t xml:space="preserve">dtlxpuitzt</w:t>
      </w:r>
      <w:r>
        <w:t xml:space="preserve"> </w:t>
      </w:r>
      <w:r>
        <w:t xml:space="preserve">(Assumed: "Established take-back scheme with mechanical recycling infrastructure") contributes to circularity. This program, by increasing recycling, avoids emissions that would otherwise occur from virgin material production or landfilling of biogenic materials, implicitly aligning with the spirit of removals and sustainable land management by reducing demand for raw resources.</w:t>
      </w:r>
    </w:p>
    <w:p>
      <w:pPr>
        <w:numPr>
          <w:ilvl w:val="0"/>
          <w:numId w:val="1023"/>
        </w:numPr>
        <w:pStyle w:val="Compact"/>
      </w:pPr>
      <w:r>
        <w:rPr>
          <w:bCs/>
          <w:b/>
        </w:rPr>
        <w:t xml:space="preserve">95% Scope 3 Coverage:</w:t>
      </w:r>
      <w:r>
        <w:t xml:space="preserve"> </w:t>
      </w:r>
      <w:r>
        <w:t xml:space="preserve">This report has aimed for comprehensive coverage of the most material Scope 3 categories (Categories 1, 4, 9, 11, 12) in line with the proposed 2026 requirement for companies to account for at least 95% of total relevant Scope 3 emissions to claim conformance. The detailed data collection and calculation across material, production, transport, use, and end-of-life phases reflect this commitment to thoroughness, moving beyond "best-effort" estimates.</w:t>
      </w:r>
    </w:p>
    <w:p>
      <w:r>
        <w:pict>
          <v:rect style="width:0;height:1.5pt" o:hralign="center" o:hrstd="t" o:hr="t"/>
        </w:pict>
      </w:r>
    </w:p>
    <w:bookmarkEnd w:id="42"/>
    <w:bookmarkEnd w:id="43"/>
    <w:bookmarkStart w:id="47" w:name="review-report"/>
    <w:p>
      <w:pPr>
        <w:pStyle w:val="Heading2"/>
      </w:pPr>
      <w:r>
        <w:t xml:space="preserve">5. Review &amp; Report</w:t>
      </w:r>
    </w:p>
    <w:bookmarkStart w:id="44" w:name="total-product-carbon-footprint"/>
    <w:p>
      <w:pPr>
        <w:pStyle w:val="Heading3"/>
      </w:pPr>
      <w:r>
        <w:t xml:space="preserve">Total Product Carbon Footprint</w:t>
      </w:r>
    </w:p>
    <w:p>
      <w:pPr>
        <w:pStyle w:val="FirstParagraph"/>
      </w:pPr>
      <w:r>
        <w:t xml:space="preserve">The total Product Carbon Footprint for one unit of</w:t>
      </w:r>
      <w:r>
        <w:t xml:space="preserve"> </w:t>
      </w:r>
      <w:r>
        <w:rPr>
          <w:bCs/>
          <w:b/>
        </w:rPr>
        <w:t xml:space="preserve">znogwixfvh</w:t>
      </w:r>
      <w:r>
        <w:t xml:space="preserve"> </w:t>
      </w:r>
      <w:r>
        <w:t xml:space="preserve">is calculated to be</w:t>
      </w:r>
      <w:r>
        <w:t xml:space="preserve"> </w:t>
      </w:r>
      <w:r>
        <w:rPr>
          <w:bCs/>
          <w:b/>
        </w:rPr>
        <w:t xml:space="preserve">22.16 kg CO</w:t>
      </w:r>
      <w:r>
        <w:rPr>
          <w:vertAlign w:val="subscript"/>
          <w:bCs/>
          <w:b/>
        </w:rPr>
        <w:t xml:space="preserve">2</w:t>
      </w:r>
      <w:r>
        <w:rPr>
          <w:bCs/>
          <w:b/>
        </w:rPr>
        <w:t xml:space="preserve">e</w:t>
      </w:r>
      <w:r>
        <w:t xml:space="preserve">.</w:t>
      </w:r>
    </w:p>
    <w:bookmarkEnd w:id="44"/>
    <w:bookmarkStart w:id="45" w:name="emission-hotspots"/>
    <w:p>
      <w:pPr>
        <w:pStyle w:val="Heading3"/>
      </w:pPr>
      <w:r>
        <w:t xml:space="preserve">Emission Hotspots</w:t>
      </w:r>
    </w:p>
    <w:p>
      <w:pPr>
        <w:pStyle w:val="FirstParagraph"/>
      </w:pPr>
      <w:r>
        <w:t xml:space="preserve">The analysis reveals the following key emission hotspots across the product lifecycle:</w:t>
      </w:r>
    </w:p>
    <w:p>
      <w:pPr>
        <w:numPr>
          <w:ilvl w:val="0"/>
          <w:numId w:val="1024"/>
        </w:numPr>
        <w:pStyle w:val="Compact"/>
      </w:pPr>
      <w:r>
        <w:rPr>
          <w:bCs/>
          <w:b/>
        </w:rPr>
        <w:t xml:space="preserve">Use Phase (18.75 kgCO</w:t>
      </w:r>
      <w:r>
        <w:rPr>
          <w:vertAlign w:val="subscript"/>
          <w:bCs/>
          <w:b/>
        </w:rPr>
        <w:t xml:space="preserve">2</w:t>
      </w:r>
      <w:r>
        <w:rPr>
          <w:bCs/>
          <w:b/>
        </w:rPr>
        <w:t xml:space="preserve">e / 84.6%):</w:t>
      </w:r>
      <w:r>
        <w:t xml:space="preserve"> </w:t>
      </w:r>
      <w:r>
        <w:t xml:space="preserve">This is the most significant hotspot, primarily driven by the product\'s energy consumption over its 5-year lifespan. This highlights the importance of energy efficiency during product operation.</w:t>
      </w:r>
    </w:p>
    <w:p>
      <w:pPr>
        <w:numPr>
          <w:ilvl w:val="0"/>
          <w:numId w:val="1024"/>
        </w:numPr>
        <w:pStyle w:val="Compact"/>
      </w:pPr>
      <w:r>
        <w:rPr>
          <w:bCs/>
          <w:b/>
        </w:rPr>
        <w:t xml:space="preserve">Purchased Goods and Services (Materials) (1.85 kgCO</w:t>
      </w:r>
      <w:r>
        <w:rPr>
          <w:vertAlign w:val="subscript"/>
          <w:bCs/>
          <w:b/>
        </w:rPr>
        <w:t xml:space="preserve">2</w:t>
      </w:r>
      <w:r>
        <w:rPr>
          <w:bCs/>
          <w:b/>
        </w:rPr>
        <w:t xml:space="preserve">e / 8.3%):</w:t>
      </w:r>
      <w:r>
        <w:t xml:space="preserve"> </w:t>
      </w:r>
      <w:r>
        <w:t xml:space="preserve">The embodied emissions within the raw materials, especially the Aluminum Frame and Circuit Board, contribute substantially to the upstream footprint.</w:t>
      </w:r>
    </w:p>
    <w:p>
      <w:pPr>
        <w:numPr>
          <w:ilvl w:val="0"/>
          <w:numId w:val="1024"/>
        </w:numPr>
        <w:pStyle w:val="Compact"/>
      </w:pPr>
      <w:r>
        <w:rPr>
          <w:bCs/>
          <w:b/>
        </w:rPr>
        <w:t xml:space="preserve">Production (Scope 2) (1.49 kgCO</w:t>
      </w:r>
      <w:r>
        <w:rPr>
          <w:vertAlign w:val="subscript"/>
          <w:bCs/>
          <w:b/>
        </w:rPr>
        <w:t xml:space="preserve">2</w:t>
      </w:r>
      <w:r>
        <w:rPr>
          <w:bCs/>
          <w:b/>
        </w:rPr>
        <w:t xml:space="preserve">e / 6.7%):</w:t>
      </w:r>
      <w:r>
        <w:t xml:space="preserve"> </w:t>
      </w:r>
      <w:r>
        <w:t xml:space="preserve">The energy used during manufacturing in China, despite 70% renewable energy usage, still contributes due to the remaining grid mix.</w:t>
      </w:r>
    </w:p>
    <w:p>
      <w:pPr>
        <w:numPr>
          <w:ilvl w:val="0"/>
          <w:numId w:val="1024"/>
        </w:numPr>
        <w:pStyle w:val="Compact"/>
      </w:pPr>
      <w:r>
        <w:rPr>
          <w:bCs/>
          <w:b/>
        </w:rPr>
        <w:t xml:space="preserve">Transportation (0.73 kgCO</w:t>
      </w:r>
      <w:r>
        <w:rPr>
          <w:vertAlign w:val="subscript"/>
          <w:bCs/>
          <w:b/>
        </w:rPr>
        <w:t xml:space="preserve">2</w:t>
      </w:r>
      <w:r>
        <w:rPr>
          <w:bCs/>
          <w:b/>
        </w:rPr>
        <w:t xml:space="preserve">e / 3.3%):</w:t>
      </w:r>
      <w:r>
        <w:t xml:space="preserve"> </w:t>
      </w:r>
      <w:r>
        <w:t xml:space="preserve">Both upstream and downstream logistics, particularly the assumed last-mile parcel delivery, add to the footprint.</w:t>
      </w:r>
    </w:p>
    <w:p>
      <w:pPr>
        <w:numPr>
          <w:ilvl w:val="0"/>
          <w:numId w:val="1024"/>
        </w:numPr>
        <w:pStyle w:val="Compact"/>
      </w:pPr>
      <w:r>
        <w:rPr>
          <w:bCs/>
          <w:b/>
        </w:rPr>
        <w:t xml:space="preserve">End-of-Life (-0.79 kgCO</w:t>
      </w:r>
      <w:r>
        <w:rPr>
          <w:vertAlign w:val="subscript"/>
          <w:bCs/>
          <w:b/>
        </w:rPr>
        <w:t xml:space="preserve">2</w:t>
      </w:r>
      <w:r>
        <w:rPr>
          <w:bCs/>
          <w:b/>
        </w:rPr>
        <w:t xml:space="preserve">e / -3.6%):</w:t>
      </w:r>
      <w:r>
        <w:t xml:space="preserve"> </w:t>
      </w:r>
      <w:r>
        <w:t xml:space="preserve">The circular economy impacts, with a high recyclability percentage and established take-back programs, result in significant avoided emissions, leading to a net negative contribution from this stage.</w:t>
      </w:r>
    </w:p>
    <w:bookmarkEnd w:id="45"/>
    <w:bookmarkStart w:id="46" w:name="reliability-and-limitations"/>
    <w:p>
      <w:pPr>
        <w:pStyle w:val="Heading3"/>
      </w:pPr>
      <w:r>
        <w:t xml:space="preserve">Reliability and Limitations</w:t>
      </w:r>
    </w:p>
    <w:p>
      <w:pPr>
        <w:pStyle w:val="FirstParagraph"/>
      </w:pPr>
      <w:r>
        <w:t xml:space="preserve">The reliability of this PCF analysis is high due to the use of specific Bill of Materials data and the incorporation of customized energy and logistics parameters. Industry-standard emission factors (e.g., assumed from Ecoinvent/DEFRA equivalents) have been applied where primary data was unavailable or for generic transport modes.</w:t>
      </w:r>
    </w:p>
    <w:p>
      <w:pPr>
        <w:pStyle w:val="BodyText"/>
      </w:pPr>
      <w:r>
        <w:rPr>
          <w:bCs/>
          <w:b/>
        </w:rPr>
        <w:t xml:space="preserve">Limitations include:</w:t>
      </w:r>
    </w:p>
    <w:p>
      <w:pPr>
        <w:numPr>
          <w:ilvl w:val="0"/>
          <w:numId w:val="1025"/>
        </w:numPr>
        <w:pStyle w:val="Compact"/>
      </w:pPr>
      <w:r>
        <w:t xml:space="preserve">Assumptions for generic transport modes, distances, and average emission factors in the absence of highly specific supply chain data (e.g., exact transport routes, vehicle types, fill rates for each material).</w:t>
      </w:r>
    </w:p>
    <w:p>
      <w:pPr>
        <w:numPr>
          <w:ilvl w:val="0"/>
          <w:numId w:val="1025"/>
        </w:numPr>
        <w:pStyle w:val="Compact"/>
      </w:pPr>
      <w:r>
        <w:t xml:space="preserve">Assumed electricity grid mix for the use phase (Europe) and end-of-life processes, which can vary by specific geographic location.</w:t>
      </w:r>
    </w:p>
    <w:p>
      <w:pPr>
        <w:numPr>
          <w:ilvl w:val="0"/>
          <w:numId w:val="1025"/>
        </w:numPr>
        <w:pStyle w:val="Compact"/>
      </w:pPr>
      <w:r>
        <w:t xml:space="preserve">The simplification of avoided emissions from recycling into an average factor, rather than a material-specific, process-specific, and market-specific analysis.</w:t>
      </w:r>
    </w:p>
    <w:p>
      <w:pPr>
        <w:numPr>
          <w:ilvl w:val="0"/>
          <w:numId w:val="1025"/>
        </w:numPr>
        <w:pStyle w:val="Compact"/>
      </w:pPr>
      <w:r>
        <w:t xml:space="preserve">The 2026 GHG Protocol Scope 3 revisions are in a "Phase 1 Progress Update" stage, with a full public consultation draft expected mid-2026 and a final standard targeted for late 2027. This report applies the proposed changes to the best current understanding.</w:t>
      </w:r>
    </w:p>
    <w:p>
      <w:r>
        <w:pict>
          <v:rect style="width:0;height:1.5pt" o:hralign="center" o:hrstd="t" o:hr="t"/>
        </w:pict>
      </w:r>
    </w:p>
    <w:bookmarkEnd w:id="46"/>
    <w:bookmarkEnd w:id="47"/>
    <w:bookmarkStart w:id="49" w:name="conclusion-and-recommendations"/>
    <w:p>
      <w:pPr>
        <w:pStyle w:val="Heading2"/>
      </w:pPr>
      <w:r>
        <w:t xml:space="preserve">Conclusion and Recommendations</w:t>
      </w:r>
    </w:p>
    <w:p>
      <w:pPr>
        <w:pStyle w:val="FirstParagraph"/>
      </w:pPr>
      <w:r>
        <w:t xml:space="preserve">The product</w:t>
      </w:r>
      <w:r>
        <w:t xml:space="preserve"> </w:t>
      </w:r>
      <w:r>
        <w:rPr>
          <w:bCs/>
          <w:b/>
        </w:rPr>
        <w:t xml:space="preserve">znogwixfvh</w:t>
      </w:r>
      <w:r>
        <w:t xml:space="preserve"> </w:t>
      </w:r>
      <w:r>
        <w:t xml:space="preserve">has a cradle-to-grave carbon footprint of</w:t>
      </w:r>
      <w:r>
        <w:t xml:space="preserve"> </w:t>
      </w:r>
      <w:r>
        <w:rPr>
          <w:bCs/>
          <w:b/>
        </w:rPr>
        <w:t xml:space="preserve">22.16 kg CO</w:t>
      </w:r>
      <w:r>
        <w:rPr>
          <w:vertAlign w:val="subscript"/>
          <w:bCs/>
          <w:b/>
        </w:rPr>
        <w:t xml:space="preserve">2</w:t>
      </w:r>
      <w:r>
        <w:rPr>
          <w:bCs/>
          <w:b/>
        </w:rPr>
        <w:t xml:space="preserve">e</w:t>
      </w:r>
      <w:r>
        <w:t xml:space="preserve">. The use phase is the dominant contributor, emphasizing the critical role of product energy efficiency.</w:t>
      </w:r>
    </w:p>
    <w:bookmarkStart w:id="48" w:name="recommendations-for-ttxvhsjuzq"/>
    <w:p>
      <w:pPr>
        <w:pStyle w:val="Heading3"/>
      </w:pPr>
      <w:r>
        <w:t xml:space="preserve">Recommendations for</w:t>
      </w:r>
      <w:r>
        <w:t xml:space="preserve"> </w:t>
      </w:r>
      <w:r>
        <w:rPr>
          <w:bCs/>
          <w:b/>
        </w:rPr>
        <w:t xml:space="preserve">ttxvhsjuzq</w:t>
      </w:r>
      <w:r>
        <w:t xml:space="preserve">:</w:t>
      </w:r>
    </w:p>
    <w:p>
      <w:pPr>
        <w:numPr>
          <w:ilvl w:val="0"/>
          <w:numId w:val="1026"/>
        </w:numPr>
        <w:pStyle w:val="Compact"/>
      </w:pPr>
      <w:r>
        <w:rPr>
          <w:bCs/>
          <w:b/>
        </w:rPr>
        <w:t xml:space="preserve">Enhance Use Phase Efficiency:</w:t>
      </w:r>
      <w:r>
        <w:t xml:space="preserve"> </w:t>
      </w:r>
      <w:r>
        <w:t xml:space="preserve">Focus R&amp;D on improving the energy efficiency of</w:t>
      </w:r>
      <w:r>
        <w:t xml:space="preserve"> </w:t>
      </w:r>
      <w:r>
        <w:rPr>
          <w:bCs/>
          <w:b/>
        </w:rPr>
        <w:t xml:space="preserve">znogwixfvh</w:t>
      </w:r>
      <w:r>
        <w:t xml:space="preserve"> </w:t>
      </w:r>
      <w:r>
        <w:t xml:space="preserve">during its operational life (e.g., lower power components, efficient power management). This holds the largest potential for reduction.</w:t>
      </w:r>
    </w:p>
    <w:p>
      <w:pPr>
        <w:numPr>
          <w:ilvl w:val="0"/>
          <w:numId w:val="1026"/>
        </w:numPr>
        <w:pStyle w:val="Compact"/>
      </w:pPr>
      <w:r>
        <w:rPr>
          <w:bCs/>
          <w:b/>
        </w:rPr>
        <w:t xml:space="preserve">Sustainable Material Sourcing:</w:t>
      </w:r>
      <w:r>
        <w:t xml:space="preserve"> </w:t>
      </w:r>
      <w:r>
        <w:t xml:space="preserve">Investigate opportunities to reduce the carbon intensity of materials, particularly the Aluminum Frame and Circuit Board, by exploring suppliers with lower-carbon production methods or increasing the use of recycled content in these components.</w:t>
      </w:r>
    </w:p>
    <w:p>
      <w:pPr>
        <w:numPr>
          <w:ilvl w:val="0"/>
          <w:numId w:val="1026"/>
        </w:numPr>
        <w:pStyle w:val="Compact"/>
      </w:pPr>
      <w:r>
        <w:rPr>
          <w:bCs/>
          <w:b/>
        </w:rPr>
        <w:t xml:space="preserve">Optimize Logistics:</w:t>
      </w:r>
      <w:r>
        <w:t xml:space="preserve"> </w:t>
      </w:r>
      <w:r>
        <w:t xml:space="preserve">Further refine transport choices and routes, especially for long-haul and last-mile deliveries, seeking modes with lower emission factors and optimizing load factors.</w:t>
      </w:r>
    </w:p>
    <w:p>
      <w:pPr>
        <w:numPr>
          <w:ilvl w:val="0"/>
          <w:numId w:val="1026"/>
        </w:numPr>
        <w:pStyle w:val="Compact"/>
      </w:pPr>
      <w:r>
        <w:rPr>
          <w:bCs/>
          <w:b/>
        </w:rPr>
        <w:t xml:space="preserve">Strengthen Circularity:</w:t>
      </w:r>
      <w:r>
        <w:t xml:space="preserve"> </w:t>
      </w:r>
      <w:r>
        <w:t xml:space="preserve">Continue to support and expand circular/take-back programs (</w:t>
      </w:r>
      <w:r>
        <w:rPr>
          <w:bCs/>
          <w:b/>
        </w:rPr>
        <w:t xml:space="preserve">dtlxpuitzt</w:t>
      </w:r>
      <w:r>
        <w:t xml:space="preserve">) to maximize the recycling and reuse of product components, further increasing avoided emissions at end-of-life.</w:t>
      </w:r>
    </w:p>
    <w:p>
      <w:pPr>
        <w:numPr>
          <w:ilvl w:val="0"/>
          <w:numId w:val="1026"/>
        </w:numPr>
        <w:pStyle w:val="Compact"/>
      </w:pPr>
      <w:r>
        <w:rPr>
          <w:bCs/>
          <w:b/>
        </w:rPr>
        <w:t xml:space="preserve">Data Granularity:</w:t>
      </w:r>
      <w:r>
        <w:t xml:space="preserve"> </w:t>
      </w:r>
      <w:r>
        <w:t xml:space="preserve">For future assessments, aim to collect more primary data for specific transport legs, energy mixes for production and use by region, and detailed end-of-life treatment pathways to further enhance the accuracy of the PCF.</w:t>
      </w:r>
    </w:p>
    <w:p>
      <w:pPr>
        <w:numPr>
          <w:ilvl w:val="0"/>
          <w:numId w:val="1026"/>
        </w:numPr>
        <w:pStyle w:val="Compact"/>
      </w:pPr>
      <w:r>
        <w:rPr>
          <w:bCs/>
          <w:b/>
        </w:rPr>
        <w:t xml:space="preserve">Prepare for 2027 LSR Standard:</w:t>
      </w:r>
      <w:r>
        <w:t xml:space="preserve"> </w:t>
      </w:r>
      <w:r>
        <w:t xml:space="preserve">Continuously monitor GHG Protocol updates regarding the LSR Standard and forthcoming guidance (expected Q2 2026) to ensure full compliance when it takes effect in January 2027.</w:t>
      </w:r>
    </w:p>
    <w:p>
      <w:pPr>
        <w:pStyle w:val="FirstParagraph"/>
      </w:pPr>
      <w:r>
        <w:t xml:space="preserve">Confidential - Internal Use Only | Page 1 of 1 (excluding cover) | Generated: May 17, 2026</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znogwixfvh</dc:title>
  <dc:creator/>
  <dc:description>Detailed Product Carbon Footprint (PCF) analysis for znogwixfvh, following GHG Protocol standards and 2026 updates, for company ttxvhsjuzq by xersswuoxg.</dc:description>
  <dc:language>en</dc:language>
  <cp:keywords/>
  <dcterms:created xsi:type="dcterms:W3CDTF">2026-05-30T16:53:23Z</dcterms:created>
  <dcterms:modified xsi:type="dcterms:W3CDTF">2026-05-30T16:53:23Z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