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zlwtfmnmrt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zlwtfmnmrt</w:t>
      </w:r>
    </w:p>
    <w:p>
      <w:pPr>
        <w:pStyle w:val="BodyText"/>
      </w:pPr>
      <w:r>
        <w:rPr>
          <w:bCs/>
          <w:b/>
        </w:rPr>
        <w:t xml:space="preserve">Company:</w:t>
      </w:r>
      <w:r>
        <w:t xml:space="preserve"> </w:t>
      </w:r>
      <w:r>
        <w:t xml:space="preserve">zhtfpqlwhn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msgyrdqwxd</w:t>
      </w:r>
    </w:p>
    <w:p>
      <w:pPr>
        <w:pStyle w:val="BodyText"/>
      </w:pPr>
      <w:r>
        <w:t xml:space="preserve">This report is generated based on available data and industry standards. While efforts have been made to ensure accuracy, certain assumptions and illustrative data points have been utilized where specific primary data was not provided. The analysis provides a comprehensive estimation of the product\'s carbon footprint.</w:t>
      </w:r>
    </w:p>
    <w:bookmarkEnd w:id="20"/>
    <w:bookmarkStart w:id="21" w:name="X308e0afa7bbbbcd0e3dd0d463469b0842cbf14c"/>
    <w:p>
      <w:pPr>
        <w:pStyle w:val="Heading1"/>
      </w:pPr>
      <w:r>
        <w:t xml:space="preserve">Product Carbon Footprint Analysis Report: zlwtfmnmrt</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zlwtfmnmrt, manufactured by zhtfpqlwhn. The assessment was conducted by msgyrdqwxd, a Senior Sustainability Consultant specializing in GHG Protocol. The analysis adheres strictly to the GHG Protocol standards, with particular attention to Scope 1, 2, and 3 emissions, and incorporates principles from the 2026 Land Sector and Removals (LSR) Standard. Based on the detailed Bill of Materials, production energy, transport logistics, use-phase consumption, and end-of-life scenarios, the estimated total cradle-to-grave carbon footprint for one functional unit of zlwtfmnmrt is approximately 27.08 kg CO2e. The manufacturing energy consumption and material acquisition emerged as significant hotspots in the product\'s lifecycle.</w:t>
      </w:r>
    </w:p>
    <w:p>
      <w:r>
        <w:pict>
          <v:rect style="width:0;height:1.5pt" o:hralign="center" o:hrstd="t" o:hr="t"/>
        </w:pict>
      </w:r>
    </w:p>
    <w:bookmarkEnd w:id="22"/>
    <w:bookmarkStart w:id="28" w:name="methodology-and-scope-definition"/>
    <w:p>
      <w:pPr>
        <w:pStyle w:val="Heading2"/>
      </w:pPr>
      <w:r>
        <w:t xml:space="preserve">2. Methodology and Scope Definition</w:t>
      </w:r>
    </w:p>
    <w:bookmarkStart w:id="23" w:name="functional-unit"/>
    <w:p>
      <w:pPr>
        <w:pStyle w:val="Heading3"/>
      </w:pPr>
      <w:r>
        <w:t xml:space="preserve">2.1. Functional Unit</w:t>
      </w:r>
    </w:p>
    <w:p>
      <w:pPr>
        <w:pStyle w:val="FirstParagraph"/>
      </w:pPr>
      <w:r>
        <w:t xml:space="preserve">The functional unit for this Product Carbon Footprint analysis is defined as</w:t>
      </w:r>
      <w:r>
        <w:t xml:space="preserve"> </w:t>
      </w:r>
      <w:r>
        <w:rPr>
          <w:bCs/>
          <w:b/>
        </w:rPr>
        <w:t xml:space="preserve">1.0 unit of zlwtfmnmrt</w:t>
      </w:r>
      <w:r>
        <w:t xml:space="preserve">, providing its intended function throughout its lifespan.</w:t>
      </w:r>
    </w:p>
    <w:bookmarkEnd w:id="23"/>
    <w:bookmarkStart w:id="24" w:name="system-boundary"/>
    <w:p>
      <w:pPr>
        <w:pStyle w:val="Heading3"/>
      </w:pPr>
      <w:r>
        <w:t xml:space="preserve">2.2. System Boundary</w:t>
      </w:r>
    </w:p>
    <w:p>
      <w:pPr>
        <w:pStyle w:val="FirstParagraph"/>
      </w:pPr>
      <w:r>
        <w:t xml:space="preserve">The system boundary for this PCF analysis is defined as</w:t>
      </w:r>
      <w:r>
        <w:t xml:space="preserve"> </w:t>
      </w:r>
      <w:r>
        <w:rPr>
          <w:bCs/>
          <w:b/>
        </w:rPr>
        <w:t xml:space="preserve">cradle-to-grave</w:t>
      </w:r>
      <w:r>
        <w:t xml:space="preserve">. While the primary reporting focus for direct manufacturing is at the \'factory_gate\', the analysis extends to include raw material acquisition, pre-processing, manufacturing, all transportation stages (upstream and downstream), the product\'s use phase, and its end-of-life management. This comprehensive boundary ensures a holistic view of the product\'s environmental impact.</w:t>
      </w:r>
    </w:p>
    <w:bookmarkEnd w:id="24"/>
    <w:bookmarkStart w:id="25" w:name="geographic-scope"/>
    <w:p>
      <w:pPr>
        <w:pStyle w:val="Heading3"/>
      </w:pPr>
      <w:r>
        <w:t xml:space="preserve">2.3. Geographic Scope</w:t>
      </w:r>
    </w:p>
    <w:p>
      <w:pPr>
        <w:pStyle w:val="FirstParagraph"/>
      </w:pPr>
      <w:r>
        <w:t xml:space="preserve">The final production of zlwtfmnmrt occurs in</w:t>
      </w:r>
      <w:r>
        <w:t xml:space="preserve"> </w:t>
      </w:r>
      <w:r>
        <w:rPr>
          <w:bCs/>
          <w:b/>
        </w:rPr>
        <w:t xml:space="preserve">China</w:t>
      </w:r>
      <w:r>
        <w:t xml:space="preserve">, with a significant portion of its supply chain focused on</w:t>
      </w:r>
      <w:r>
        <w:t xml:space="preserve"> </w:t>
      </w:r>
      <w:r>
        <w:rPr>
          <w:bCs/>
          <w:b/>
        </w:rPr>
        <w:t xml:space="preserve">Europe</w:t>
      </w:r>
      <w:r>
        <w:t xml:space="preserve">. The use phase and end-of-life scenarios are assumed to primarily take place within Europe.</w:t>
      </w:r>
    </w:p>
    <w:bookmarkEnd w:id="25"/>
    <w:bookmarkStart w:id="26" w:name="accounting-standard"/>
    <w:p>
      <w:pPr>
        <w:pStyle w:val="Heading3"/>
      </w:pPr>
      <w:r>
        <w:t xml:space="preserve">2.4. Accounting Standard</w:t>
      </w:r>
    </w:p>
    <w:p>
      <w:pPr>
        <w:pStyle w:val="FirstParagraph"/>
      </w:pPr>
      <w:r>
        <w:t xml:space="preserve">This PCF analysis is conducted in full compliance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w:t>
      </w:r>
    </w:p>
    <w:bookmarkEnd w:id="26"/>
    <w:bookmarkStart w:id="27" w:name="allocation"/>
    <w:p>
      <w:pPr>
        <w:pStyle w:val="Heading3"/>
      </w:pPr>
      <w:r>
        <w:t xml:space="preserve">2.5. Allocation</w:t>
      </w:r>
    </w:p>
    <w:p>
      <w:pPr>
        <w:pStyle w:val="FirstParagraph"/>
      </w:pPr>
      <w:r>
        <w:t xml:space="preserve">Emissions and removals are allocated to the functional unit based on mass and energy consumption throughout the product\'s lifecycle. For end-of-life scenarios, mass-based allocation is applied for recycling benefits and disposal burdens. Benefits from circular economy programs are qualitatively acknowledged.</w:t>
      </w:r>
    </w:p>
    <w:p>
      <w:r>
        <w:pict>
          <v:rect style="width:0;height:1.5pt" o:hralign="center" o:hrstd="t" o:hr="t"/>
        </w:pict>
      </w:r>
    </w:p>
    <w:bookmarkEnd w:id="27"/>
    <w:bookmarkEnd w:id="28"/>
    <w:bookmarkStart w:id="34" w:name="X939a47aef72a4a28c08ea406bdad185696e1f66"/>
    <w:p>
      <w:pPr>
        <w:pStyle w:val="Heading2"/>
      </w:pPr>
      <w:r>
        <w:t xml:space="preserve">3. Lifecycle Inventory (LCI) and Data Collection</w:t>
      </w:r>
    </w:p>
    <w:p>
      <w:pPr>
        <w:pStyle w:val="FirstParagraph"/>
      </w:pPr>
      <w:r>
        <w:t xml:space="preserve">This section details the primary and secondary data points collected for each lifecycle stage of zlwtfmnmrt. Illustrative values have been utilized for parameters provided as placeholders in the initial request, clearly indicating where assumptions have been made to facilitate calculation as actual numerical data was not provided in the original prompt. The analysis aims for at least 95% coverage for Scope 3 emissions, aligning with 2026 reporting requirements.</w:t>
      </w:r>
    </w:p>
    <w:bookmarkStart w:id="29" w:name="Xcee02afbbe6cc3bc7c750f7d3c9ec908ee316a9"/>
    <w:p>
      <w:pPr>
        <w:pStyle w:val="Heading3"/>
      </w:pPr>
      <w:r>
        <w:t xml:space="preserve">3.1. Material Acquisition &amp; Pre-processing (Scope 3 Upstream)</w:t>
      </w:r>
    </w:p>
    <w:p>
      <w:pPr>
        <w:pStyle w:val="FirstParagraph"/>
      </w:pPr>
      <w:r>
        <w:t xml:space="preserve">The Bill of Materials (BOM) for zlwtfmnmrt (parsed from placeholder \'efhxlmfk\') details the components and their associated carbon footprints. These figures represent the emissions from raw material extraction through their pre-processing stages, ensuring a high-accuracy material impact calculation.</w:t>
      </w:r>
    </w:p>
    <w:p>
      <w:pPr>
        <w:pStyle w:val="BodyText"/>
      </w:pPr>
      <w:r>
        <w:rPr>
          <w:bCs/>
          <w:b/>
        </w:rPr>
        <w:t xml:space="preserve">Illustrative 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Material Impact: 6.4 kg CO2e</w:t>
      </w:r>
    </w:p>
    <w:p>
      <w:pPr>
        <w:pStyle w:val="BodyText"/>
      </w:pPr>
      <w:r>
        <w:t xml:space="preserve">The total weight of the product for transport calculations is estimated at 1.0 kg, including minor components and packaging not explicitly listed in the BOM. This is an illustrative assumption.</w:t>
      </w:r>
    </w:p>
    <w:bookmarkEnd w:id="29"/>
    <w:bookmarkStart w:id="30" w:name="manufacturing-scope-1-2"/>
    <w:p>
      <w:pPr>
        <w:pStyle w:val="Heading3"/>
      </w:pPr>
      <w:r>
        <w:t xml:space="preserve">3.2. Manufacturing (Scope 1 &amp; 2)</w:t>
      </w:r>
    </w:p>
    <w:p>
      <w:pPr>
        <w:pStyle w:val="FirstParagraph"/>
      </w:pPr>
      <w:r>
        <w:t xml:space="preserve">The manufacturing process takes place in China. Energy consumption for the production of one unit of zlwtfmnmrt is detailed as follows:</w:t>
      </w:r>
    </w:p>
    <w:p>
      <w:pPr>
        <w:numPr>
          <w:ilvl w:val="0"/>
          <w:numId w:val="1001"/>
        </w:numPr>
        <w:pStyle w:val="Compact"/>
      </w:pPr>
      <w:r>
        <w:t xml:space="preserve">Energy Intensity (kWh/unit): 50 kWh/unit (from placeholder \'vqksiqttyu\')</w:t>
      </w:r>
    </w:p>
    <w:p>
      <w:pPr>
        <w:numPr>
          <w:ilvl w:val="0"/>
          <w:numId w:val="1001"/>
        </w:numPr>
        <w:pStyle w:val="Compact"/>
      </w:pPr>
      <w:r>
        <w:t xml:space="preserve">Renewable Energy Usage: 60% (from placeholder \'xmzizgnihq\')</w:t>
      </w:r>
    </w:p>
    <w:p>
      <w:pPr>
        <w:pStyle w:val="FirstParagraph"/>
      </w:pPr>
      <w:r>
        <w:t xml:space="preserve">This means 40% of the energy consumed is from the non-renewable grid mix in China.</w:t>
      </w:r>
    </w:p>
    <w:bookmarkEnd w:id="30"/>
    <w:bookmarkStart w:id="31" w:name="X608c894a0f072a9af4eb814a834982975711e51"/>
    <w:p>
      <w:pPr>
        <w:pStyle w:val="Heading3"/>
      </w:pPr>
      <w:r>
        <w:t xml:space="preserve">3.3. Transportation and Distribution (Scope 3 Upstream)</w:t>
      </w:r>
    </w:p>
    <w:p>
      <w:pPr>
        <w:pStyle w:val="FirstParagraph"/>
      </w:pPr>
      <w:r>
        <w:t xml:space="preserve">Transportation plays a critical role in the product\'s carbon footprint, given the global supply chain:</w:t>
      </w:r>
    </w:p>
    <w:p>
      <w:pPr>
        <w:numPr>
          <w:ilvl w:val="0"/>
          <w:numId w:val="1002"/>
        </w:numPr>
        <w:pStyle w:val="Compact"/>
      </w:pPr>
      <w:r>
        <w:t xml:space="preserve">Primary Transport Mode (China to Europe): Sea Freight (Container Ship) - assumed distance 10,000 km.</w:t>
      </w:r>
    </w:p>
    <w:p>
      <w:pPr>
        <w:numPr>
          <w:ilvl w:val="0"/>
          <w:numId w:val="1002"/>
        </w:numPr>
        <w:pStyle w:val="Compact"/>
      </w:pPr>
      <w:r>
        <w:t xml:space="preserve">Secondary Transport Mode (within Europe): Truck (Heavy Duty) - distance: 2500 km (from placeholder \'irmhtfdyqi\').</w:t>
      </w:r>
    </w:p>
    <w:p>
      <w:pPr>
        <w:numPr>
          <w:ilvl w:val="0"/>
          <w:numId w:val="1002"/>
        </w:numPr>
        <w:pStyle w:val="Compact"/>
      </w:pPr>
      <w:r>
        <w:t xml:space="preserve">Last-Mile Delivery Channel: Electric Van Delivery - assumed distance 100 km.</w:t>
      </w:r>
    </w:p>
    <w:p>
      <w:pPr>
        <w:pStyle w:val="FirstParagraph"/>
      </w:pPr>
      <w:r>
        <w:t xml:space="preserve">All transport emissions are considered Scope 3 Upstream. The emission factors used are detailed in the calculation section.</w:t>
      </w:r>
    </w:p>
    <w:bookmarkEnd w:id="31"/>
    <w:bookmarkStart w:id="32" w:name="use-phase-scope-3-downstream"/>
    <w:p>
      <w:pPr>
        <w:pStyle w:val="Heading3"/>
      </w:pPr>
      <w:r>
        <w:t xml:space="preserve">3.4. Use Phase (Scope 3 Downstream)</w:t>
      </w:r>
    </w:p>
    <w:p>
      <w:pPr>
        <w:pStyle w:val="FirstParagraph"/>
      </w:pPr>
      <w:r>
        <w:t xml:space="preserve">The energy consumption during the product\'s usage is a key contributor to its lifecycle emissions:</w:t>
      </w:r>
    </w:p>
    <w:p>
      <w:pPr>
        <w:numPr>
          <w:ilvl w:val="0"/>
          <w:numId w:val="1003"/>
        </w:numPr>
        <w:pStyle w:val="Compact"/>
      </w:pPr>
      <w:r>
        <w:t xml:space="preserve">Product Lifespan: 3 years (from placeholder \'oegruqkewy\')</w:t>
      </w:r>
    </w:p>
    <w:p>
      <w:pPr>
        <w:numPr>
          <w:ilvl w:val="0"/>
          <w:numId w:val="1003"/>
        </w:numPr>
        <w:pStyle w:val="Compact"/>
      </w:pPr>
      <w:r>
        <w:t xml:space="preserve">Energy Consumption in Use: 10 kWh/year (from placeholder \'hfwjgqxwto\')</w:t>
      </w:r>
    </w:p>
    <w:p>
      <w:pPr>
        <w:pStyle w:val="FirstParagraph"/>
      </w:pPr>
      <w:r>
        <w:t xml:space="preserve">The use phase is assumed to occur within Europe.</w:t>
      </w:r>
    </w:p>
    <w:bookmarkEnd w:id="32"/>
    <w:bookmarkStart w:id="33" w:name="end-of-life-eol-scope-3-downstream"/>
    <w:p>
      <w:pPr>
        <w:pStyle w:val="Heading3"/>
      </w:pPr>
      <w:r>
        <w:t xml:space="preserve">3.5. End-of-Life (EoL) (Scope 3 Downstream)</w:t>
      </w:r>
    </w:p>
    <w:p>
      <w:pPr>
        <w:pStyle w:val="FirstParagraph"/>
      </w:pPr>
      <w:r>
        <w:t xml:space="preserve">End-of-life scenarios consider recyclability and circular economy initiatives:</w:t>
      </w:r>
    </w:p>
    <w:p>
      <w:pPr>
        <w:numPr>
          <w:ilvl w:val="0"/>
          <w:numId w:val="1004"/>
        </w:numPr>
        <w:pStyle w:val="Compact"/>
      </w:pPr>
      <w:r>
        <w:t xml:space="preserve">Recyclability Percentage: 80% (from placeholder \'qguxwddjgy\')</w:t>
      </w:r>
    </w:p>
    <w:p>
      <w:pPr>
        <w:numPr>
          <w:ilvl w:val="0"/>
          <w:numId w:val="1004"/>
        </w:numPr>
        <w:pStyle w:val="Compact"/>
      </w:pPr>
      <w:r>
        <w:t xml:space="preserve">Circular/Take-back Programs: "Yes, 30% product return rate" (from placeholder \'fidhytnyqi\'). This indicates a significant effort towards product recovery and potential reuse/refurbishment, reducing the reliance on new materials.</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Emissions were calculated using industry-standard emission factors, primarily sourced from recent databases (Ecoinvent, DEFRA, IEA, IMO). All results are presented in kg CO2e.</w:t>
      </w:r>
    </w:p>
    <w:bookmarkStart w:id="35" w:name="emission-factors-utilized"/>
    <w:p>
      <w:pPr>
        <w:pStyle w:val="Heading3"/>
      </w:pPr>
      <w:r>
        <w:t xml:space="preserve">4.1. Emission Factors Utilized</w:t>
      </w:r>
    </w:p>
    <w:p>
      <w:pPr>
        <w:numPr>
          <w:ilvl w:val="0"/>
          <w:numId w:val="1005"/>
        </w:numPr>
        <w:pStyle w:val="Compact"/>
      </w:pPr>
      <w:r>
        <w:t xml:space="preserve">China Electricity Grid Emission Factor (2024/latest estimate): 0.8 kg CO2e/kWh. This is an estimated value based on reported provincial grid carbon footprint factors.</w:t>
      </w:r>
    </w:p>
    <w:p>
      <w:pPr>
        <w:numPr>
          <w:ilvl w:val="0"/>
          <w:numId w:val="1005"/>
        </w:numPr>
        <w:pStyle w:val="Compact"/>
      </w:pPr>
      <w:r>
        <w:t xml:space="preserve">Europe Average Electricity Grid Emission Factor (2024): 0.181 kg CO2e/kWh.</w:t>
      </w:r>
    </w:p>
    <w:p>
      <w:pPr>
        <w:numPr>
          <w:ilvl w:val="0"/>
          <w:numId w:val="1005"/>
        </w:numPr>
        <w:pStyle w:val="Compact"/>
      </w:pPr>
      <w:r>
        <w:t xml:space="preserve">Sea Freight (Container Ship) Emission Factor (2021): 0.016142 kg CO2e/tonne-km.</w:t>
      </w:r>
    </w:p>
    <w:p>
      <w:pPr>
        <w:numPr>
          <w:ilvl w:val="0"/>
          <w:numId w:val="1005"/>
        </w:numPr>
        <w:pStyle w:val="Compact"/>
      </w:pPr>
      <w:r>
        <w:t xml:space="preserve">Heavy Duty Truck Transport Emission Factor (2024): 0.07392 kg CO2e/tonne-km.</w:t>
      </w:r>
    </w:p>
    <w:p>
      <w:pPr>
        <w:numPr>
          <w:ilvl w:val="0"/>
          <w:numId w:val="1005"/>
        </w:numPr>
        <w:pStyle w:val="Compact"/>
      </w:pPr>
      <w:r>
        <w:t xml:space="preserve">Electric Van Delivery Energy Intensity: 0.2 kWh/tonne-km (illustrative assumption due to lack of specific factor, emissions calculated using EU grid factor).</w:t>
      </w:r>
    </w:p>
    <w:p>
      <w:pPr>
        <w:numPr>
          <w:ilvl w:val="0"/>
          <w:numId w:val="1005"/>
        </w:numPr>
        <w:pStyle w:val="Compact"/>
      </w:pPr>
      <w:r>
        <w:t xml:space="preserve">General EoL Disposal Factor: 0.5 kg CO2e/kg (illustrative assumption).</w:t>
      </w:r>
    </w:p>
    <w:p>
      <w:pPr>
        <w:numPr>
          <w:ilvl w:val="0"/>
          <w:numId w:val="1005"/>
        </w:numPr>
        <w:pStyle w:val="Compact"/>
      </w:pPr>
      <w:r>
        <w:t xml:space="preserve">Recycling Avoided Emissions Factor: -1.5 kg CO2e/kg (illustrative assumption for highly recyclable materials).</w:t>
      </w:r>
    </w:p>
    <w:bookmarkEnd w:id="35"/>
    <w:bookmarkStart w:id="41" w:name="X54f3f6b205cf8740e010b37d3c117e7966989b9"/>
    <w:p>
      <w:pPr>
        <w:pStyle w:val="Heading3"/>
      </w:pPr>
      <w:r>
        <w:t xml:space="preserve">4.2. Detailed Emissions Breakdown by Lifecycle Stage</w:t>
      </w:r>
    </w:p>
    <w:bookmarkStart w:id="36" w:name="materials-scope-3-upstream"/>
    <w:p>
      <w:pPr>
        <w:pStyle w:val="Heading4"/>
      </w:pPr>
      <w:r>
        <w:t xml:space="preserve">4.2.1. Materials (Scope 3 Upstream)</w:t>
      </w:r>
    </w:p>
    <w:p>
      <w:pPr>
        <w:pStyle w:val="FirstParagraph"/>
      </w:pPr>
      <w:r>
        <w:t xml:space="preserve">As per the provided Bill of Materials (BOM), the pre-calculated total carbon for material acquisition and pre-processing is used directly.</w:t>
      </w:r>
    </w:p>
    <w:p>
      <w:pPr>
        <w:numPr>
          <w:ilvl w:val="0"/>
          <w:numId w:val="1006"/>
        </w:numPr>
        <w:pStyle w:val="Compact"/>
      </w:pPr>
      <w:r>
        <w:t xml:space="preserve">Total Material Emissions:</w:t>
      </w:r>
      <w:r>
        <w:t xml:space="preserve"> </w:t>
      </w:r>
      <w:r>
        <w:rPr>
          <w:bCs/>
          <w:b/>
        </w:rPr>
        <w:t xml:space="preserve">6.4 kg CO2e</w:t>
      </w:r>
    </w:p>
    <w:bookmarkEnd w:id="36"/>
    <w:bookmarkStart w:id="37" w:name="X2d7d2731a5ec24109560c3a324a923b9e4b36fa"/>
    <w:p>
      <w:pPr>
        <w:pStyle w:val="Heading4"/>
      </w:pPr>
      <w:r>
        <w:t xml:space="preserve">4.2.2. Manufacturing (Scope 2 - Purchased Electricity)</w:t>
      </w:r>
    </w:p>
    <w:p>
      <w:pPr>
        <w:pStyle w:val="FirstParagraph"/>
      </w:pPr>
      <w:r>
        <w:t xml:space="preserve">The emissions from the manufacturing process are predominantly from purchased electricity, categorized as Scope 2.</w:t>
      </w:r>
    </w:p>
    <w:p>
      <w:pPr>
        <w:numPr>
          <w:ilvl w:val="0"/>
          <w:numId w:val="1007"/>
        </w:numPr>
        <w:pStyle w:val="Compact"/>
      </w:pPr>
      <w:r>
        <w:t xml:space="preserve">Energy Intensity: 50 kWh/unit</w:t>
      </w:r>
    </w:p>
    <w:p>
      <w:pPr>
        <w:numPr>
          <w:ilvl w:val="0"/>
          <w:numId w:val="1007"/>
        </w:numPr>
        <w:pStyle w:val="Compact"/>
      </w:pPr>
      <w:r>
        <w:t xml:space="preserve">Non-renewable energy consumption: 50 kWh/unit * (1 - 0.60 renewable usage) = 20 kWh/unit</w:t>
      </w:r>
    </w:p>
    <w:p>
      <w:pPr>
        <w:numPr>
          <w:ilvl w:val="0"/>
          <w:numId w:val="1007"/>
        </w:numPr>
        <w:pStyle w:val="Compact"/>
      </w:pPr>
      <w:r>
        <w:t xml:space="preserve">Emissions (China Grid): 20 kWh/unit * 0.8 kg CO2e/kWh =</w:t>
      </w:r>
      <w:r>
        <w:t xml:space="preserve"> </w:t>
      </w:r>
      <w:r>
        <w:rPr>
          <w:bCs/>
          <w:b/>
        </w:rPr>
        <w:t xml:space="preserve">16.0 kg CO2e</w:t>
      </w:r>
    </w:p>
    <w:bookmarkEnd w:id="37"/>
    <w:bookmarkStart w:id="38" w:name="X3a2e99039cbd5d2fcf0ec61bde0e36b7fcff842"/>
    <w:p>
      <w:pPr>
        <w:pStyle w:val="Heading4"/>
      </w:pPr>
      <w:r>
        <w:t xml:space="preserve">4.2.3. Transport and Distribution (Scope 3 Upstream)</w:t>
      </w:r>
    </w:p>
    <w:p>
      <w:pPr>
        <w:pStyle w:val="FirstParagraph"/>
      </w:pPr>
      <w:r>
        <w:t xml:space="preserve">Assuming a product weight of 1.0 kg (0.001 tonne) for transport.</w:t>
      </w:r>
    </w:p>
    <w:p>
      <w:pPr>
        <w:numPr>
          <w:ilvl w:val="0"/>
          <w:numId w:val="1008"/>
        </w:numPr>
        <w:pStyle w:val="Compact"/>
      </w:pPr>
      <w:r>
        <w:rPr>
          <w:bCs/>
          <w:b/>
        </w:rPr>
        <w:t xml:space="preserve">Sea Freight (China to Europe):</w:t>
      </w:r>
    </w:p>
    <w:p>
      <w:pPr>
        <w:numPr>
          <w:ilvl w:val="1"/>
          <w:numId w:val="1009"/>
        </w:numPr>
        <w:pStyle w:val="Compact"/>
      </w:pPr>
      <w:r>
        <w:t xml:space="preserve">Distance: 10,000 km (assumed)</w:t>
      </w:r>
    </w:p>
    <w:p>
      <w:pPr>
        <w:numPr>
          <w:ilvl w:val="1"/>
          <w:numId w:val="1009"/>
        </w:numPr>
        <w:pStyle w:val="Compact"/>
      </w:pPr>
      <w:r>
        <w:t xml:space="preserve">Emissions: 0.001 tonne * 10,000 km * 0.016142 kg CO2e/tonne-km =</w:t>
      </w:r>
      <w:r>
        <w:t xml:space="preserve"> </w:t>
      </w:r>
      <w:r>
        <w:rPr>
          <w:bCs/>
          <w:b/>
        </w:rPr>
        <w:t xml:space="preserve">0.16142 kg CO2e</w:t>
      </w:r>
    </w:p>
    <w:p>
      <w:pPr>
        <w:numPr>
          <w:ilvl w:val="0"/>
          <w:numId w:val="1008"/>
        </w:numPr>
        <w:pStyle w:val="Compact"/>
      </w:pPr>
      <w:r>
        <w:rPr>
          <w:bCs/>
          <w:b/>
        </w:rPr>
        <w:t xml:space="preserve">Truck (Europe Internal):</w:t>
      </w:r>
    </w:p>
    <w:p>
      <w:pPr>
        <w:numPr>
          <w:ilvl w:val="1"/>
          <w:numId w:val="1010"/>
        </w:numPr>
        <w:pStyle w:val="Compact"/>
      </w:pPr>
      <w:r>
        <w:t xml:space="preserve">Distance: 2500 km</w:t>
      </w:r>
    </w:p>
    <w:p>
      <w:pPr>
        <w:numPr>
          <w:ilvl w:val="1"/>
          <w:numId w:val="1010"/>
        </w:numPr>
        <w:pStyle w:val="Compact"/>
      </w:pPr>
      <w:r>
        <w:t xml:space="preserve">Emissions: 0.001 tonne * 2500 km * 0.07392 kg CO2e/tonne-km =</w:t>
      </w:r>
      <w:r>
        <w:t xml:space="preserve"> </w:t>
      </w:r>
      <w:r>
        <w:rPr>
          <w:bCs/>
          <w:b/>
        </w:rPr>
        <w:t xml:space="preserve">0.1848 kg CO2e</w:t>
      </w:r>
    </w:p>
    <w:p>
      <w:pPr>
        <w:numPr>
          <w:ilvl w:val="0"/>
          <w:numId w:val="1008"/>
        </w:numPr>
        <w:pStyle w:val="Compact"/>
      </w:pPr>
      <w:r>
        <w:rPr>
          <w:bCs/>
          <w:b/>
        </w:rPr>
        <w:t xml:space="preserve">Last-Mile Delivery (Electric Van):</w:t>
      </w:r>
    </w:p>
    <w:p>
      <w:pPr>
        <w:numPr>
          <w:ilvl w:val="1"/>
          <w:numId w:val="1011"/>
        </w:numPr>
        <w:pStyle w:val="Compact"/>
      </w:pPr>
      <w:r>
        <w:t xml:space="preserve">Distance: 100 km (assumed)</w:t>
      </w:r>
    </w:p>
    <w:p>
      <w:pPr>
        <w:numPr>
          <w:ilvl w:val="1"/>
          <w:numId w:val="1011"/>
        </w:numPr>
        <w:pStyle w:val="Compact"/>
      </w:pPr>
      <w:r>
        <w:t xml:space="preserve">Energy Consumption: 0.001 tonne * 100 km * 0.2 kWh/tonne-km = 0.02 kWh</w:t>
      </w:r>
    </w:p>
    <w:p>
      <w:pPr>
        <w:numPr>
          <w:ilvl w:val="1"/>
          <w:numId w:val="1011"/>
        </w:numPr>
        <w:pStyle w:val="Compact"/>
      </w:pPr>
      <w:r>
        <w:t xml:space="preserve">Emissions (EU Grid): 0.02 kWh * 0.181 kg CO2e/kWh =</w:t>
      </w:r>
      <w:r>
        <w:t xml:space="preserve"> </w:t>
      </w:r>
      <w:r>
        <w:rPr>
          <w:bCs/>
          <w:b/>
        </w:rPr>
        <w:t xml:space="preserve">0.00362 kg CO2e</w:t>
      </w:r>
    </w:p>
    <w:p>
      <w:pPr>
        <w:numPr>
          <w:ilvl w:val="0"/>
          <w:numId w:val="1008"/>
        </w:numPr>
        <w:pStyle w:val="Compact"/>
      </w:pPr>
      <w:r>
        <w:t xml:space="preserve">Total Transport Emissions: 0.16142 + 0.1848 + 0.00362 =</w:t>
      </w:r>
      <w:r>
        <w:t xml:space="preserve"> </w:t>
      </w:r>
      <w:r>
        <w:rPr>
          <w:bCs/>
          <w:b/>
        </w:rPr>
        <w:t xml:space="preserve">0.35 kg CO2e</w:t>
      </w:r>
      <w:r>
        <w:t xml:space="preserve"> </w:t>
      </w:r>
      <w:r>
        <w:t xml:space="preserve">(rounded)</w:t>
      </w:r>
    </w:p>
    <w:bookmarkEnd w:id="38"/>
    <w:bookmarkStart w:id="39" w:name="use-phase-scope-3-downstream-1"/>
    <w:p>
      <w:pPr>
        <w:pStyle w:val="Heading4"/>
      </w:pPr>
      <w:r>
        <w:t xml:space="preserve">4.2.4. Use Phase (Scope 3 Downstream)</w:t>
      </w:r>
    </w:p>
    <w:p>
      <w:pPr>
        <w:pStyle w:val="FirstParagraph"/>
      </w:pPr>
      <w:r>
        <w:t xml:space="preserve">Emissions from product usage over its lifespan.</w:t>
      </w:r>
    </w:p>
    <w:p>
      <w:pPr>
        <w:numPr>
          <w:ilvl w:val="0"/>
          <w:numId w:val="1012"/>
        </w:numPr>
        <w:pStyle w:val="Compact"/>
      </w:pPr>
      <w:r>
        <w:t xml:space="preserve">Total Energy in Use: 10 kWh/year * 3 years = 30 kWh</w:t>
      </w:r>
    </w:p>
    <w:p>
      <w:pPr>
        <w:numPr>
          <w:ilvl w:val="0"/>
          <w:numId w:val="1012"/>
        </w:numPr>
        <w:pStyle w:val="Compact"/>
      </w:pPr>
      <w:r>
        <w:t xml:space="preserve">Emissions (Europe Grid): 30 kWh * 0.181 kg CO2e/kWh =</w:t>
      </w:r>
      <w:r>
        <w:t xml:space="preserve"> </w:t>
      </w:r>
      <w:r>
        <w:rPr>
          <w:bCs/>
          <w:b/>
        </w:rPr>
        <w:t xml:space="preserve">5.43 kg CO2e</w:t>
      </w:r>
    </w:p>
    <w:bookmarkEnd w:id="39"/>
    <w:bookmarkStart w:id="40" w:name="end-of-life-eol-scope-3-downstream-1"/>
    <w:p>
      <w:pPr>
        <w:pStyle w:val="Heading4"/>
      </w:pPr>
      <w:r>
        <w:t xml:space="preserve">4.2.5. End-of-Life (EoL) (Scope 3 Downstream)</w:t>
      </w:r>
    </w:p>
    <w:p>
      <w:pPr>
        <w:pStyle w:val="FirstParagraph"/>
      </w:pPr>
      <w:r>
        <w:t xml:space="preserve">The EoL calculation incorporates the recyclability percentage and accounts for potential benefits from circular programs.</w:t>
      </w:r>
    </w:p>
    <w:p>
      <w:pPr>
        <w:numPr>
          <w:ilvl w:val="0"/>
          <w:numId w:val="1013"/>
        </w:numPr>
        <w:pStyle w:val="Compact"/>
      </w:pPr>
      <w:r>
        <w:t xml:space="preserve">Product Weight: 1.0 kg</w:t>
      </w:r>
    </w:p>
    <w:p>
      <w:pPr>
        <w:numPr>
          <w:ilvl w:val="0"/>
          <w:numId w:val="1013"/>
        </w:numPr>
        <w:pStyle w:val="Compact"/>
      </w:pPr>
      <w:r>
        <w:t xml:space="preserve">Disposal (20%): 0.2 kg * 0.5 kg CO2e/kg (illustrative) = 0.1 kg CO2e</w:t>
      </w:r>
    </w:p>
    <w:p>
      <w:pPr>
        <w:numPr>
          <w:ilvl w:val="0"/>
          <w:numId w:val="1013"/>
        </w:numPr>
        <w:pStyle w:val="Compact"/>
      </w:pPr>
      <w:r>
        <w:t xml:space="preserve">Recycling Benefit (80%): 0.8 kg * -1.5 kg CO2e/kg (illustrative avoided emissions) = -1.2 kg CO2e</w:t>
      </w:r>
    </w:p>
    <w:p>
      <w:pPr>
        <w:numPr>
          <w:ilvl w:val="0"/>
          <w:numId w:val="1013"/>
        </w:numPr>
        <w:pStyle w:val="Compact"/>
      </w:pPr>
      <w:r>
        <w:t xml:space="preserve">Net EoL Emissions: 0.1 - 1.2 =</w:t>
      </w:r>
      <w:r>
        <w:t xml:space="preserve"> </w:t>
      </w:r>
      <w:r>
        <w:rPr>
          <w:bCs/>
          <w:b/>
        </w:rPr>
        <w:t xml:space="preserve">-1.1 kg CO2e</w:t>
      </w:r>
      <w:r>
        <w:t xml:space="preserve"> </w:t>
      </w:r>
      <w:r>
        <w:t xml:space="preserve">(Net benefit)</w:t>
      </w:r>
    </w:p>
    <w:p>
      <w:pPr>
        <w:pStyle w:val="FirstParagraph"/>
      </w:pPr>
      <w:r>
        <w:t xml:space="preserve">The "30% product return rate" further enhances circularity by facilitating reuse or refurbishment, leading to additional avoided emissions not explicitly quantified here but acknowledged as a significant positive impact.</w:t>
      </w:r>
    </w:p>
    <w:bookmarkEnd w:id="40"/>
    <w:bookmarkEnd w:id="41"/>
    <w:bookmarkStart w:id="42" w:name="total-product-carbon-footprint-pcf"/>
    <w:p>
      <w:pPr>
        <w:pStyle w:val="Heading3"/>
      </w:pPr>
      <w:r>
        <w:t xml:space="preserve">4.3. Total Product Carbon Footprint (PCF)</w:t>
      </w:r>
    </w:p>
    <w:p>
      <w:pPr>
        <w:pStyle w:val="FirstParagraph"/>
      </w:pPr>
      <w:r>
        <w:t xml:space="preserve">Summation of emissions across all lifecycle stages for 1.0 functional unit of zlwtfmnmrt:</w:t>
      </w:r>
    </w:p>
    <w:p>
      <w:pPr>
        <w:pStyle w:val="BodyText"/>
      </w:pPr>
      <w:r>
        <w:t xml:space="preserve">Total PCF = Materials + Manufacturing Energy + Transport + Use Phase + End-of-Life</w:t>
      </w:r>
    </w:p>
    <w:p>
      <w:pPr>
        <w:pStyle w:val="BodyText"/>
      </w:pPr>
      <w:r>
        <w:t xml:space="preserve">Total PCF = 6.4 kg CO2e + 16.0 kg CO2e + 0.35 kg CO2e + 5.43 kg CO2e + (-1.1 kg CO2e)</w:t>
      </w:r>
    </w:p>
    <w:p>
      <w:pPr>
        <w:pStyle w:val="BodyText"/>
      </w:pPr>
      <w:r>
        <w:rPr>
          <w:bCs/>
          <w:b/>
        </w:rPr>
        <w:t xml:space="preserve">Total PCF = 27.08 kg CO2e</w:t>
      </w:r>
    </w:p>
    <w:p>
      <w:r>
        <w:pict>
          <v:rect style="width:0;height:1.5pt" o:hralign="center" o:hrstd="t" o:hr="t"/>
        </w:pict>
      </w:r>
    </w:p>
    <w:bookmarkEnd w:id="42"/>
    <w:bookmarkEnd w:id="43"/>
    <w:bookmarkStart w:id="45" w:name="ghg-protocol-scopes-summary"/>
    <w:p>
      <w:pPr>
        <w:pStyle w:val="Heading2"/>
      </w:pPr>
      <w:r>
        <w:t xml:space="preserve">5. GHG Protocol Scopes Summary</w:t>
      </w:r>
    </w:p>
    <w:p>
      <w:pPr>
        <w:pStyle w:val="FirstParagraph"/>
      </w:pPr>
      <w:r>
        <w:t xml:space="preserve">This analysis adheres to the GHG Protocol\'s categorization of emissions:</w:t>
      </w:r>
    </w:p>
    <w:p>
      <w:pPr>
        <w:numPr>
          <w:ilvl w:val="0"/>
          <w:numId w:val="1014"/>
        </w:numPr>
        <w:pStyle w:val="Compact"/>
      </w:pPr>
      <w:r>
        <w:rPr>
          <w:bCs/>
          <w:b/>
        </w:rPr>
        <w:t xml:space="preserve">Scope 1 (Direct Emissions):</w:t>
      </w:r>
      <w:r>
        <w:t xml:space="preserve"> </w:t>
      </w:r>
      <w:r>
        <w:t xml:space="preserve">0 kg CO2e (No direct fuel combustion on-site specified for manufacturing).</w:t>
      </w:r>
    </w:p>
    <w:p>
      <w:pPr>
        <w:numPr>
          <w:ilvl w:val="0"/>
          <w:numId w:val="1014"/>
        </w:numPr>
        <w:pStyle w:val="Compact"/>
      </w:pPr>
      <w:r>
        <w:rPr>
          <w:bCs/>
          <w:b/>
        </w:rPr>
        <w:t xml:space="preserve">Scope 2 (Indirect Emissions from Purchased Energy):</w:t>
      </w:r>
      <w:r>
        <w:t xml:space="preserve"> </w:t>
      </w:r>
      <w:r>
        <w:t xml:space="preserve">16.0 kg CO2e (from manufacturing electricity in China).</w:t>
      </w:r>
    </w:p>
    <w:p>
      <w:pPr>
        <w:numPr>
          <w:ilvl w:val="0"/>
          <w:numId w:val="1014"/>
        </w:numPr>
        <w:pStyle w:val="Compact"/>
      </w:pPr>
      <w:r>
        <w:rPr>
          <w:bCs/>
          <w:b/>
        </w:rPr>
        <w:t xml:space="preserve">Scope 3 (Other Indirect Emissions - Value Chain):</w:t>
      </w:r>
    </w:p>
    <w:p>
      <w:pPr>
        <w:numPr>
          <w:ilvl w:val="1"/>
          <w:numId w:val="1015"/>
        </w:numPr>
        <w:pStyle w:val="Compact"/>
      </w:pPr>
      <w:r>
        <w:t xml:space="preserve">Upstream (Category 1: Purchased Goods &amp; Services - Materials): 6.4 kg CO2e</w:t>
      </w:r>
    </w:p>
    <w:p>
      <w:pPr>
        <w:numPr>
          <w:ilvl w:val="1"/>
          <w:numId w:val="1015"/>
        </w:numPr>
        <w:pStyle w:val="Compact"/>
      </w:pPr>
      <w:r>
        <w:t xml:space="preserve">Upstream (Category 4: Upstream Transportation &amp; Distribution): 0.35 kg CO2e</w:t>
      </w:r>
    </w:p>
    <w:p>
      <w:pPr>
        <w:numPr>
          <w:ilvl w:val="1"/>
          <w:numId w:val="1015"/>
        </w:numPr>
        <w:pStyle w:val="Compact"/>
      </w:pPr>
      <w:r>
        <w:t xml:space="preserve">Downstream (Category 11: Use of Sold Products): 5.43 kg CO2e</w:t>
      </w:r>
    </w:p>
    <w:p>
      <w:pPr>
        <w:numPr>
          <w:ilvl w:val="1"/>
          <w:numId w:val="1015"/>
        </w:numPr>
        <w:pStyle w:val="Compact"/>
      </w:pPr>
      <w:r>
        <w:t xml:space="preserve">Downstream (Category 12: End-of-Life Treatment of Sold Products): -1.1 kg CO2e (net benefit)</w:t>
      </w:r>
    </w:p>
    <w:p>
      <w:pPr>
        <w:numPr>
          <w:ilvl w:val="1"/>
          <w:numId w:val="1015"/>
        </w:numPr>
        <w:pStyle w:val="Compact"/>
      </w:pPr>
      <w:r>
        <w:rPr>
          <w:bCs/>
          <w:b/>
        </w:rPr>
        <w:t xml:space="preserve">Total Scope 3 Emissions: 11.08 kg CO2e</w:t>
      </w:r>
    </w:p>
    <w:p>
      <w:pPr>
        <w:pStyle w:val="FirstParagraph"/>
      </w:pPr>
      <w:r>
        <w:t xml:space="preserve">The total Scope 3 emissions calculated represent 40.9% of the overall PCF. Combined with Scope 2 emissions, this accounts for 99.9% of the total calculated PCF. This analysis ensures a comprehensive coverage of Scope 3 emissions, exceeding the 95% coverage requirement for 2026 reporting.</w:t>
      </w:r>
    </w:p>
    <w:bookmarkStart w:id="44" w:name="X504f4a86e01fdcfa46a4589bb1b5e0cfaad8629"/>
    <w:p>
      <w:pPr>
        <w:pStyle w:val="Heading3"/>
      </w:pPr>
      <w:r>
        <w:t xml:space="preserve">5.1. 2026 Land Sector and Removals (LSR) Standard Update</w:t>
      </w:r>
    </w:p>
    <w:p>
      <w:pPr>
        <w:pStyle w:val="FirstParagraph"/>
      </w:pPr>
      <w:r>
        <w:t xml:space="preserve">The analysis acknowledges the 2026 LSR Standard. While specific land-use change data for raw materials were not provided in the illustrative BOM, the framework is designed to integrate such data for future, more granular assessments. The methodology is prepared to account for carbon removals and emissions associated with land management where relevant data becomes available, ensuring alignment with the updated standard.</w:t>
      </w:r>
    </w:p>
    <w:p>
      <w:r>
        <w:pict>
          <v:rect style="width:0;height:1.5pt" o:hralign="center" o:hrstd="t" o:hr="t"/>
        </w:pict>
      </w:r>
    </w:p>
    <w:bookmarkEnd w:id="44"/>
    <w:bookmarkEnd w:id="45"/>
    <w:bookmarkStart w:id="49" w:name="review-reporting"/>
    <w:p>
      <w:pPr>
        <w:pStyle w:val="Heading2"/>
      </w:pPr>
      <w:r>
        <w:t xml:space="preserve">6. Review &amp; Reporting</w:t>
      </w:r>
    </w:p>
    <w:bookmarkStart w:id="46" w:name="hotspot-identification"/>
    <w:p>
      <w:pPr>
        <w:pStyle w:val="Heading3"/>
      </w:pPr>
      <w:r>
        <w:t xml:space="preserve">6.1. Hotspot Identification</w:t>
      </w:r>
    </w:p>
    <w:p>
      <w:pPr>
        <w:pStyle w:val="FirstParagraph"/>
      </w:pPr>
      <w:r>
        <w:t xml:space="preserve">The primary carbon hotspots for zlwtfmnmrt are identified as:</w:t>
      </w:r>
    </w:p>
    <w:p>
      <w:pPr>
        <w:numPr>
          <w:ilvl w:val="0"/>
          <w:numId w:val="1016"/>
        </w:numPr>
        <w:pStyle w:val="Compact"/>
      </w:pPr>
      <w:r>
        <w:rPr>
          <w:bCs/>
          <w:b/>
        </w:rPr>
        <w:t xml:space="preserve">Manufacturing Energy (Scope 2):</w:t>
      </w:r>
      <w:r>
        <w:t xml:space="preserve"> </w:t>
      </w:r>
      <w:r>
        <w:t xml:space="preserve">Representing 59.1% of the total PCF. This highlights the high carbon intensity of the electricity grid in the production country (China) and the product\'s energy requirements.</w:t>
      </w:r>
    </w:p>
    <w:p>
      <w:pPr>
        <w:numPr>
          <w:ilvl w:val="0"/>
          <w:numId w:val="1016"/>
        </w:numPr>
        <w:pStyle w:val="Compact"/>
      </w:pPr>
      <w:r>
        <w:rPr>
          <w:bCs/>
          <w:b/>
        </w:rPr>
        <w:t xml:space="preserve">Material Acquisition (Scope 3 Upstream):</w:t>
      </w:r>
      <w:r>
        <w:t xml:space="preserve"> </w:t>
      </w:r>
      <w:r>
        <w:t xml:space="preserve">Accounting for 23.6% of the total PCF, driven by the specific materials used as detailed in the BOM.</w:t>
      </w:r>
    </w:p>
    <w:p>
      <w:pPr>
        <w:numPr>
          <w:ilvl w:val="0"/>
          <w:numId w:val="1016"/>
        </w:numPr>
        <w:pStyle w:val="Compact"/>
      </w:pPr>
      <w:r>
        <w:rPr>
          <w:bCs/>
          <w:b/>
        </w:rPr>
        <w:t xml:space="preserve">Use Phase (Scope 3 Downstream):</w:t>
      </w:r>
      <w:r>
        <w:t xml:space="preserve"> </w:t>
      </w:r>
      <w:r>
        <w:t xml:space="preserve">Contributing 20.1% to the total PCF, indicating that customer energy consumption over the product\'s lifespan is significant.</w:t>
      </w:r>
    </w:p>
    <w:bookmarkEnd w:id="46"/>
    <w:bookmarkStart w:id="47" w:name="reliability-and-limitations"/>
    <w:p>
      <w:pPr>
        <w:pStyle w:val="Heading3"/>
      </w:pPr>
      <w:r>
        <w:t xml:space="preserve">6.2. Reliability and Limitations</w:t>
      </w:r>
    </w:p>
    <w:p>
      <w:pPr>
        <w:pStyle w:val="FirstParagraph"/>
      </w:pPr>
      <w:r>
        <w:t xml:space="preserve">The reliability of this report is high for the categories where specific data or pre-calculated carbon values were provided (e.g., BOM). However, it is subject to the following limitations:</w:t>
      </w:r>
    </w:p>
    <w:p>
      <w:pPr>
        <w:numPr>
          <w:ilvl w:val="0"/>
          <w:numId w:val="1017"/>
        </w:numPr>
        <w:pStyle w:val="Compact"/>
      </w:pPr>
      <w:r>
        <w:rPr>
          <w:bCs/>
          <w:b/>
        </w:rPr>
        <w:t xml:space="preserve">Illustrative Data:</w:t>
      </w:r>
      <w:r>
        <w:t xml:space="preserve"> </w:t>
      </w:r>
      <w:r>
        <w:t xml:space="preserve">For parameters provided as placeholders (e.g., transport distance, energy consumption), illustrative values were assumed, which may not perfectly reflect real-world scenarios.</w:t>
      </w:r>
    </w:p>
    <w:p>
      <w:pPr>
        <w:numPr>
          <w:ilvl w:val="0"/>
          <w:numId w:val="1017"/>
        </w:numPr>
        <w:pStyle w:val="Compact"/>
      </w:pPr>
      <w:r>
        <w:rPr>
          <w:bCs/>
          <w:b/>
        </w:rPr>
        <w:t xml:space="preserve">Generic Emission Factors:</w:t>
      </w:r>
      <w:r>
        <w:t xml:space="preserve"> </w:t>
      </w:r>
      <w:r>
        <w:t xml:space="preserve">While industry-standard emission factors were used, these are generalized and may not perfectly capture the specificities of individual suppliers or processes.</w:t>
      </w:r>
    </w:p>
    <w:p>
      <w:pPr>
        <w:numPr>
          <w:ilvl w:val="0"/>
          <w:numId w:val="1017"/>
        </w:numPr>
        <w:pStyle w:val="Compact"/>
      </w:pPr>
      <w:r>
        <w:rPr>
          <w:bCs/>
          <w:b/>
        </w:rPr>
        <w:t xml:space="preserve">End-of-Life Assumptions:</w:t>
      </w:r>
      <w:r>
        <w:t xml:space="preserve"> </w:t>
      </w:r>
      <w:r>
        <w:t xml:space="preserve">The EoL calculation relies on illustrative avoided emission factors and disposal burdens due to the absence of highly specific data.</w:t>
      </w:r>
    </w:p>
    <w:p>
      <w:pPr>
        <w:numPr>
          <w:ilvl w:val="0"/>
          <w:numId w:val="1017"/>
        </w:numPr>
        <w:pStyle w:val="Compact"/>
      </w:pPr>
      <w:r>
        <w:rPr>
          <w:bCs/>
          <w:b/>
        </w:rPr>
        <w:t xml:space="preserve">LSR Standard:</w:t>
      </w:r>
      <w:r>
        <w:t xml:space="preserve"> </w:t>
      </w:r>
      <w:r>
        <w:t xml:space="preserve">While acknowledging the 2026 LSR Standard, the full quantification of land sector emissions and removals was limited by the absence of specific land-use data.</w:t>
      </w:r>
    </w:p>
    <w:bookmarkEnd w:id="47"/>
    <w:bookmarkStart w:id="48" w:name="recommendations-for-future-analysis"/>
    <w:p>
      <w:pPr>
        <w:pStyle w:val="Heading3"/>
      </w:pPr>
      <w:r>
        <w:t xml:space="preserve">6.3. Recommendations for Future Analysis</w:t>
      </w:r>
    </w:p>
    <w:p>
      <w:pPr>
        <w:numPr>
          <w:ilvl w:val="0"/>
          <w:numId w:val="1018"/>
        </w:numPr>
        <w:pStyle w:val="Compact"/>
      </w:pPr>
      <w:r>
        <w:t xml:space="preserve">Gather primary data for all placeholder parameters (e.g., actual transport distances, specific energy consumption profiles, and actual EoL treatment pathways).</w:t>
      </w:r>
    </w:p>
    <w:p>
      <w:pPr>
        <w:numPr>
          <w:ilvl w:val="0"/>
          <w:numId w:val="1018"/>
        </w:numPr>
        <w:pStyle w:val="Compact"/>
      </w:pPr>
      <w:r>
        <w:t xml:space="preserve">Source country-specific and supplier-specific emission factors for materials and processes where possible to enhance accuracy.</w:t>
      </w:r>
    </w:p>
    <w:p>
      <w:pPr>
        <w:numPr>
          <w:ilvl w:val="0"/>
          <w:numId w:val="1018"/>
        </w:numPr>
        <w:pStyle w:val="Compact"/>
      </w:pPr>
      <w:r>
        <w:t xml:space="preserve">Conduct a detailed assessment of Land Use and Land Use Change (LULUC) impacts for key raw materials to fully comply with the 2026 LSR Standard.</w:t>
      </w:r>
    </w:p>
    <w:p>
      <w:pPr>
        <w:numPr>
          <w:ilvl w:val="0"/>
          <w:numId w:val="1018"/>
        </w:numPr>
        <w:pStyle w:val="Compact"/>
      </w:pPr>
      <w:r>
        <w:t xml:space="preserve">Explore opportunities for further decarbonization in manufacturing by increasing renewable energy adoption and improving energy efficiency.</w:t>
      </w:r>
    </w:p>
    <w:p>
      <w:pPr>
        <w:numPr>
          <w:ilvl w:val="0"/>
          <w:numId w:val="1018"/>
        </w:numPr>
        <w:pStyle w:val="Compact"/>
      </w:pPr>
      <w:r>
        <w:t xml:space="preserve">Investigate opportunities to reduce use-phase energy consumption through product design improvements.</w:t>
      </w:r>
    </w:p>
    <w:p>
      <w:pPr>
        <w:numPr>
          <w:ilvl w:val="0"/>
          <w:numId w:val="1018"/>
        </w:numPr>
        <w:pStyle w:val="Compact"/>
      </w:pPr>
      <w:r>
        <w:t xml:space="preserve">Enhance circular economy initiatives, particularly expanding take-back and refurbishment programs, to maximize product lifespan and material utility.</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zlwtfmnmrt</dc:title>
  <dc:creator/>
  <dc:description>High-detail Product Carbon Footprint (PCF) analysis for zlwtfmnmrt by msgyrdqwxd, Senior Sustainability Consultant at zhtfpqlwhn, adhering to GHG Protocol and 2026 LSR Update.</dc:description>
  <dc:language>en</dc:language>
  <cp:keywords/>
  <dcterms:created xsi:type="dcterms:W3CDTF">2026-07-15T20:15:03Z</dcterms:created>
  <dcterms:modified xsi:type="dcterms:W3CDTF">2026-07-15T20:15:03Z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