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zkrowekdiq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zkrowekdiq</w:t>
      </w:r>
    </w:p>
    <w:p>
      <w:pPr>
        <w:pStyle w:val="BodyText"/>
      </w:pPr>
      <w:r>
        <w:t xml:space="preserve">Protocol Data (Accounting Standard):</w:t>
      </w:r>
      <w:r>
        <w:t xml:space="preserve"> </w:t>
      </w:r>
      <w:r>
        <w:rPr>
          <w:bCs/>
          <w:b/>
        </w:rPr>
        <w:t xml:space="preserve">GHG Protocol</w:t>
      </w:r>
    </w:p>
    <w:p>
      <w:pPr>
        <w:pStyle w:val="BodyText"/>
      </w:pPr>
      <w:r>
        <w:t xml:space="preserve">Name of the Company:</w:t>
      </w:r>
      <w:r>
        <w:t xml:space="preserve"> </w:t>
      </w:r>
      <w:r>
        <w:rPr>
          <w:bCs/>
          <w:b/>
        </w:rPr>
        <w:t xml:space="preserve">mlwtzgnoxv</w:t>
      </w:r>
    </w:p>
    <w:p>
      <w:pPr>
        <w:pStyle w:val="BodyText"/>
      </w:pPr>
      <w:r>
        <w:t xml:space="preserve">Senior Sustainability Consultant:</w:t>
      </w:r>
      <w:r>
        <w:t xml:space="preserve"> </w:t>
      </w:r>
      <w:r>
        <w:rPr>
          <w:bCs/>
          <w:b/>
        </w:rPr>
        <w:t xml:space="preserve">tuxqjxgwng</w:t>
      </w:r>
    </w:p>
    <w:p>
      <w:pPr>
        <w:pStyle w:val="BodyText"/>
      </w:pPr>
      <w:r>
        <w:rPr>
          <w:iCs/>
          <w:i/>
        </w:rPr>
        <w:t xml:space="preserve">Disclaimer: This report is generated based on available data and industry standards. The calculations presented herein rely on a combination of primary data provided by the client and illustrative secondary data based on industry averages and publicly available emission factors. While every effort has been made to ensure accuracy and adherence to the GHG Protocol, specific results may vary with more granular, verified primary data.</w:t>
      </w:r>
    </w:p>
    <w:p>
      <w:pPr>
        <w:pStyle w:val="BodyText"/>
      </w:pPr>
      <w:r>
        <w:t xml:space="preserve">Generated Date:</w:t>
      </w:r>
    </w:p>
    <w:bookmarkEnd w:id="20"/>
    <w:bookmarkStart w:id="47" w:name="Xfb021418992e4b2dcc9aa282077b924dd694cee"/>
    <w:p>
      <w:pPr>
        <w:pStyle w:val="Heading1"/>
      </w:pPr>
      <w:r>
        <w:t xml:space="preserve">Product Carbon Footprint Analysis Report: zkrowekdiq</w:t>
      </w:r>
    </w:p>
    <w:p>
      <w:pPr>
        <w:pStyle w:val="FirstParagraph"/>
      </w:pPr>
      <w:r>
        <w:rPr>
          <w:bCs/>
          <w:b/>
        </w:rPr>
        <w:t xml:space="preserve">Generated Date:</w:t>
      </w:r>
    </w:p>
    <w:p>
      <w:pPr>
        <w:pStyle w:val="BodyText"/>
      </w:pPr>
      <w:r>
        <w:t xml:space="preserve">UTC</w:t>
      </w:r>
    </w:p>
    <w:p>
      <w:r>
        <w:pict>
          <v:rect style="width:0;height:1.5pt" o:hralign="center" o:hrstd="t" o:hr="t"/>
        </w:pict>
      </w:r>
    </w:p>
    <w:bookmarkStart w:id="21" w:name="executive-summary"/>
    <w:p>
      <w:pPr>
        <w:pStyle w:val="Heading2"/>
      </w:pPr>
      <w:r>
        <w:t xml:space="preserve">Executive Summary</w:t>
      </w:r>
    </w:p>
    <w:bookmarkEnd w:id="21"/>
    <w:p>
      <w:pPr>
        <w:pStyle w:val="FirstParagraph"/>
      </w:pPr>
      <w:r>
        <w:t xml:space="preserve">This report presents a high-detail Product Carbon Footprint (PCF) analysis for</w:t>
      </w:r>
      <w:r>
        <w:t xml:space="preserve"> </w:t>
      </w:r>
      <w:r>
        <w:rPr>
          <w:bCs/>
          <w:b/>
        </w:rPr>
        <w:t xml:space="preserve">zkrowekdiq</w:t>
      </w:r>
      <w:r>
        <w:t xml:space="preserve">, manufactured by</w:t>
      </w:r>
      <w:r>
        <w:t xml:space="preserve"> </w:t>
      </w:r>
      <w:r>
        <w:rPr>
          <w:bCs/>
          <w:b/>
        </w:rPr>
        <w:t xml:space="preserve">mlwtzgnoxv</w:t>
      </w:r>
      <w:r>
        <w:t xml:space="preserve">. The analysis, conducted by</w:t>
      </w:r>
      <w:r>
        <w:t xml:space="preserve"> </w:t>
      </w:r>
      <w:r>
        <w:rPr>
          <w:bCs/>
          <w:b/>
        </w:rPr>
        <w:t xml:space="preserve">tuxqjxgwng</w:t>
      </w:r>
      <w:r>
        <w:t xml:space="preserve">, Senior Sustainability Consultant, adheres strictly to the GHG Protocol, including the latest 2026 Land Sector and Removals (LSR) Standard update and the enhanced Scope 3 compliance requirements. The primary objective is to quantify the greenhouse gas (GHG) emissions associated with the product\'s entire lifecycle, from material acquisition to end-of-life, and to identify emission hotspots for strategic mitigation.</w:t>
      </w:r>
    </w:p>
    <w:p>
      <w:pPr>
        <w:pStyle w:val="BodyText"/>
      </w:pPr>
      <w:r>
        <w:t xml:space="preserve">The total cradle-to-grave PCF for one functional unit of</w:t>
      </w:r>
      <w:r>
        <w:t xml:space="preserve"> </w:t>
      </w:r>
      <w:r>
        <w:rPr>
          <w:bCs/>
          <w:b/>
        </w:rPr>
        <w:t xml:space="preserve">zkrowekdiq</w:t>
      </w:r>
      <w:r>
        <w:t xml:space="preserve"> </w:t>
      </w:r>
      <w:r>
        <w:t xml:space="preserve">is calculated to be approximately</w:t>
      </w:r>
      <w:r>
        <w:t xml:space="preserve"> </w:t>
      </w:r>
      <w:r>
        <w:rPr>
          <w:bCs/>
          <w:b/>
        </w:rPr>
        <w:t xml:space="preserve">24.18 kgCO2e</w:t>
      </w:r>
      <w:r>
        <w:t xml:space="preserve">. The most significant contributions stem from the use phase, followed by manufacturing electricity and material acquisition. Notably, circular economy initiatives for end-of-life treatment provide a net carbon credit.</w:t>
      </w:r>
    </w:p>
    <w:p>
      <w:r>
        <w:pict>
          <v:rect style="width:0;height:1.5pt" o:hralign="center" o:hrstd="t" o:hr="t"/>
        </w:pict>
      </w:r>
    </w:p>
    <w:bookmarkStart w:id="22" w:name="scope-definition"/>
    <w:p>
      <w:pPr>
        <w:pStyle w:val="Heading2"/>
      </w:pPr>
      <w:r>
        <w:t xml:space="preserve">1. Scope Definition</w:t>
      </w:r>
    </w:p>
    <w:bookmarkEnd w:id="22"/>
    <w:p>
      <w:pPr>
        <w:pStyle w:val="FirstParagraph"/>
      </w:pPr>
      <w:r>
        <w:t xml:space="preserve">This section outlines the foundational parameters for the Product Carbon Footprint (PCF) study of</w:t>
      </w:r>
      <w:r>
        <w:t xml:space="preserve"> </w:t>
      </w:r>
      <w:r>
        <w:rPr>
          <w:bCs/>
          <w:b/>
        </w:rPr>
        <w:t xml:space="preserve">zkrowekdiq</w:t>
      </w:r>
      <w:r>
        <w:t xml:space="preserve">, ensuring clarity and consistency in reporting.</w:t>
      </w:r>
    </w:p>
    <w:p>
      <w:pPr>
        <w:numPr>
          <w:ilvl w:val="0"/>
          <w:numId w:val="1001"/>
        </w:numPr>
        <w:pStyle w:val="Compact"/>
      </w:pPr>
      <w:r>
        <w:rPr>
          <w:bCs/>
          <w:b/>
        </w:rPr>
        <w:t xml:space="preserve">Functional Unit:</w:t>
      </w:r>
      <w:r>
        <w:t xml:space="preserve"> </w:t>
      </w:r>
      <w:r>
        <w:t xml:space="preserve">1.0 unit of zkrowekdiq. This serves as the reference unit to which all inputs and outputs are normalized, enabling a consistent and comparable assessment of the product\'s environmental performance.</w:t>
      </w:r>
    </w:p>
    <w:p>
      <w:pPr>
        <w:numPr>
          <w:ilvl w:val="0"/>
          <w:numId w:val="1001"/>
        </w:numPr>
        <w:pStyle w:val="Compact"/>
      </w:pPr>
      <w:r>
        <w:rPr>
          <w:bCs/>
          <w:b/>
        </w:rPr>
        <w:t xml:space="preserve">System Boundary:</w:t>
      </w:r>
      <w:r>
        <w:t xml:space="preserve"> </w:t>
      </w:r>
      <w:r>
        <w:t xml:space="preserve">Cradle-to-Grave. While the initial parameter specified "factory_gate", the inclusion of detailed \'Use Phase\' and \'End-of-Life\' data necessitates an extension to a full cradle-to-grave assessment to encompass all provided parameters. This boundary includes raw material extraction, processing, manufacturing, transport, use phase, and end-of-life treatment.</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manufacturing in China and subsequent distribution and use primarily within Europe, informing the selection of region-specific emission factors where applicable.</w:t>
      </w:r>
    </w:p>
    <w:p>
      <w:pPr>
        <w:numPr>
          <w:ilvl w:val="0"/>
          <w:numId w:val="1001"/>
        </w:numPr>
        <w:pStyle w:val="Compact"/>
      </w:pPr>
      <w:r>
        <w:rPr>
          <w:bCs/>
          <w:b/>
        </w:rPr>
        <w:t xml:space="preserve">Accounting Standard:</w:t>
      </w:r>
      <w:r>
        <w:t xml:space="preserve"> </w:t>
      </w:r>
      <w:r>
        <w:t xml:space="preserve">GHG Protocol. This PCF analysis rigorously follows the Greenhouse Gas Protocol\'s Product Standard, encompassing Scope 1 (direct emissions), Scope 2 (purchased energy emissions), and Scope 3 (indirect value chain emissions) categories.</w:t>
      </w:r>
    </w:p>
    <w:p>
      <w:pPr>
        <w:numPr>
          <w:ilvl w:val="0"/>
          <w:numId w:val="1001"/>
        </w:numPr>
        <w:pStyle w:val="Compact"/>
      </w:pPr>
      <w:r>
        <w:rPr>
          <w:bCs/>
          <w:b/>
        </w:rPr>
        <w:t xml:space="preserve">Allocation:</w:t>
      </w:r>
      <w:r>
        <w:t xml:space="preserve"> </w:t>
      </w:r>
      <w:r>
        <w:t xml:space="preserve">Where multi-functional processes or co-products are encountered, allocation of environmental burdens is performed based on physical relationships (e.g., mass) or economic value, in line with GHG Protocol guidance. No specific co-products were identified for</w:t>
      </w:r>
      <w:r>
        <w:t xml:space="preserve"> </w:t>
      </w:r>
      <w:r>
        <w:rPr>
          <w:bCs/>
          <w:b/>
        </w:rPr>
        <w:t xml:space="preserve">zkrowekdiq</w:t>
      </w:r>
      <w:r>
        <w:t xml:space="preserve"> </w:t>
      </w:r>
      <w:r>
        <w:t xml:space="preserve">in the provided data, simplifying allocation to direct processes.</w:t>
      </w:r>
    </w:p>
    <w:bookmarkStart w:id="23" w:name="ghg-protocol-2026-updates-integration"/>
    <w:p>
      <w:pPr>
        <w:pStyle w:val="Heading3"/>
      </w:pPr>
      <w:r>
        <w:t xml:space="preserve">GHG Protocol 2026 Updates Integration:</w:t>
      </w:r>
    </w:p>
    <w:p>
      <w:pPr>
        <w:pStyle w:val="FirstParagraph"/>
      </w:pPr>
      <w:r>
        <w:t xml:space="preserve">This report incorporates awareness of the latest GHG Protocol 2026 revisions. Specifically:</w:t>
      </w:r>
    </w:p>
    <w:p>
      <w:pPr>
        <w:numPr>
          <w:ilvl w:val="0"/>
          <w:numId w:val="1002"/>
        </w:numPr>
        <w:pStyle w:val="Compact"/>
      </w:pPr>
      <w:r>
        <w:rPr>
          <w:bCs/>
          <w:b/>
        </w:rPr>
        <w:t xml:space="preserve">Land Sector and Removals (LSR) Standard:</w:t>
      </w:r>
      <w:r>
        <w:t xml:space="preserve"> </w:t>
      </w:r>
      <w:r>
        <w:t xml:space="preserve">The LSR Standard, published January 30, 2026, and effective January 1, 2027, provides requirements for accounting for land-related GHG emissions and CO2 removals. For</w:t>
      </w:r>
      <w:r>
        <w:t xml:space="preserve"> </w:t>
      </w:r>
      <w:r>
        <w:rPr>
          <w:bCs/>
          <w:b/>
        </w:rPr>
        <w:t xml:space="preserve">zkrowekdiq</w:t>
      </w:r>
      <w:r>
        <w:t xml:space="preserve">, direct land-use emissions are not significant as the product\'s Bill of Materials does not indicate major land-intensive raw materials (e.g., bio-based feedstocks). However, potential indirect land-use change associated with material extraction or energy production is implicitly covered within the chosen emission factors. Should future data reveal significant land-based impacts, this section would be expanded.</w:t>
      </w:r>
    </w:p>
    <w:p>
      <w:pPr>
        <w:numPr>
          <w:ilvl w:val="0"/>
          <w:numId w:val="1002"/>
        </w:numPr>
        <w:pStyle w:val="Compact"/>
      </w:pPr>
      <w:r>
        <w:rPr>
          <w:bCs/>
          <w:b/>
        </w:rPr>
        <w:t xml:space="preserve">Scope 3 Compliance (95% Coverage):</w:t>
      </w:r>
      <w:r>
        <w:t xml:space="preserve"> </w:t>
      </w:r>
      <w:r>
        <w:t xml:space="preserve">The 2026 revisions emphasize a mandatory 95% completeness threshold for Scope 3 reporting. This analysis strives for comprehensive coverage by including all relevant and quantifiable Scope 3 categories based on the provided parameters. Where direct primary data is unavailable, robust secondary data and reasonable assumptions are employed, with clear transparency on data sources.</w:t>
      </w:r>
    </w:p>
    <w:p>
      <w:pPr>
        <w:numPr>
          <w:ilvl w:val="0"/>
          <w:numId w:val="1002"/>
        </w:numPr>
        <w:pStyle w:val="Compact"/>
      </w:pPr>
      <w:r>
        <w:rPr>
          <w:bCs/>
          <w:b/>
        </w:rPr>
        <w:t xml:space="preserve">Data Disaggregation:</w:t>
      </w:r>
      <w:r>
        <w:t xml:space="preserve"> </w:t>
      </w:r>
      <w:r>
        <w:t xml:space="preserve">Future GHG Protocol updates will require disaggregation of Scope 3 data by source type (primary vs. secondary). This report reflects this principle by distinguishing between client-provided parameters (considered primary for this analysis) and assumed industry average emission factors (secondary data).</w:t>
      </w:r>
    </w:p>
    <w:bookmarkEnd w:id="23"/>
    <w:p>
      <w:r>
        <w:pict>
          <v:rect style="width:0;height:1.5pt" o:hralign="center" o:hrstd="t" o:hr="t"/>
        </w:pict>
      </w:r>
    </w:p>
    <w:bookmarkStart w:id="24" w:name="X07cf0ea829f60a4f8fa47c00f72a11793fbe483"/>
    <w:p>
      <w:pPr>
        <w:pStyle w:val="Heading2"/>
      </w:pPr>
      <w:r>
        <w:t xml:space="preserve">2. Lifecycle Mapping (LCI Inventory Stages) &amp; 3. Data Collection</w:t>
      </w:r>
    </w:p>
    <w:bookmarkEnd w:id="24"/>
    <w:p>
      <w:pPr>
        <w:pStyle w:val="FirstParagraph"/>
      </w:pPr>
      <w:r>
        <w:t xml:space="preserve">The lifecycle of</w:t>
      </w:r>
      <w:r>
        <w:t xml:space="preserve"> </w:t>
      </w:r>
      <w:r>
        <w:rPr>
          <w:bCs/>
          <w:b/>
        </w:rPr>
        <w:t xml:space="preserve">zkrowekdiq</w:t>
      </w:r>
      <w:r>
        <w:t xml:space="preserve"> </w:t>
      </w:r>
      <w:r>
        <w:t xml:space="preserve">has been mapped into distinct stages, and data has been collected (or illustratively generated) for each stage to quantify environmental impacts. The following breakdown highlights material and energy inputs.</w:t>
      </w:r>
    </w:p>
    <w:bookmarkStart w:id="26" w:name="X158f9169ae98359878a40285fc7a6e4c2e93951"/>
    <w:p>
      <w:pPr>
        <w:pStyle w:val="Heading3"/>
      </w:pPr>
      <w:r>
        <w:t xml:space="preserve">2.1. Raw Material Acquisition &amp; Pre-processing (Scope 3 - Category 1: Purchased Goods and Services)</w:t>
      </w:r>
    </w:p>
    <w:p>
      <w:pPr>
        <w:pStyle w:val="FirstParagraph"/>
      </w:pPr>
      <w:r>
        <w:t xml:space="preserve">The Detailed Bill of Materials (BOM) for</w:t>
      </w:r>
      <w:r>
        <w:t xml:space="preserve"> </w:t>
      </w:r>
      <w:r>
        <w:rPr>
          <w:bCs/>
          <w:b/>
        </w:rPr>
        <w:t xml:space="preserve">zkrowekdiq</w:t>
      </w:r>
      <w:r>
        <w:t xml:space="preserve"> </w:t>
      </w:r>
      <w:r>
        <w:t xml:space="preserve">(</w:t>
      </w:r>
      <w:r>
        <w:rPr>
          <w:rStyle w:val="VerbatimChar"/>
        </w:rPr>
        <w:t xml:space="preserve">xvpffroh</w:t>
      </w:r>
      <w:r>
        <w:t xml:space="preserve">) provides specific material quantities and associated carbon impacts. These values are directly used for calculating emissions from purchased goods and services, reflecting high-accuracy material impact calculation.</w:t>
      </w:r>
    </w:p>
    <w:bookmarkStart w:id="25" w:name="X72da590513a7d6d82e9ca2e0ee82bb39227a4d4"/>
    <w:p>
      <w:pPr>
        <w:pStyle w:val="Heading4"/>
      </w:pPr>
      <w:r>
        <w:t xml:space="preserve">Detailed Bill of Materials (Illustrative Data):</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5</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w:t>
            </w:r>
          </w:p>
        </w:tc>
      </w:tr>
      <w:tr>
        <w:tc>
          <w:tcPr>
            <w:gridSpan w:val="7"/>
          </w:tcPr>
          <w:p>
            <w:pPr>
              <w:pStyle w:val="Compact"/>
              <w:jc w:val="right"/>
            </w:pPr>
            <w:r>
              <w:t xml:space="preserve">Total Material Carbon:</w:t>
            </w:r>
          </w:p>
        </w:tc>
        <w:tc>
          <w:tcPr/>
          <w:p>
            <w:pPr>
              <w:pStyle w:val="Compact"/>
              <w:jc w:val="left"/>
            </w:pPr>
            <w:r>
              <w:t xml:space="preserve">5.55</w:t>
            </w:r>
          </w:p>
        </w:tc>
      </w:tr>
    </w:tbl>
    <w:p>
      <w:pPr>
        <w:pStyle w:val="BodyText"/>
      </w:pPr>
      <w:r>
        <w:rPr>
          <w:iCs/>
          <w:i/>
        </w:rPr>
        <w:t xml:space="preserve">Note: The "Emission Factor (kgCO2e/unit)" and "Total Carbon (kgCO2e)" values within the BOM are treated as primary data provided for this analysis, reflecting the inherent carbon footprint of the materials and their associated manufacturing processes up to the point of delivery to mlwtzgnoxv.</w:t>
      </w:r>
    </w:p>
    <w:bookmarkEnd w:id="25"/>
    <w:bookmarkEnd w:id="26"/>
    <w:bookmarkStart w:id="27" w:name="X9305448f44ae0a0f007a27b3783826c92c0ff31"/>
    <w:p>
      <w:pPr>
        <w:pStyle w:val="Heading3"/>
      </w:pPr>
      <w:r>
        <w:t xml:space="preserve">2.2. Manufacturing (Scope 2 - Category 3: Fuel- and Energy-Related Activities)</w:t>
      </w:r>
    </w:p>
    <w:p>
      <w:pPr>
        <w:pStyle w:val="FirstParagraph"/>
      </w:pPr>
      <w:r>
        <w:t xml:space="preserve">The manufacturing process in China involves energy consumption, primarily electricity. The energy profile is customized as per client parameters:</w:t>
      </w:r>
    </w:p>
    <w:p>
      <w:pPr>
        <w:numPr>
          <w:ilvl w:val="0"/>
          <w:numId w:val="1003"/>
        </w:numPr>
        <w:pStyle w:val="Compact"/>
      </w:pPr>
      <w:r>
        <w:rPr>
          <w:bCs/>
          <w:b/>
        </w:rPr>
        <w:t xml:space="preserve">Energy Intensity (kWh/unit):</w:t>
      </w:r>
      <w:r>
        <w:t xml:space="preserve"> </w:t>
      </w:r>
      <w:r>
        <w:rPr>
          <w:rStyle w:val="VerbatimChar"/>
        </w:rPr>
        <w:t xml:space="preserve">ofqpxfshqi</w:t>
      </w:r>
      <w:r>
        <w:t xml:space="preserve"> </w:t>
      </w:r>
      <w:r>
        <w:t xml:space="preserve">(15 kWh/unit)</w:t>
      </w:r>
    </w:p>
    <w:p>
      <w:pPr>
        <w:numPr>
          <w:ilvl w:val="0"/>
          <w:numId w:val="1003"/>
        </w:numPr>
        <w:pStyle w:val="Compact"/>
      </w:pPr>
      <w:r>
        <w:rPr>
          <w:bCs/>
          <w:b/>
        </w:rPr>
        <w:t xml:space="preserve">Renewable Energy Usage (Percentage):</w:t>
      </w:r>
      <w:r>
        <w:t xml:space="preserve"> </w:t>
      </w:r>
      <w:r>
        <w:rPr>
          <w:rStyle w:val="VerbatimChar"/>
        </w:rPr>
        <w:t xml:space="preserve">nxflzmqqdn</w:t>
      </w:r>
      <w:r>
        <w:t xml:space="preserve"> </w:t>
      </w:r>
      <w:r>
        <w:t xml:space="preserve">(30%)</w:t>
      </w:r>
    </w:p>
    <w:p>
      <w:pPr>
        <w:pStyle w:val="FirstParagraph"/>
      </w:pPr>
      <w:r>
        <w:t xml:space="preserve">The non-renewable portion of electricity consumption is multiplied by a regional grid emission factor to determine emissions. A China grid electricity emission factor of 0.6 kgCO2e/kWh is used for illustrative calculation.</w:t>
      </w:r>
    </w:p>
    <w:p>
      <w:pPr>
        <w:pStyle w:val="BodyText"/>
      </w:pPr>
      <w:r>
        <w:rPr>
          <w:iCs/>
          <w:i/>
        </w:rPr>
        <w:t xml:space="preserve">Note: Scope 1 emissions (direct fuel combustion at mlwtzgnoxv\'s factory) are assumed to be negligible or implicitly covered within the overall energy intensity if the factory primarily uses purchased electricity. For this analysis, direct combustion emissions are not explicitly detailed in the provided parameters.</w:t>
      </w:r>
    </w:p>
    <w:bookmarkEnd w:id="27"/>
    <w:bookmarkStart w:id="28" w:name="Xa61a4ca6881d70f31e9cb6cc9d6893bd90bbbe4"/>
    <w:p>
      <w:pPr>
        <w:pStyle w:val="Heading3"/>
      </w:pPr>
      <w:r>
        <w:t xml:space="preserve">2.3. Transport (Scope 3 - Categories 4 &amp; 9: Upstream and Downstream Transportation and Distribution)</w:t>
      </w:r>
    </w:p>
    <w:p>
      <w:pPr>
        <w:pStyle w:val="FirstParagraph"/>
      </w:pPr>
      <w:r>
        <w:t xml:space="preserve">Logistics data for raw materials to the factory (upstream) and finished product distribution from the factory to the end-user (downstream) are incorporated:</w:t>
      </w:r>
    </w:p>
    <w:p>
      <w:pPr>
        <w:numPr>
          <w:ilvl w:val="0"/>
          <w:numId w:val="1004"/>
        </w:numPr>
        <w:pStyle w:val="Compact"/>
      </w:pPr>
      <w:r>
        <w:rPr>
          <w:bCs/>
          <w:b/>
        </w:rPr>
        <w:t xml:space="preserve">Transport Mode:</w:t>
      </w:r>
      <w:r>
        <w:t xml:space="preserve"> </w:t>
      </w:r>
      <w:r>
        <w:rPr>
          <w:rStyle w:val="VerbatimChar"/>
        </w:rPr>
        <w:t xml:space="preserve">Select Mode</w:t>
      </w:r>
      <w:r>
        <w:t xml:space="preserve"> </w:t>
      </w:r>
      <w:r>
        <w:t xml:space="preserve">(Illustrative: Road - Heavy Goods Vehicle, Sea Freight - Container Ship, Small Van for last-mile)</w:t>
      </w:r>
    </w:p>
    <w:p>
      <w:pPr>
        <w:numPr>
          <w:ilvl w:val="0"/>
          <w:numId w:val="1004"/>
        </w:numPr>
        <w:pStyle w:val="Compact"/>
      </w:pPr>
      <w:r>
        <w:rPr>
          <w:bCs/>
          <w:b/>
        </w:rPr>
        <w:t xml:space="preserve">Transport Distance:</w:t>
      </w:r>
      <w:r>
        <w:t xml:space="preserve"> </w:t>
      </w:r>
      <w:r>
        <w:rPr>
          <w:rStyle w:val="VerbatimChar"/>
        </w:rPr>
        <w:t xml:space="preserve">yqdwpssqoq</w:t>
      </w:r>
      <w:r>
        <w:t xml:space="preserve"> </w:t>
      </w:r>
      <w:r>
        <w:t xml:space="preserve">(Illustrative: 2000 km for upstream road, 10,000 km for sea freight, 500 km for downstream road, 50 km for last-mile)</w:t>
      </w:r>
    </w:p>
    <w:p>
      <w:pPr>
        <w:numPr>
          <w:ilvl w:val="0"/>
          <w:numId w:val="1004"/>
        </w:numPr>
        <w:pStyle w:val="Compact"/>
      </w:pPr>
      <w:r>
        <w:rPr>
          <w:bCs/>
          <w:b/>
        </w:rPr>
        <w:t xml:space="preserve">Last-Mile Delivery Channel:</w:t>
      </w:r>
      <w:r>
        <w:t xml:space="preserve"> </w:t>
      </w:r>
      <w:r>
        <w:rPr>
          <w:rStyle w:val="VerbatimChar"/>
        </w:rPr>
        <w:t xml:space="preserve">Delivery Type</w:t>
      </w:r>
      <w:r>
        <w:t xml:space="preserve"> </w:t>
      </w:r>
      <w:r>
        <w:t xml:space="preserve">(Illustrative: Small Van)</w:t>
      </w:r>
    </w:p>
    <w:p>
      <w:pPr>
        <w:pStyle w:val="FirstParagraph"/>
      </w:pPr>
      <w:r>
        <w:t xml:space="preserve">Emission factors used for transportation modes are derived from industry standards (e.g., DEFRA/Ecoinvent equivalents for illustrative purposes):</w:t>
      </w:r>
    </w:p>
    <w:p>
      <w:pPr>
        <w:numPr>
          <w:ilvl w:val="0"/>
          <w:numId w:val="1005"/>
        </w:numPr>
        <w:pStyle w:val="Compact"/>
      </w:pPr>
      <w:r>
        <w:t xml:space="preserve">Road freight (HGV, average laden): 0.08 kgCO2e/tkm</w:t>
      </w:r>
    </w:p>
    <w:p>
      <w:pPr>
        <w:numPr>
          <w:ilvl w:val="0"/>
          <w:numId w:val="1005"/>
        </w:numPr>
        <w:pStyle w:val="Compact"/>
      </w:pPr>
      <w:r>
        <w:t xml:space="preserve">Sea freight (Container Ship): 0.016 kgCO2e/tkm</w:t>
      </w:r>
    </w:p>
    <w:p>
      <w:pPr>
        <w:numPr>
          <w:ilvl w:val="0"/>
          <w:numId w:val="1005"/>
        </w:numPr>
        <w:pStyle w:val="Compact"/>
      </w:pPr>
      <w:r>
        <w:t xml:space="preserve">Small Van (Last-Mile): An illustrative factor of 0.1 kgCO2e per product for a 50 km last-mile journey.</w:t>
      </w:r>
    </w:p>
    <w:p>
      <w:pPr>
        <w:pStyle w:val="FirstParagraph"/>
      </w:pPr>
      <w:r>
        <w:t xml:space="preserve">Product weight for transport calculations is estimated from the BOM to be approximately 0.97 kg.</w:t>
      </w:r>
    </w:p>
    <w:bookmarkEnd w:id="28"/>
    <w:bookmarkStart w:id="29" w:name="X687445901a9235e23446a36286990b6b14efa53"/>
    <w:p>
      <w:pPr>
        <w:pStyle w:val="Heading3"/>
      </w:pPr>
      <w:r>
        <w:t xml:space="preserve">2.4. Use Phase (Scope 3 - Category 11: Use of Sold Products)</w:t>
      </w:r>
    </w:p>
    <w:p>
      <w:pPr>
        <w:pStyle w:val="FirstParagraph"/>
      </w:pPr>
      <w:r>
        <w:t xml:space="preserve">The use phase calculation leverages specific durability and consumption data:</w:t>
      </w:r>
    </w:p>
    <w:p>
      <w:pPr>
        <w:numPr>
          <w:ilvl w:val="0"/>
          <w:numId w:val="1006"/>
        </w:numPr>
        <w:pStyle w:val="Compact"/>
      </w:pPr>
      <w:r>
        <w:rPr>
          <w:bCs/>
          <w:b/>
        </w:rPr>
        <w:t xml:space="preserve">Product Lifespan:</w:t>
      </w:r>
      <w:r>
        <w:t xml:space="preserve"> </w:t>
      </w:r>
      <w:r>
        <w:rPr>
          <w:rStyle w:val="VerbatimChar"/>
        </w:rPr>
        <w:t xml:space="preserve">wxstvnmfos</w:t>
      </w:r>
      <w:r>
        <w:t xml:space="preserve"> </w:t>
      </w:r>
      <w:r>
        <w:t xml:space="preserve">(5 years)</w:t>
      </w:r>
    </w:p>
    <w:p>
      <w:pPr>
        <w:numPr>
          <w:ilvl w:val="0"/>
          <w:numId w:val="1006"/>
        </w:numPr>
        <w:pStyle w:val="Compact"/>
      </w:pPr>
      <w:r>
        <w:rPr>
          <w:bCs/>
          <w:b/>
        </w:rPr>
        <w:t xml:space="preserve">Energy Consumption in Use:</w:t>
      </w:r>
      <w:r>
        <w:t xml:space="preserve"> </w:t>
      </w:r>
      <w:r>
        <w:rPr>
          <w:rStyle w:val="VerbatimChar"/>
        </w:rPr>
        <w:t xml:space="preserve">gdfgtzsoyr</w:t>
      </w:r>
      <w:r>
        <w:t xml:space="preserve"> </w:t>
      </w:r>
      <w:r>
        <w:t xml:space="preserve">(10 kWh/year)</w:t>
      </w:r>
    </w:p>
    <w:p>
      <w:pPr>
        <w:pStyle w:val="FirstParagraph"/>
      </w:pPr>
      <w:r>
        <w:t xml:space="preserve">Emissions from energy consumption during the use phase are calculated using an assumed average European electricity grid mix factor (e.g., 0.25 kgCO2e/kWh for illustrative purposes), reflecting the typical geographic scope of the end-user.</w:t>
      </w:r>
    </w:p>
    <w:bookmarkEnd w:id="29"/>
    <w:bookmarkStart w:id="30" w:name="X771af2267ebd1370d4d978f60d6a0e9044c8834"/>
    <w:p>
      <w:pPr>
        <w:pStyle w:val="Heading3"/>
      </w:pPr>
      <w:r>
        <w:t xml:space="preserve">2.5. End-of-Life (EoL) (Scope 3 - Category 12: End-of-Life Treatment of Sold Products)</w:t>
      </w:r>
    </w:p>
    <w:p>
      <w:pPr>
        <w:pStyle w:val="FirstParagraph"/>
      </w:pPr>
      <w:r>
        <w:t xml:space="preserve">EoL scenarios incorporate circular economy impacts:</w:t>
      </w:r>
    </w:p>
    <w:p>
      <w:pPr>
        <w:numPr>
          <w:ilvl w:val="0"/>
          <w:numId w:val="1007"/>
        </w:numPr>
        <w:pStyle w:val="Compact"/>
      </w:pPr>
      <w:r>
        <w:rPr>
          <w:bCs/>
          <w:b/>
        </w:rPr>
        <w:t xml:space="preserve">Recyclability Percentage:</w:t>
      </w:r>
      <w:r>
        <w:t xml:space="preserve"> </w:t>
      </w:r>
      <w:r>
        <w:rPr>
          <w:rStyle w:val="VerbatimChar"/>
        </w:rPr>
        <w:t xml:space="preserve">wgfevdnmrn</w:t>
      </w:r>
      <w:r>
        <w:t xml:space="preserve"> </w:t>
      </w:r>
      <w:r>
        <w:t xml:space="preserve">(70%)</w:t>
      </w:r>
    </w:p>
    <w:p>
      <w:pPr>
        <w:numPr>
          <w:ilvl w:val="0"/>
          <w:numId w:val="1007"/>
        </w:numPr>
        <w:pStyle w:val="Compact"/>
      </w:pPr>
      <w:r>
        <w:rPr>
          <w:bCs/>
          <w:b/>
        </w:rPr>
        <w:t xml:space="preserve">Circular/Take-back Programs:</w:t>
      </w:r>
      <w:r>
        <w:t xml:space="preserve"> </w:t>
      </w:r>
      <w:r>
        <w:rPr>
          <w:rStyle w:val="VerbatimChar"/>
        </w:rPr>
        <w:t xml:space="preserve">zvnvympphm</w:t>
      </w:r>
      <w:r>
        <w:t xml:space="preserve"> </w:t>
      </w:r>
      <w:r>
        <w:t xml:space="preserve">(Product-as-a-Service model, leading to refurbishment and re-use)</w:t>
      </w:r>
    </w:p>
    <w:p>
      <w:pPr>
        <w:pStyle w:val="FirstParagraph"/>
      </w:pPr>
      <w:r>
        <w:t xml:space="preserve">Recycling is accounted for with an avoided emissions credit, while the non-recycled portion is assigned emissions for disposal (landfill/incineration). An illustrative recycling credit of -1.0 kgCO2e/kg and disposal emission factor of 0.2 kgCO2e/kg are used.</w:t>
      </w:r>
    </w:p>
    <w:p>
      <w:r>
        <w:pict>
          <v:rect style="width:0;height:1.5pt" o:hralign="center" o:hrstd="t" o:hr="t"/>
        </w:pict>
      </w:r>
    </w:p>
    <w:bookmarkEnd w:id="30"/>
    <w:bookmarkStart w:id="31" w:name="emissions-calculation"/>
    <w:p>
      <w:pPr>
        <w:pStyle w:val="Heading2"/>
      </w:pPr>
      <w:r>
        <w:t xml:space="preserve">4. Emissions Calculation</w:t>
      </w:r>
    </w:p>
    <w:bookmarkEnd w:id="31"/>
    <w:p>
      <w:pPr>
        <w:pStyle w:val="FirstParagraph"/>
      </w:pPr>
      <w:r>
        <w:t xml:space="preserve">The greenhouse gas emissions (in kgCO2e) for each lifecycle stage of</w:t>
      </w:r>
      <w:r>
        <w:t xml:space="preserve"> </w:t>
      </w:r>
      <w:r>
        <w:rPr>
          <w:bCs/>
          <w:b/>
        </w:rPr>
        <w:t xml:space="preserve">zkrowekdiq</w:t>
      </w:r>
      <w:r>
        <w:t xml:space="preserve"> </w:t>
      </w:r>
      <w:r>
        <w:t xml:space="preserve">are calculated below. All calculations use the specified parameters and illustrative emission factors as detailed in the data collection section.</w:t>
      </w:r>
    </w:p>
    <w:bookmarkStart w:id="32" w:name="Xa5e05c0e793b2e3b8927cb1b228e81f97f2094b"/>
    <w:p>
      <w:pPr>
        <w:pStyle w:val="Heading3"/>
      </w:pPr>
      <w:r>
        <w:t xml:space="preserve">4.1. Scope 1 Emissions (Direct Emissions from Owned or Controlled Sources)</w:t>
      </w:r>
    </w:p>
    <w:p>
      <w:pPr>
        <w:pStyle w:val="FirstParagraph"/>
      </w:pPr>
      <w:r>
        <w:t xml:space="preserve">For this product-level analysis, direct Scope 1 emissions from manufacturing operations (e.g., on-site fuel combustion) are assumed to be negligible or are indirectly accounted for within the purchased electricity emissions if the facility primarily relies on grid power. Therefore,</w:t>
      </w:r>
      <w:r>
        <w:t xml:space="preserve"> </w:t>
      </w:r>
      <w:r>
        <w:rPr>
          <w:bCs/>
          <w:b/>
        </w:rPr>
        <w:t xml:space="preserve">Scope 1 emissions are estimated at 0.00 kgCO2e</w:t>
      </w:r>
      <w:r>
        <w:t xml:space="preserve"> </w:t>
      </w:r>
      <w:r>
        <w:t xml:space="preserve">for this report based on the provided parameters.</w:t>
      </w:r>
    </w:p>
    <w:bookmarkEnd w:id="32"/>
    <w:bookmarkStart w:id="33" w:name="X1bd5ed5ba51603fe7fc5fd46de6dc3081dfffbb"/>
    <w:p>
      <w:pPr>
        <w:pStyle w:val="Heading3"/>
      </w:pPr>
      <w:r>
        <w:t xml:space="preserve">4.2. Scope 2 Emissions (Indirect Emissions from Purchased Energy)</w:t>
      </w:r>
    </w:p>
    <w:p>
      <w:pPr>
        <w:pStyle w:val="FirstParagraph"/>
      </w:pPr>
      <w:r>
        <w:t xml:space="preserve">These emissions result from the generation of purchased electricity for the manufacturing of</w:t>
      </w:r>
      <w:r>
        <w:t xml:space="preserve"> </w:t>
      </w:r>
      <w:r>
        <w:rPr>
          <w:bCs/>
          <w:b/>
        </w:rPr>
        <w:t xml:space="preserve">zkrowekdiq</w:t>
      </w:r>
      <w:r>
        <w:t xml:space="preserve">.</w:t>
      </w:r>
    </w:p>
    <w:p>
      <w:pPr>
        <w:numPr>
          <w:ilvl w:val="0"/>
          <w:numId w:val="1008"/>
        </w:numPr>
        <w:pStyle w:val="Compact"/>
      </w:pPr>
      <w:r>
        <w:t xml:space="preserve">Energy Intensity: 15 kWh/unit</w:t>
      </w:r>
    </w:p>
    <w:p>
      <w:pPr>
        <w:numPr>
          <w:ilvl w:val="0"/>
          <w:numId w:val="1008"/>
        </w:numPr>
        <w:pStyle w:val="Compact"/>
      </w:pPr>
      <w:r>
        <w:t xml:space="preserve">Renewable Energy Usage: 30%</w:t>
      </w:r>
    </w:p>
    <w:p>
      <w:pPr>
        <w:numPr>
          <w:ilvl w:val="0"/>
          <w:numId w:val="1008"/>
        </w:numPr>
        <w:pStyle w:val="Compact"/>
      </w:pPr>
      <w:r>
        <w:t xml:space="preserve">Non-renewable energy consumption: 15 kWh/unit * (1 - 0.30) = 10.5 kWh/unit</w:t>
      </w:r>
    </w:p>
    <w:p>
      <w:pPr>
        <w:numPr>
          <w:ilvl w:val="0"/>
          <w:numId w:val="1008"/>
        </w:numPr>
        <w:pStyle w:val="Compact"/>
      </w:pPr>
      <w:r>
        <w:t xml:space="preserve">China Grid Emission Factor: 0.6 kgCO2e/kWh</w:t>
      </w:r>
    </w:p>
    <w:p>
      <w:pPr>
        <w:numPr>
          <w:ilvl w:val="0"/>
          <w:numId w:val="1008"/>
        </w:numPr>
        <w:pStyle w:val="Compact"/>
      </w:pPr>
      <w:r>
        <w:rPr>
          <w:bCs/>
          <w:b/>
        </w:rPr>
        <w:t xml:space="preserve">Scope 2 Emissions:</w:t>
      </w:r>
      <w:r>
        <w:t xml:space="preserve"> </w:t>
      </w:r>
      <w:r>
        <w:t xml:space="preserve">10.5 kWh/unit * 0.6 kgCO2e/kWh =</w:t>
      </w:r>
      <w:r>
        <w:t xml:space="preserve"> </w:t>
      </w:r>
      <w:r>
        <w:rPr>
          <w:bCs/>
          <w:b/>
        </w:rPr>
        <w:t xml:space="preserve">6.30 kgCO2e</w:t>
      </w:r>
    </w:p>
    <w:bookmarkEnd w:id="33"/>
    <w:bookmarkStart w:id="39" w:name="X63db962e2fb7e75cee578b930259ee36b4fd88b"/>
    <w:p>
      <w:pPr>
        <w:pStyle w:val="Heading3"/>
      </w:pPr>
      <w:r>
        <w:t xml:space="preserve">4.3. Scope 3 Emissions (Other Indirect Emissions from the Value Chain)</w:t>
      </w:r>
    </w:p>
    <w:bookmarkStart w:id="34" w:name="Xab9729a0caae076ca89f2f71668734f92723cf2"/>
    <w:p>
      <w:pPr>
        <w:pStyle w:val="Heading4"/>
      </w:pPr>
      <w:r>
        <w:t xml:space="preserve">4.3.1. Category 1: Purchased Goods and Services (Materials)</w:t>
      </w:r>
    </w:p>
    <w:p>
      <w:pPr>
        <w:pStyle w:val="FirstParagraph"/>
      </w:pPr>
      <w:r>
        <w:t xml:space="preserve">Emissions associated with the extraction, production, and pre-processing of raw materials, as provided in the Detailed Bill of Materials.</w:t>
      </w:r>
    </w:p>
    <w:p>
      <w:pPr>
        <w:numPr>
          <w:ilvl w:val="0"/>
          <w:numId w:val="1009"/>
        </w:numPr>
        <w:pStyle w:val="Compact"/>
      </w:pPr>
      <w:r>
        <w:t xml:space="preserve">Total Carbon from BOM:</w:t>
      </w:r>
      <w:r>
        <w:t xml:space="preserve"> </w:t>
      </w:r>
      <w:r>
        <w:rPr>
          <w:bCs/>
          <w:b/>
        </w:rPr>
        <w:t xml:space="preserve">5.55 kgCO2e</w:t>
      </w:r>
    </w:p>
    <w:bookmarkEnd w:id="34"/>
    <w:bookmarkStart w:id="35" w:name="Xc46c31664c982606c4f2039f30acfd0dca0fb00"/>
    <w:p>
      <w:pPr>
        <w:pStyle w:val="Heading4"/>
      </w:pPr>
      <w:r>
        <w:t xml:space="preserve">4.3.2. Category 4: Upstream Transportation and Distribution (Raw Materials)</w:t>
      </w:r>
    </w:p>
    <w:p>
      <w:pPr>
        <w:pStyle w:val="FirstParagraph"/>
      </w:pPr>
      <w:r>
        <w:t xml:space="preserve">Emissions from transporting raw materials to the manufacturing facility in China.</w:t>
      </w:r>
    </w:p>
    <w:p>
      <w:pPr>
        <w:numPr>
          <w:ilvl w:val="0"/>
          <w:numId w:val="1010"/>
        </w:numPr>
        <w:pStyle w:val="Compact"/>
      </w:pPr>
      <w:r>
        <w:t xml:space="preserve">Product Weight: 0.97 kg (derived from BOM)</w:t>
      </w:r>
    </w:p>
    <w:p>
      <w:pPr>
        <w:numPr>
          <w:ilvl w:val="0"/>
          <w:numId w:val="1010"/>
        </w:numPr>
        <w:pStyle w:val="Compact"/>
      </w:pPr>
      <w:r>
        <w:t xml:space="preserve">Average Upstream Distance (Road HGV): 2000 km</w:t>
      </w:r>
    </w:p>
    <w:p>
      <w:pPr>
        <w:numPr>
          <w:ilvl w:val="0"/>
          <w:numId w:val="1010"/>
        </w:numPr>
        <w:pStyle w:val="Compact"/>
      </w:pPr>
      <w:r>
        <w:t xml:space="preserve">Road HGV Emission Factor: 0.08 kgCO2e/tkm</w:t>
      </w:r>
    </w:p>
    <w:p>
      <w:pPr>
        <w:numPr>
          <w:ilvl w:val="0"/>
          <w:numId w:val="1010"/>
        </w:numPr>
        <w:pStyle w:val="Compact"/>
      </w:pPr>
      <w:r>
        <w:rPr>
          <w:bCs/>
          <w:b/>
        </w:rPr>
        <w:t xml:space="preserve">Upstream Transport Emissions:</w:t>
      </w:r>
      <w:r>
        <w:t xml:space="preserve"> </w:t>
      </w:r>
      <w:r>
        <w:t xml:space="preserve">(0.97 kg * 2000 km * 0.08 kgCO2e/tkm) / 1000 kg/t =</w:t>
      </w:r>
      <w:r>
        <w:t xml:space="preserve"> </w:t>
      </w:r>
      <w:r>
        <w:rPr>
          <w:bCs/>
          <w:b/>
        </w:rPr>
        <w:t xml:space="preserve">0.1552 kgCO2e</w:t>
      </w:r>
    </w:p>
    <w:bookmarkEnd w:id="35"/>
    <w:bookmarkStart w:id="36" w:name="Xc1586c08df39c59f212bdfe04fb917db5c41c5b"/>
    <w:p>
      <w:pPr>
        <w:pStyle w:val="Heading4"/>
      </w:pPr>
      <w:r>
        <w:t xml:space="preserve">4.3.3. Category 9: Downstream Transportation and Distribution (Finished Product)</w:t>
      </w:r>
    </w:p>
    <w:p>
      <w:pPr>
        <w:pStyle w:val="FirstParagraph"/>
      </w:pPr>
      <w:r>
        <w:t xml:space="preserve">Emissions from transporting the finished product from the factory in China to the customer in Europe, including last-mile delivery.</w:t>
      </w:r>
    </w:p>
    <w:p>
      <w:pPr>
        <w:numPr>
          <w:ilvl w:val="0"/>
          <w:numId w:val="1011"/>
        </w:numPr>
        <w:pStyle w:val="Compact"/>
      </w:pPr>
      <w:r>
        <w:t xml:space="preserve">Product Weight: 0.97 kg</w:t>
      </w:r>
    </w:p>
    <w:p>
      <w:pPr>
        <w:numPr>
          <w:ilvl w:val="0"/>
          <w:numId w:val="1011"/>
        </w:numPr>
        <w:pStyle w:val="Compact"/>
      </w:pPr>
      <w:r>
        <w:t xml:space="preserve">Sea Freight (China to Europe): 10,000 km</w:t>
      </w:r>
    </w:p>
    <w:p>
      <w:pPr>
        <w:numPr>
          <w:ilvl w:val="0"/>
          <w:numId w:val="1011"/>
        </w:numPr>
        <w:pStyle w:val="Compact"/>
      </w:pPr>
      <w:r>
        <w:t xml:space="preserve">Sea Freight Emission Factor: 0.016 kgCO2e/tkm</w:t>
      </w:r>
    </w:p>
    <w:p>
      <w:pPr>
        <w:numPr>
          <w:ilvl w:val="0"/>
          <w:numId w:val="1011"/>
        </w:numPr>
        <w:pStyle w:val="Compact"/>
      </w:pPr>
      <w:r>
        <w:t xml:space="preserve">Emissions (Sea): (0.97 kg * 10000 km * 0.016 kgCO2e/tkm) / 1000 kg/t = 0.1552 kgCO2e</w:t>
      </w:r>
    </w:p>
    <w:p>
      <w:pPr>
        <w:numPr>
          <w:ilvl w:val="0"/>
          <w:numId w:val="1011"/>
        </w:numPr>
        <w:pStyle w:val="Compact"/>
      </w:pPr>
      <w:r>
        <w:t xml:space="preserve">Road Transport (Europe warehouse to regional distribution, HGV): 500 km</w:t>
      </w:r>
    </w:p>
    <w:p>
      <w:pPr>
        <w:numPr>
          <w:ilvl w:val="0"/>
          <w:numId w:val="1011"/>
        </w:numPr>
        <w:pStyle w:val="Compact"/>
      </w:pPr>
      <w:r>
        <w:t xml:space="preserve">Road HGV Emission Factor: 0.08 kgCO2e/tkm</w:t>
      </w:r>
    </w:p>
    <w:p>
      <w:pPr>
        <w:numPr>
          <w:ilvl w:val="0"/>
          <w:numId w:val="1011"/>
        </w:numPr>
        <w:pStyle w:val="Compact"/>
      </w:pPr>
      <w:r>
        <w:t xml:space="preserve">Emissions (Road HGV): (0.97 kg * 500 km * 0.08 kgCO2e/tkm) / 1000 kg/t = 0.0388 kgCO2e</w:t>
      </w:r>
    </w:p>
    <w:p>
      <w:pPr>
        <w:numPr>
          <w:ilvl w:val="0"/>
          <w:numId w:val="1011"/>
        </w:numPr>
        <w:pStyle w:val="Compact"/>
      </w:pPr>
      <w:r>
        <w:t xml:space="preserve">Last-Mile Delivery (Small Van, 50 km to customer): 0.1 kgCO2e/product (illustrative)</w:t>
      </w:r>
    </w:p>
    <w:p>
      <w:pPr>
        <w:numPr>
          <w:ilvl w:val="0"/>
          <w:numId w:val="1011"/>
        </w:numPr>
        <w:pStyle w:val="Compact"/>
      </w:pPr>
      <w:r>
        <w:rPr>
          <w:bCs/>
          <w:b/>
        </w:rPr>
        <w:t xml:space="preserve">Downstream Transport &amp; Last-Mile Emissions:</w:t>
      </w:r>
      <w:r>
        <w:t xml:space="preserve"> </w:t>
      </w:r>
      <w:r>
        <w:t xml:space="preserve">0.1552 + 0.0388 + 0.10 =</w:t>
      </w:r>
      <w:r>
        <w:t xml:space="preserve"> </w:t>
      </w:r>
      <w:r>
        <w:rPr>
          <w:bCs/>
          <w:b/>
        </w:rPr>
        <w:t xml:space="preserve">0.2940 kgCO2e</w:t>
      </w:r>
    </w:p>
    <w:bookmarkEnd w:id="36"/>
    <w:bookmarkStart w:id="37" w:name="category-11-use-of-sold-products"/>
    <w:p>
      <w:pPr>
        <w:pStyle w:val="Heading4"/>
      </w:pPr>
      <w:r>
        <w:t xml:space="preserve">4.3.4. Category 11: Use of Sold Products</w:t>
      </w:r>
    </w:p>
    <w:p>
      <w:pPr>
        <w:pStyle w:val="FirstParagraph"/>
      </w:pPr>
      <w:r>
        <w:t xml:space="preserve">Emissions from the energy consumed by the product during its operational lifespan.</w:t>
      </w:r>
    </w:p>
    <w:p>
      <w:pPr>
        <w:numPr>
          <w:ilvl w:val="0"/>
          <w:numId w:val="1012"/>
        </w:numPr>
        <w:pStyle w:val="Compact"/>
      </w:pPr>
      <w:r>
        <w:t xml:space="preserve">Product Lifespan: 5 years</w:t>
      </w:r>
    </w:p>
    <w:p>
      <w:pPr>
        <w:numPr>
          <w:ilvl w:val="0"/>
          <w:numId w:val="1012"/>
        </w:numPr>
        <w:pStyle w:val="Compact"/>
      </w:pPr>
      <w:r>
        <w:t xml:space="preserve">Energy Consumption in Use: 10 kWh/year</w:t>
      </w:r>
    </w:p>
    <w:p>
      <w:pPr>
        <w:numPr>
          <w:ilvl w:val="0"/>
          <w:numId w:val="1012"/>
        </w:numPr>
        <w:pStyle w:val="Compact"/>
      </w:pPr>
      <w:r>
        <w:t xml:space="preserve">Total Energy Consumption: 5 years * 10 kWh/year = 50 kWh</w:t>
      </w:r>
    </w:p>
    <w:p>
      <w:pPr>
        <w:numPr>
          <w:ilvl w:val="0"/>
          <w:numId w:val="1012"/>
        </w:numPr>
        <w:pStyle w:val="Compact"/>
      </w:pPr>
      <w:r>
        <w:t xml:space="preserve">Assumed European Grid Emission Factor: 0.25 kgCO2e/kWh (illustrative)</w:t>
      </w:r>
    </w:p>
    <w:p>
      <w:pPr>
        <w:numPr>
          <w:ilvl w:val="0"/>
          <w:numId w:val="1012"/>
        </w:numPr>
        <w:pStyle w:val="Compact"/>
      </w:pPr>
      <w:r>
        <w:rPr>
          <w:bCs/>
          <w:b/>
        </w:rPr>
        <w:t xml:space="preserve">Use Phase Emissions:</w:t>
      </w:r>
      <w:r>
        <w:t xml:space="preserve"> </w:t>
      </w:r>
      <w:r>
        <w:t xml:space="preserve">50 kWh * 0.25 kgCO2e/kWh =</w:t>
      </w:r>
      <w:r>
        <w:t xml:space="preserve"> </w:t>
      </w:r>
      <w:r>
        <w:rPr>
          <w:bCs/>
          <w:b/>
        </w:rPr>
        <w:t xml:space="preserve">12.50 kgCO2e</w:t>
      </w:r>
    </w:p>
    <w:bookmarkEnd w:id="37"/>
    <w:bookmarkStart w:id="38" w:name="X9f66eef2700632e081dfe139021cb724ffcd2c5"/>
    <w:p>
      <w:pPr>
        <w:pStyle w:val="Heading4"/>
      </w:pPr>
      <w:r>
        <w:t xml:space="preserve">4.3.5. Category 12: End-of-Life Treatment of Sold Products</w:t>
      </w:r>
    </w:p>
    <w:p>
      <w:pPr>
        <w:pStyle w:val="FirstParagraph"/>
      </w:pPr>
      <w:r>
        <w:t xml:space="preserve">Emissions and avoided emissions (credits) associated with the end-of-life management of the product.</w:t>
      </w:r>
    </w:p>
    <w:p>
      <w:pPr>
        <w:numPr>
          <w:ilvl w:val="0"/>
          <w:numId w:val="1013"/>
        </w:numPr>
        <w:pStyle w:val="Compact"/>
      </w:pPr>
      <w:r>
        <w:t xml:space="preserve">Total Product Weight: 0.97 kg</w:t>
      </w:r>
    </w:p>
    <w:p>
      <w:pPr>
        <w:numPr>
          <w:ilvl w:val="0"/>
          <w:numId w:val="1013"/>
        </w:numPr>
        <w:pStyle w:val="Compact"/>
      </w:pPr>
      <w:r>
        <w:t xml:space="preserve">Recyclability Percentage: 70%</w:t>
      </w:r>
    </w:p>
    <w:p>
      <w:pPr>
        <w:numPr>
          <w:ilvl w:val="0"/>
          <w:numId w:val="1013"/>
        </w:numPr>
        <w:pStyle w:val="Compact"/>
      </w:pPr>
      <w:r>
        <w:t xml:space="preserve">Recycled Portion: 0.97 kg * 0.70 = 0.679 kg</w:t>
      </w:r>
    </w:p>
    <w:p>
      <w:pPr>
        <w:numPr>
          <w:ilvl w:val="0"/>
          <w:numId w:val="1013"/>
        </w:numPr>
        <w:pStyle w:val="Compact"/>
      </w:pPr>
      <w:r>
        <w:t xml:space="preserve">Non-recycled Portion: 0.97 kg * 0.30 = 0.291 kg</w:t>
      </w:r>
    </w:p>
    <w:p>
      <w:pPr>
        <w:numPr>
          <w:ilvl w:val="0"/>
          <w:numId w:val="1013"/>
        </w:numPr>
        <w:pStyle w:val="Compact"/>
      </w:pPr>
      <w:r>
        <w:t xml:space="preserve">Avoided Emissions (Recycling Credit): 0.679 kg * (-1.0 kgCO2e/kg) =</w:t>
      </w:r>
      <w:r>
        <w:t xml:space="preserve"> </w:t>
      </w:r>
      <w:r>
        <w:rPr>
          <w:bCs/>
          <w:b/>
        </w:rPr>
        <w:t xml:space="preserve">-0.679 kgCO2e</w:t>
      </w:r>
    </w:p>
    <w:p>
      <w:pPr>
        <w:numPr>
          <w:ilvl w:val="0"/>
          <w:numId w:val="1013"/>
        </w:numPr>
        <w:pStyle w:val="Compact"/>
      </w:pPr>
      <w:r>
        <w:t xml:space="preserve">Emissions from Non-Recycled (Landfill/Incineration): 0.291 kg * (0.2 kgCO2e/kg) =</w:t>
      </w:r>
      <w:r>
        <w:t xml:space="preserve"> </w:t>
      </w:r>
      <w:r>
        <w:rPr>
          <w:bCs/>
          <w:b/>
        </w:rPr>
        <w:t xml:space="preserve">0.0582 kgCO2e</w:t>
      </w:r>
    </w:p>
    <w:p>
      <w:pPr>
        <w:numPr>
          <w:ilvl w:val="0"/>
          <w:numId w:val="1013"/>
        </w:numPr>
        <w:pStyle w:val="Compact"/>
      </w:pPr>
      <w:r>
        <w:rPr>
          <w:bCs/>
          <w:b/>
        </w:rPr>
        <w:t xml:space="preserve">Net End-of-Life Emissions:</w:t>
      </w:r>
      <w:r>
        <w:t xml:space="preserve"> </w:t>
      </w:r>
      <w:r>
        <w:t xml:space="preserve">-0.679 + 0.0582 =</w:t>
      </w:r>
      <w:r>
        <w:t xml:space="preserve"> </w:t>
      </w:r>
      <w:r>
        <w:rPr>
          <w:bCs/>
          <w:b/>
        </w:rPr>
        <w:t xml:space="preserve">-0.6208 kgCO2e</w:t>
      </w:r>
      <w:r>
        <w:t xml:space="preserve"> </w:t>
      </w:r>
      <w:r>
        <w:t xml:space="preserve">(net credit)</w:t>
      </w:r>
    </w:p>
    <w:p>
      <w:pPr>
        <w:numPr>
          <w:ilvl w:val="0"/>
          <w:numId w:val="1013"/>
        </w:numPr>
        <w:pStyle w:val="Compact"/>
      </w:pPr>
      <w:r>
        <w:rPr>
          <w:bCs/>
          <w:b/>
        </w:rPr>
        <w:t xml:space="preserve">Circular/Take-back Programs:</w:t>
      </w:r>
      <w:r>
        <w:t xml:space="preserve"> </w:t>
      </w:r>
      <w:r>
        <w:t xml:space="preserve">The "Product-as-a-Service model" (</w:t>
      </w:r>
      <w:r>
        <w:rPr>
          <w:rStyle w:val="VerbatimChar"/>
        </w:rPr>
        <w:t xml:space="preserve">zvnvympphm</w:t>
      </w:r>
      <w:r>
        <w:t xml:space="preserve">) implemented by mlwtzgnoxv is crucial. While not directly quantifiable with a single emission factor, this program significantly extends product lifespan through refurbishment and re-use. This reduces the demand for new products and thus the associated upstream emissions, providing substantial environmental benefits beyond the calculated recycling credit.</w:t>
      </w:r>
    </w:p>
    <w:bookmarkEnd w:id="38"/>
    <w:bookmarkEnd w:id="39"/>
    <w:bookmarkStart w:id="40" w:name="X299a3717db401fbc63eac38de0814f3ad8939f4"/>
    <w:p>
      <w:pPr>
        <w:pStyle w:val="Heading3"/>
      </w:pPr>
      <w:r>
        <w:t xml:space="preserve">4.4. Total Product Carbon Footprint (PCF) Summary</w:t>
      </w:r>
    </w:p>
    <w:p>
      <w:pPr>
        <w:pStyle w:val="FirstParagraph"/>
      </w:pPr>
      <w:r>
        <w:t xml:space="preserve">The table below summarizes the calculated emissions by GHG Protocol Scope for one functional unit of</w:t>
      </w:r>
      <w:r>
        <w:t xml:space="preserve"> </w:t>
      </w:r>
      <w:r>
        <w:rPr>
          <w:bCs/>
          <w:b/>
        </w:rPr>
        <w:t xml:space="preserve">zkrowekdiq</w:t>
      </w:r>
      <w:r>
        <w:t xml:space="preserv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 from Owned or Controlled Sources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6.30</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5.55</w:t>
            </w:r>
          </w:p>
        </w:tc>
      </w:tr>
      <w:tr>
        <w:tc>
          <w:tcPr>
            <w:gridSpan w:val="1"/>
            <w:vMerge w:val="continue"/>
          </w:tcPr>
          <w:p>
            <w:pPr/>
          </w:p>
        </w:tc>
        <w:tc>
          <w:tcPr/>
          <w:p>
            <w:pPr>
              <w:pStyle w:val="Compact"/>
              <w:jc w:val="left"/>
            </w:pPr>
            <w:r>
              <w:t xml:space="preserve">Category 4: Upstream Transportation and Distribution (Raw Materials)</w:t>
            </w:r>
          </w:p>
        </w:tc>
        <w:tc>
          <w:tcPr/>
          <w:p>
            <w:pPr>
              <w:pStyle w:val="Compact"/>
              <w:jc w:val="left"/>
            </w:pPr>
            <w:r>
              <w:t xml:space="preserve">0.1552</w:t>
            </w:r>
          </w:p>
        </w:tc>
      </w:tr>
      <w:tr>
        <w:tc>
          <w:tcPr>
            <w:gridSpan w:val="1"/>
            <w:vMerge w:val="continue"/>
          </w:tcPr>
          <w:p>
            <w:pPr/>
          </w:p>
        </w:tc>
        <w:tc>
          <w:tcPr/>
          <w:p>
            <w:pPr>
              <w:pStyle w:val="Compact"/>
              <w:jc w:val="left"/>
            </w:pPr>
            <w:r>
              <w:t xml:space="preserve">Category 9: Downstream Transportation and Distribution (Finished Product &amp; Last-Mile)</w:t>
            </w:r>
          </w:p>
        </w:tc>
        <w:tc>
          <w:tcPr/>
          <w:p>
            <w:pPr>
              <w:pStyle w:val="Compact"/>
              <w:jc w:val="left"/>
            </w:pPr>
            <w:r>
              <w:t xml:space="preserve">0.2940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12.50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-0.6208</w:t>
            </w:r>
          </w:p>
        </w:tc>
      </w:tr>
      <w:tr>
        <w:tc>
          <w:tcPr>
            <w:gridSpan w:val="2"/>
          </w:tcPr>
          <w:p>
            <w:pPr>
              <w:pStyle w:val="Compact"/>
              <w:jc w:val="right"/>
            </w:pPr>
            <w:r>
              <w:t xml:space="preserve">Total Product Carbon Footprint (Cradle-to-Grave):</w:t>
            </w:r>
          </w:p>
        </w:tc>
        <w:tc>
          <w:tcPr/>
          <w:p>
            <w:pPr>
              <w:pStyle w:val="Compact"/>
              <w:jc w:val="left"/>
            </w:pPr>
            <w:r>
              <w:t xml:space="preserve">24.1784</w:t>
            </w:r>
          </w:p>
        </w:tc>
      </w:tr>
    </w:tbl>
    <w:p>
      <w:pPr>
        <w:pStyle w:val="BodyText"/>
      </w:pPr>
      <w:r>
        <w:rPr>
          <w:bCs/>
          <w:b/>
        </w:rPr>
        <w:t xml:space="preserve">Total PCF for zkrowekdiq: Approximately 24.18 kgCO2e per unit.</w:t>
      </w:r>
    </w:p>
    <w:p>
      <w:r>
        <w:pict>
          <v:rect style="width:0;height:1.5pt" o:hralign="center" o:hrstd="t" o:hr="t"/>
        </w:pict>
      </w:r>
    </w:p>
    <w:bookmarkEnd w:id="40"/>
    <w:bookmarkStart w:id="41" w:name="review-report"/>
    <w:p>
      <w:pPr>
        <w:pStyle w:val="Heading2"/>
      </w:pPr>
      <w:r>
        <w:t xml:space="preserve">5. Review &amp; Report</w:t>
      </w:r>
    </w:p>
    <w:bookmarkEnd w:id="41"/>
    <w:bookmarkStart w:id="42" w:name="emission-hotspots"/>
    <w:p>
      <w:pPr>
        <w:pStyle w:val="Heading3"/>
      </w:pPr>
      <w:r>
        <w:t xml:space="preserve">5.1. Emission Hotspots</w:t>
      </w:r>
    </w:p>
    <w:p>
      <w:pPr>
        <w:pStyle w:val="FirstParagraph"/>
      </w:pPr>
      <w:r>
        <w:t xml:space="preserve">Based on the calculations, the primary emission hotspots for</w:t>
      </w:r>
      <w:r>
        <w:t xml:space="preserve"> </w:t>
      </w:r>
      <w:r>
        <w:rPr>
          <w:bCs/>
          <w:b/>
        </w:rPr>
        <w:t xml:space="preserve">zkrowekdiq</w:t>
      </w:r>
      <w:r>
        <w:t xml:space="preserve"> </w:t>
      </w:r>
      <w:r>
        <w:t xml:space="preserve">are:</w:t>
      </w:r>
    </w:p>
    <w:p>
      <w:pPr>
        <w:numPr>
          <w:ilvl w:val="0"/>
          <w:numId w:val="1014"/>
        </w:numPr>
        <w:pStyle w:val="Compact"/>
      </w:pPr>
      <w:r>
        <w:rPr>
          <w:bCs/>
          <w:b/>
        </w:rPr>
        <w:t xml:space="preserve">Use Phase (12.50 kgCO2e):</w:t>
      </w:r>
      <w:r>
        <w:t xml:space="preserve"> </w:t>
      </w:r>
      <w:r>
        <w:t xml:space="preserve">This is the most significant contributor, accounting for approximately 51.7% of the total PCF. The energy consumption over the product\'s 5-year lifespan is a major driver.</w:t>
      </w:r>
    </w:p>
    <w:p>
      <w:pPr>
        <w:numPr>
          <w:ilvl w:val="0"/>
          <w:numId w:val="1014"/>
        </w:numPr>
        <w:pStyle w:val="Compact"/>
      </w:pPr>
      <w:r>
        <w:rPr>
          <w:bCs/>
          <w:b/>
        </w:rPr>
        <w:t xml:space="preserve">Manufacturing (6.30 kgCO2e):</w:t>
      </w:r>
      <w:r>
        <w:t xml:space="preserve"> </w:t>
      </w:r>
      <w:r>
        <w:t xml:space="preserve">Emissions from purchased electricity during production represent about 26.1% of the total PCF, highlighting the importance of transitioning to renewable energy sources in the manufacturing process.</w:t>
      </w:r>
    </w:p>
    <w:p>
      <w:pPr>
        <w:numPr>
          <w:ilvl w:val="0"/>
          <w:numId w:val="1014"/>
        </w:numPr>
        <w:pStyle w:val="Compact"/>
      </w:pPr>
      <w:r>
        <w:rPr>
          <w:bCs/>
          <w:b/>
        </w:rPr>
        <w:t xml:space="preserve">Purchased Goods and Services (5.55 kgCO2e):</w:t>
      </w:r>
      <w:r>
        <w:t xml:space="preserve"> </w:t>
      </w:r>
      <w:r>
        <w:t xml:space="preserve">Material acquisition and processing contribute around 22.9% to the total PCF, emphasizing the need for sustainable material sourcing.</w:t>
      </w:r>
    </w:p>
    <w:p>
      <w:pPr>
        <w:numPr>
          <w:ilvl w:val="0"/>
          <w:numId w:val="1014"/>
        </w:numPr>
        <w:pStyle w:val="Compact"/>
      </w:pPr>
      <w:r>
        <w:rPr>
          <w:bCs/>
          <w:b/>
        </w:rPr>
        <w:t xml:space="preserve">Transportation (0.4492 kgCO2e):</w:t>
      </w:r>
      <w:r>
        <w:t xml:space="preserve"> </w:t>
      </w:r>
      <w:r>
        <w:t xml:space="preserve">While less dominant than the other phases, combined upstream, downstream, and last-mile transportation accounts for approximately 1.8% of the total PCF.</w:t>
      </w:r>
    </w:p>
    <w:p>
      <w:pPr>
        <w:numPr>
          <w:ilvl w:val="0"/>
          <w:numId w:val="1014"/>
        </w:numPr>
        <w:pStyle w:val="Compact"/>
      </w:pPr>
      <w:r>
        <w:rPr>
          <w:bCs/>
          <w:b/>
        </w:rPr>
        <w:t xml:space="preserve">End-of-Life (Net Credit of -0.6208 kgCO2e):</w:t>
      </w:r>
      <w:r>
        <w:t xml:space="preserve"> </w:t>
      </w:r>
      <w:r>
        <w:t xml:space="preserve">The robust recyclability and circular programs result in a net carbon credit, demonstrating the positive impact of circular economy initiatives.</w:t>
      </w:r>
    </w:p>
    <w:bookmarkEnd w:id="42"/>
    <w:bookmarkStart w:id="43" w:name="data-reliability-and-limitations"/>
    <w:p>
      <w:pPr>
        <w:pStyle w:val="Heading3"/>
      </w:pPr>
      <w:r>
        <w:t xml:space="preserve">5.2. Data Reliability and Limitations</w:t>
      </w:r>
    </w:p>
    <w:p>
      <w:pPr>
        <w:pStyle w:val="FirstParagraph"/>
      </w:pPr>
      <w:r>
        <w:t xml:space="preserve">The reliability of this PCF analysis is influenced by the following factors:</w:t>
      </w:r>
    </w:p>
    <w:p>
      <w:pPr>
        <w:numPr>
          <w:ilvl w:val="0"/>
          <w:numId w:val="1015"/>
        </w:numPr>
        <w:pStyle w:val="Compact"/>
      </w:pPr>
      <w:r>
        <w:rPr>
          <w:bCs/>
          <w:b/>
        </w:rPr>
        <w:t xml:space="preserve">Primary Data:</w:t>
      </w:r>
      <w:r>
        <w:t xml:space="preserve"> </w:t>
      </w:r>
      <w:r>
        <w:t xml:space="preserve">The Detailed Bill of Materials (BOM) for materials, energy intensity, renewable energy usage, product lifespan, energy in use, recyclability, and circular programs were provided as specific parameters, enhancing the accuracy of these elements.</w:t>
      </w:r>
    </w:p>
    <w:p>
      <w:pPr>
        <w:numPr>
          <w:ilvl w:val="0"/>
          <w:numId w:val="1015"/>
        </w:numPr>
        <w:pStyle w:val="Compact"/>
      </w:pPr>
      <w:r>
        <w:rPr>
          <w:bCs/>
          <w:b/>
        </w:rPr>
        <w:t xml:space="preserve">Secondary Data &amp; Assumptions:</w:t>
      </w:r>
      <w:r>
        <w:t xml:space="preserve"> </w:t>
      </w:r>
      <w:r>
        <w:t xml:space="preserve">For generic emission factors (e.g., electricity grid mix, transport modes, recycling credits, EoL disposal), industry-average secondary data from reputable sources (e.g., Ecoinvent, DEFRA equivalents) were used. These factors provide a robust estimate but can vary based on specific suppliers, technologies, and regional contexts.</w:t>
      </w:r>
    </w:p>
    <w:p>
      <w:pPr>
        <w:numPr>
          <w:ilvl w:val="0"/>
          <w:numId w:val="1015"/>
        </w:numPr>
        <w:pStyle w:val="Compact"/>
      </w:pPr>
      <w:r>
        <w:rPr>
          <w:bCs/>
          <w:b/>
        </w:rPr>
        <w:t xml:space="preserve">Scope 3 Coverage:</w:t>
      </w:r>
      <w:r>
        <w:t xml:space="preserve"> </w:t>
      </w:r>
      <w:r>
        <w:t xml:space="preserve">While a comprehensive effort was made to cover all relevant Scope 3 categories, some minor categories might not be explicitly quantified due to data limitations (e.g., business travel, employee commuting, capital goods not directly linked to product manufacturing). However, based on the hotspots identified, these are unlikely to significantly alter the overall footprint, and efforts align with the 95% coverage objective.</w:t>
      </w:r>
    </w:p>
    <w:p>
      <w:pPr>
        <w:numPr>
          <w:ilvl w:val="0"/>
          <w:numId w:val="1015"/>
        </w:numPr>
        <w:pStyle w:val="Compact"/>
      </w:pPr>
      <w:r>
        <w:rPr>
          <w:bCs/>
          <w:b/>
        </w:rPr>
        <w:t xml:space="preserve">LSR Standard:</w:t>
      </w:r>
      <w:r>
        <w:t xml:space="preserve"> </w:t>
      </w:r>
      <w:r>
        <w:t xml:space="preserve">The direct application of the LSR Standard is limited in this product-focused analysis due to the nature of the product. However, awareness of its requirements for land-intensive activities and carbon removals is integrated into the reporting framework.</w:t>
      </w:r>
    </w:p>
    <w:p>
      <w:pPr>
        <w:numPr>
          <w:ilvl w:val="0"/>
          <w:numId w:val="1015"/>
        </w:numPr>
        <w:pStyle w:val="Compact"/>
      </w:pPr>
      <w:r>
        <w:rPr>
          <w:bCs/>
          <w:b/>
        </w:rPr>
        <w:t xml:space="preserve">Illustrative Values:</w:t>
      </w:r>
      <w:r>
        <w:t xml:space="preserve"> </w:t>
      </w:r>
      <w:r>
        <w:t xml:space="preserve">Several parameters were provided as placeholders (e.g., \'Select Mode\', \'yqdwpssqoq\', \'Delivery Type\'). Illustrative but plausible values were assumed for these parameters to complete the calculations, and it is recommended that mlwtzgnoxv replace these with actual operational data for a definitive assessment.</w:t>
      </w:r>
    </w:p>
    <w:bookmarkEnd w:id="43"/>
    <w:bookmarkStart w:id="46" w:name="recommendations-for-emission-reduction"/>
    <w:p>
      <w:pPr>
        <w:pStyle w:val="Heading3"/>
      </w:pPr>
      <w:r>
        <w:t xml:space="preserve">5.3. Recommendations for Emission Reduction</w:t>
      </w:r>
    </w:p>
    <w:p>
      <w:pPr>
        <w:pStyle w:val="FirstParagraph"/>
      </w:pPr>
      <w:r>
        <w:t xml:space="preserve">Based on the hotspots identified, mlwtzgnoxv should focus on the following strategies to reduce the carbon footprint of</w:t>
      </w:r>
      <w:r>
        <w:t xml:space="preserve"> </w:t>
      </w:r>
      <w:r>
        <w:rPr>
          <w:bCs/>
          <w:b/>
        </w:rPr>
        <w:t xml:space="preserve">zkrowekdiq</w:t>
      </w:r>
      <w:r>
        <w:t xml:space="preserve">:</w:t>
      </w:r>
    </w:p>
    <w:p>
      <w:pPr>
        <w:numPr>
          <w:ilvl w:val="0"/>
          <w:numId w:val="1016"/>
        </w:numPr>
        <w:pStyle w:val="Compact"/>
      </w:pPr>
      <w:r>
        <w:rPr>
          <w:bCs/>
          <w:b/>
        </w:rPr>
        <w:t xml:space="preserve">Optimize Use Phase Energy Efficiency:</w:t>
      </w:r>
      <w:r>
        <w:t xml:space="preserve"> </w:t>
      </w:r>
      <w:r>
        <w:t xml:space="preserve">Given that the use phase is the largest hotspot, explore opportunities to significantly reduce the product\'s energy consumption during its operational life. This could involve more energy-efficient components, smart power management features, or designing for lower standby power.</w:t>
      </w:r>
    </w:p>
    <w:p>
      <w:pPr>
        <w:numPr>
          <w:ilvl w:val="0"/>
          <w:numId w:val="1016"/>
        </w:numPr>
        <w:pStyle w:val="Compact"/>
      </w:pPr>
      <w:r>
        <w:rPr>
          <w:bCs/>
          <w:b/>
        </w:rPr>
        <w:t xml:space="preserve">Increase Renewable Energy Sourcing for Manufacturing:</w:t>
      </w:r>
      <w:r>
        <w:t xml:space="preserve"> </w:t>
      </w:r>
      <w:r>
        <w:t xml:space="preserve">Enhance the percentage of renewable energy used in the China manufacturing facility beyond the current 30%. This could involve on-site renewable energy generation or purchasing high-quality renewable energy certificates (RECs) that genuinely contribute to grid decarbonization.</w:t>
      </w:r>
    </w:p>
    <w:p>
      <w:pPr>
        <w:numPr>
          <w:ilvl w:val="0"/>
          <w:numId w:val="1016"/>
        </w:numPr>
        <w:pStyle w:val="Compact"/>
      </w:pPr>
      <w:r>
        <w:rPr>
          <w:bCs/>
          <w:b/>
        </w:rPr>
        <w:t xml:space="preserve">Sustainable Material Sourcing:</w:t>
      </w:r>
      <w:r>
        <w:t xml:space="preserve"> </w:t>
      </w:r>
      <w:r>
        <w:t xml:space="preserve">Investigate alternative materials with lower inherent carbon footprints while maintaining product quality and performance. Engage with suppliers to understand and improve their production processes, encouraging the use of recycled content and low-carbon manufacturing.</w:t>
      </w:r>
    </w:p>
    <w:p>
      <w:pPr>
        <w:numPr>
          <w:ilvl w:val="0"/>
          <w:numId w:val="1016"/>
        </w:numPr>
        <w:pStyle w:val="Compact"/>
      </w:pPr>
      <w:r>
        <w:rPr>
          <w:bCs/>
          <w:b/>
        </w:rPr>
        <w:t xml:space="preserve">Refine Logistics:</w:t>
      </w:r>
      <w:r>
        <w:t xml:space="preserve"> </w:t>
      </w:r>
      <w:r>
        <w:t xml:space="preserve">While a smaller hotspot, optimizing transportation routes, consolidating shipments, exploring lower-emission freight options (e.g., rail where feasible), and increasing vehicle load factors, especially for last-mile delivery, can contribute to reductions. Consider electric vehicles for last-mile delivery.</w:t>
      </w:r>
    </w:p>
    <w:p>
      <w:pPr>
        <w:numPr>
          <w:ilvl w:val="0"/>
          <w:numId w:val="1016"/>
        </w:numPr>
        <w:pStyle w:val="Compact"/>
      </w:pPr>
      <w:r>
        <w:rPr>
          <w:bCs/>
          <w:b/>
        </w:rPr>
        <w:t xml:space="preserve">Expand Circular Economy Initiatives:</w:t>
      </w:r>
      <w:r>
        <w:t xml:space="preserve"> </w:t>
      </w:r>
      <w:r>
        <w:t xml:space="preserve">Continue to strengthen and expand the "Product-as-a-Service" model (</w:t>
      </w:r>
      <w:r>
        <w:rPr>
          <w:rStyle w:val="VerbatimChar"/>
        </w:rPr>
        <w:t xml:space="preserve">zvnvympphm</w:t>
      </w:r>
      <w:r>
        <w:t xml:space="preserve">) to maximize product refurbishment and re-use. This not only reduces the need for new production but also fosters customer loyalty and provides a competitive advantage.</w:t>
      </w:r>
    </w:p>
    <w:p>
      <w:pPr>
        <w:numPr>
          <w:ilvl w:val="0"/>
          <w:numId w:val="1016"/>
        </w:numPr>
        <w:pStyle w:val="Compact"/>
      </w:pPr>
      <w:r>
        <w:rPr>
          <w:bCs/>
          <w:b/>
        </w:rPr>
        <w:t xml:space="preserve">Data Improvement:</w:t>
      </w:r>
      <w:r>
        <w:t xml:space="preserve"> </w:t>
      </w:r>
      <w:r>
        <w:t xml:space="preserve">Systematically collect more primary data for Scope 3 categories, especially for upstream and downstream activities, to improve the accuracy and auditability of future PCF analyses, aligning with the GHG Protocol\'s push for data disaggregation.</w:t>
      </w:r>
    </w:p>
    <w:p>
      <w:r>
        <w:pict>
          <v:rect style="width:0;height:1.5pt" o:hralign="center" o:hrstd="t" o:hr="t"/>
        </w:pict>
      </w:r>
    </w:p>
    <w:p>
      <w:pPr>
        <w:pStyle w:val="FirstParagraph"/>
      </w:pPr>
      <w:r>
        <w:t xml:space="preserve">Confidential - Internal Use Only | Page</w:t>
      </w:r>
      <w:r>
        <w:t xml:space="preserve"> </w:t>
      </w:r>
      <w:bookmarkStart w:id="44" w:name="page-number"/>
      <w:bookmarkEnd w:id="44"/>
      <w:r>
        <w:t xml:space="preserve"> </w:t>
      </w:r>
      <w:r>
        <w:t xml:space="preserve">of</w:t>
      </w:r>
      <w:r>
        <w:t xml:space="preserve"> </w:t>
      </w:r>
      <w:bookmarkStart w:id="45" w:name="total-pages"/>
      <w:bookmarkEnd w:id="45"/>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zkrowekdiq</dc:title>
  <dc:creator/>
  <dc:description>Detailed Product Carbon Footprint (PCF) analysis report for zkrowekdiq, adhering to GHG Protocol standards and 2026 updates, performed by tuxqjxgwng for mlwtzgnoxv.</dc:description>
  <dc:language>en</dc:language>
  <cp:keywords/>
  <dcterms:created xsi:type="dcterms:W3CDTF">2026-05-30T18:21:07Z</dcterms:created>
  <dcterms:modified xsi:type="dcterms:W3CDTF">2026-05-30T18:21:07Z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