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zkdvhpxyjt</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zkdvhpxyjt</w:t>
      </w:r>
    </w:p>
    <w:p>
      <w:pPr>
        <w:pStyle w:val="BodyText"/>
      </w:pPr>
      <w:r>
        <w:rPr>
          <w:bCs/>
          <w:b/>
        </w:rPr>
        <w:t xml:space="preserve">Company:</w:t>
      </w:r>
      <w:r>
        <w:t xml:space="preserve"> </w:t>
      </w:r>
      <w:r>
        <w:t xml:space="preserve">uqfqrtneqf</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wepihuduqd</w:t>
      </w:r>
    </w:p>
    <w:p>
      <w:pPr>
        <w:pStyle w:val="BodyText"/>
      </w:pPr>
      <w:r>
        <w:t xml:space="preserve">This report is generated based on available data and industry standards, providing an estimate of the product\'s carbon footprint.</w:t>
      </w:r>
    </w:p>
    <w:bookmarkEnd w:id="20"/>
    <w:bookmarkStart w:id="43" w:name="Xeeb192dc44f867d259650be51684454f5cb9508"/>
    <w:p>
      <w:pPr>
        <w:pStyle w:val="Heading1"/>
      </w:pPr>
      <w:r>
        <w:t xml:space="preserve">Product Carbon Footprint Analysis for zkdvhpxyjt</w:t>
      </w:r>
    </w:p>
    <w:p>
      <w:pPr>
        <w:pStyle w:val="FirstParagraph"/>
      </w:pPr>
      <w:r>
        <w:t xml:space="preserve">Generated Date: Wednesday, June 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zkdvhpxyjt</w:t>
      </w:r>
      <w:r>
        <w:t xml:space="preserve">, manufactured by</w:t>
      </w:r>
      <w:r>
        <w:t xml:space="preserve"> </w:t>
      </w:r>
      <w:r>
        <w:rPr>
          <w:bCs/>
          <w:b/>
        </w:rPr>
        <w:t xml:space="preserve">uqfqrtneqf</w:t>
      </w:r>
      <w:r>
        <w:t xml:space="preserve">. As</w:t>
      </w:r>
      <w:r>
        <w:t xml:space="preserve"> </w:t>
      </w:r>
      <w:r>
        <w:rPr>
          <w:bCs/>
          <w:b/>
        </w:rPr>
        <w:t xml:space="preserve">wepihuduqd</w:t>
      </w:r>
      <w:r>
        <w:t xml:space="preserve">, a Senior Sustainability Consultant specializing in GHG Protocol, this analysis adheres to the GHG Protocol Corporate Value Chain (Scope 3) Accounting and Reporting Standard, incorporating the 2026 Land Sector and Removals (LSR) Standard update. The assessment covers the lifecycle from material acquisition to end-of-life (cradle-to-grave, with a factory-gate system boundary for direct operations), identifying key emission hotspots and providing a comprehensive overview of the product\'s environmental impact. The total Product Carbon Footprint for one functional unit of zkdvhpxyjt is calculated to be approximately</w:t>
      </w:r>
      <w:r>
        <w:t xml:space="preserve"> </w:t>
      </w:r>
      <w:r>
        <w:rPr>
          <w:bCs/>
          <w:b/>
        </w:rPr>
        <w:t xml:space="preserve">31.77 kg CO2e</w:t>
      </w:r>
      <w:r>
        <w:t xml:space="preserve">.</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first step in this Product Carbon Footprint (PCF) analysis is to clearly define the scope of the assessment, ensuring consistency and comparability with other environmental reporting standards.</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zkdvhpxyjt. This serves as the reference basis to quantify inputs and outputs and normalize environmental impacts.</w:t>
      </w:r>
    </w:p>
    <w:p>
      <w:pPr>
        <w:numPr>
          <w:ilvl w:val="0"/>
          <w:numId w:val="1001"/>
        </w:numPr>
        <w:pStyle w:val="Compact"/>
      </w:pPr>
      <w:r>
        <w:rPr>
          <w:bCs/>
          <w:b/>
        </w:rPr>
        <w:t xml:space="preserve">System Boundary:</w:t>
      </w:r>
      <w:r>
        <w:t xml:space="preserve"> </w:t>
      </w:r>
      <w:r>
        <w:t xml:space="preserve">The system boundary for this PCF is</w:t>
      </w:r>
      <w:r>
        <w:t xml:space="preserve"> </w:t>
      </w:r>
      <w:r>
        <w:rPr>
          <w:bCs/>
          <w:b/>
        </w:rPr>
        <w:t xml:space="preserve">factory_gate</w:t>
      </w:r>
      <w:r>
        <w:t xml:space="preserve">, extending to include downstream use and end-of-life stages (cradle-to-grave perspective). This encompasses all relevant lifecycle stages from raw material extraction and processing, product manufacturing, transportation, product use, and end-of-life treatment.</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w:t>
      </w:r>
      <w:r>
        <w:t xml:space="preserve">for upstream materials and downstream markets. Emission factors are selected to reflect these regional specificities where possible.</w:t>
      </w:r>
    </w:p>
    <w:p>
      <w:pPr>
        <w:numPr>
          <w:ilvl w:val="0"/>
          <w:numId w:val="1001"/>
        </w:numPr>
        <w:pStyle w:val="Compact"/>
      </w:pPr>
      <w:r>
        <w:rPr>
          <w:bCs/>
          <w:b/>
        </w:rPr>
        <w:t xml:space="preserve">Allocation:</w:t>
      </w:r>
      <w:r>
        <w:t xml:space="preserve"> </w:t>
      </w:r>
      <w:r>
        <w:t xml:space="preserve">Environmental impacts are allocated directly to the functional unit (1.0 unit of zkdvhpxyjt). No co-product allocation is considered as the analysis focuses on a single product.</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Corporate Accounting and Reporting Standard</w:t>
      </w:r>
      <w:r>
        <w:t xml:space="preserve">, including the Corporate Value Chain (Scope 3) Accounting and Reporting Standard. Emissions are categorized into Scope 1 (direct), Scope 2 (purchased energy), and Scope 3 (value chain).</w:t>
      </w:r>
    </w:p>
    <w:p>
      <w:pPr>
        <w:numPr>
          <w:ilvl w:val="0"/>
          <w:numId w:val="1001"/>
        </w:numPr>
        <w:pStyle w:val="Compact"/>
      </w:pPr>
      <w:r>
        <w:rPr>
          <w:bCs/>
          <w:b/>
        </w:rPr>
        <w:t xml:space="preserve">2026 LSR Update:</w:t>
      </w:r>
      <w:r>
        <w:t xml:space="preserve"> </w:t>
      </w:r>
      <w:r>
        <w:t xml:space="preserve">The Land Sector and Removals (LSR) Standard, effective January 1, 2027, has been considered. As the product zkdvhpxyjt does not directly involve land-use change, biogenic carbon, or direct carbon removal technologies in its manufacturing or primary material composition, direct emissions or removals under this standard are not explicitly quantified. However, the standard\'s principles for transparent reporting of land-related impacts are acknowledged for future integration if relevant data becomes available.</w:t>
      </w:r>
    </w:p>
    <w:p>
      <w:r>
        <w:pict>
          <v:rect style="width:0;height:1.5pt" o:hralign="center" o:hrstd="t" o:hr="t"/>
        </w:pict>
      </w:r>
    </w:p>
    <w:bookmarkEnd w:id="22"/>
    <w:bookmarkStart w:id="28" w:name="X9b3f95e3515408304ff4a9cec9842f2424d7a20"/>
    <w:p>
      <w:pPr>
        <w:pStyle w:val="Heading2"/>
      </w:pPr>
      <w:r>
        <w:t xml:space="preserve">2. Map Lifecycle (LCI Inventory Stages) &amp; 3. Collect Data (Primary/Secondary Data Points)</w:t>
      </w:r>
    </w:p>
    <w:p>
      <w:pPr>
        <w:pStyle w:val="FirstParagraph"/>
      </w:pPr>
      <w:r>
        <w:t xml:space="preserve">This section outlines the lifecycle stages considered and the data collected for each, detailing material and energy inputs.</w:t>
      </w:r>
    </w:p>
    <w:bookmarkStart w:id="23" w:name="Xc4f12ca5de2ca39b0fed3c0689fed8981bf74eb"/>
    <w:p>
      <w:pPr>
        <w:pStyle w:val="Heading3"/>
      </w:pPr>
      <w:r>
        <w:t xml:space="preserve">Detailed Bill of Materials (BOM) for zkdvhpxyjt</w:t>
      </w:r>
    </w:p>
    <w:p>
      <w:pPr>
        <w:pStyle w:val="FirstParagraph"/>
      </w:pPr>
      <w:r>
        <w:t xml:space="preserve">The following Bill of Materials (BOM) data, provided as</w:t>
      </w:r>
      <w:r>
        <w:t xml:space="preserve"> </w:t>
      </w:r>
      <w:r>
        <w:rPr>
          <w:bCs/>
          <w:b/>
        </w:rPr>
        <w:t xml:space="preserve">jepzkgip</w:t>
      </w:r>
      <w:r>
        <w:t xml:space="preserve">, has been used for high-accuracy material impact calculation. The \'Total Carbon\' values provided for each item are directly incorporated into the material emissions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1.00</w:t>
            </w:r>
          </w:p>
        </w:tc>
      </w:tr>
      <w:tr>
        <w:tc>
          <w:tcPr/>
          <w:p>
            <w:pPr>
              <w:pStyle w:val="Compact"/>
              <w:jc w:val="left"/>
            </w:pPr>
            <w:r>
              <w:t xml:space="preserve">M002</w:t>
            </w:r>
          </w:p>
        </w:tc>
        <w:tc>
          <w:tcPr/>
          <w:p>
            <w:pPr>
              <w:pStyle w:val="Compact"/>
              <w:jc w:val="left"/>
            </w:pPr>
            <w:r>
              <w:t xml:space="preserve">PC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gridSpan w:val="7"/>
          </w:tcPr>
          <w:p>
            <w:pPr>
              <w:pStyle w:val="Compact"/>
              <w:jc w:val="right"/>
            </w:pPr>
            <w:r>
              <w:rPr>
                <w:bCs/>
                <w:b/>
              </w:rPr>
              <w:t xml:space="preserve">Total Material Carbon from BOM:</w:t>
            </w:r>
          </w:p>
        </w:tc>
        <w:tc>
          <w:tcPr/>
          <w:p>
            <w:pPr>
              <w:pStyle w:val="Compact"/>
              <w:jc w:val="left"/>
            </w:pPr>
            <w:r>
              <w:rPr>
                <w:bCs/>
                <w:b/>
              </w:rPr>
              <w:t xml:space="preserve">4.88</w:t>
            </w:r>
          </w:p>
        </w:tc>
      </w:tr>
      <w:tr>
        <w:tc>
          <w:tcPr>
            <w:gridSpan w:val="7"/>
          </w:tcPr>
          <w:p>
            <w:pPr>
              <w:pStyle w:val="Compact"/>
              <w:jc w:val="right"/>
            </w:pPr>
            <w:r>
              <w:rPr>
                <w:bCs/>
                <w:b/>
              </w:rPr>
              <w:t xml:space="preserve">Total Product Weight:</w:t>
            </w:r>
          </w:p>
        </w:tc>
        <w:tc>
          <w:tcPr/>
          <w:p>
            <w:pPr>
              <w:pStyle w:val="Compact"/>
              <w:jc w:val="left"/>
            </w:pPr>
            <w:r>
              <w:rPr>
                <w:bCs/>
                <w:b/>
              </w:rPr>
              <w:t xml:space="preserve">0.67 kg</w:t>
            </w:r>
          </w:p>
        </w:tc>
      </w:tr>
    </w:tbl>
    <w:bookmarkEnd w:id="23"/>
    <w:bookmarkStart w:id="24"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rPr>
          <w:bCs/>
          <w:b/>
        </w:rPr>
        <w:t xml:space="preserve">tnnwwxvgwy</w:t>
      </w:r>
      <w:r>
        <w:t xml:space="preserve"> </w:t>
      </w:r>
      <w:r>
        <w:t xml:space="preserve">(assumed 8 kWh/unit for calculation)</w:t>
      </w:r>
    </w:p>
    <w:p>
      <w:pPr>
        <w:numPr>
          <w:ilvl w:val="0"/>
          <w:numId w:val="1002"/>
        </w:numPr>
        <w:pStyle w:val="Compact"/>
      </w:pPr>
      <w:r>
        <w:rPr>
          <w:bCs/>
          <w:b/>
        </w:rPr>
        <w:t xml:space="preserve">Renewable Energy Usage:</w:t>
      </w:r>
      <w:r>
        <w:t xml:space="preserve"> </w:t>
      </w:r>
      <w:r>
        <w:rPr>
          <w:bCs/>
          <w:b/>
        </w:rPr>
        <w:t xml:space="preserve">rvwvxgiknp</w:t>
      </w:r>
      <w:r>
        <w:t xml:space="preserve"> </w:t>
      </w:r>
      <w:r>
        <w:t xml:space="preserve">(assumed 60%)</w:t>
      </w:r>
    </w:p>
    <w:bookmarkEnd w:id="24"/>
    <w:bookmarkStart w:id="25" w:name="logistics-data"/>
    <w:p>
      <w:pPr>
        <w:pStyle w:val="Heading3"/>
      </w:pPr>
      <w:r>
        <w:t xml:space="preserve">Logistics Data</w:t>
      </w:r>
    </w:p>
    <w:p>
      <w:pPr>
        <w:numPr>
          <w:ilvl w:val="0"/>
          <w:numId w:val="1003"/>
        </w:numPr>
        <w:pStyle w:val="Compact"/>
      </w:pPr>
      <w:r>
        <w:rPr>
          <w:bCs/>
          <w:b/>
        </w:rPr>
        <w:t xml:space="preserve">Transport Mode:</w:t>
      </w:r>
      <w:r>
        <w:t xml:space="preserve"> </w:t>
      </w:r>
      <w:r>
        <w:rPr>
          <w:bCs/>
          <w:b/>
        </w:rPr>
        <w:t xml:space="preserve">Select Mode</w:t>
      </w:r>
      <w:r>
        <w:t xml:space="preserve"> </w:t>
      </w:r>
      <w:r>
        <w:t xml:space="preserve">(assumed a combination of Sea Freight for long-haul and Heavy Duty Truck for regional transport).</w:t>
      </w:r>
    </w:p>
    <w:p>
      <w:pPr>
        <w:numPr>
          <w:ilvl w:val="0"/>
          <w:numId w:val="1003"/>
        </w:numPr>
        <w:pStyle w:val="Compact"/>
      </w:pPr>
      <w:r>
        <w:rPr>
          <w:bCs/>
          <w:b/>
        </w:rPr>
        <w:t xml:space="preserve">Transport Distance:</w:t>
      </w:r>
      <w:r>
        <w:t xml:space="preserve"> </w:t>
      </w:r>
      <w:r>
        <w:rPr>
          <w:bCs/>
          <w:b/>
        </w:rPr>
        <w:t xml:space="preserve">kyhteiszwg</w:t>
      </w:r>
      <w:r>
        <w:t xml:space="preserve"> </w:t>
      </w:r>
      <w:r>
        <w:t xml:space="preserve">(assumed 12,000 km total for finished product distribution, split as 11,000 km sea and 1,000 km road. An additional 5,000 km sea is assumed for upstream material transport).</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(assumed Parcel Delivery Van for last-mile to customer).</w:t>
      </w:r>
    </w:p>
    <w:bookmarkEnd w:id="25"/>
    <w:bookmarkStart w:id="26" w:name="product-use-phase-data"/>
    <w:p>
      <w:pPr>
        <w:pStyle w:val="Heading3"/>
      </w:pPr>
      <w:r>
        <w:t xml:space="preserve">Product Use Phase Data</w:t>
      </w:r>
    </w:p>
    <w:p>
      <w:pPr>
        <w:numPr>
          <w:ilvl w:val="0"/>
          <w:numId w:val="1004"/>
        </w:numPr>
        <w:pStyle w:val="Compact"/>
      </w:pPr>
      <w:r>
        <w:rPr>
          <w:bCs/>
          <w:b/>
        </w:rPr>
        <w:t xml:space="preserve">Product Lifespan:</w:t>
      </w:r>
      <w:r>
        <w:t xml:space="preserve"> </w:t>
      </w:r>
      <w:r>
        <w:rPr>
          <w:bCs/>
          <w:b/>
        </w:rPr>
        <w:t xml:space="preserve">jhzqdxglws</w:t>
      </w:r>
      <w:r>
        <w:t xml:space="preserve"> </w:t>
      </w:r>
      <w:r>
        <w:t xml:space="preserve">(assumed 7 years).</w:t>
      </w:r>
    </w:p>
    <w:p>
      <w:pPr>
        <w:numPr>
          <w:ilvl w:val="0"/>
          <w:numId w:val="1004"/>
        </w:numPr>
        <w:pStyle w:val="Compact"/>
      </w:pPr>
      <w:r>
        <w:rPr>
          <w:bCs/>
          <w:b/>
        </w:rPr>
        <w:t xml:space="preserve">Energy Consumption in Use:</w:t>
      </w:r>
      <w:r>
        <w:t xml:space="preserve"> </w:t>
      </w:r>
      <w:r>
        <w:rPr>
          <w:bCs/>
          <w:b/>
        </w:rPr>
        <w:t xml:space="preserve">ytdoqddlxl</w:t>
      </w:r>
      <w:r>
        <w:t xml:space="preserve"> </w:t>
      </w:r>
      <w:r>
        <w:t xml:space="preserve">(assumed 15 kWh/year).</w:t>
      </w:r>
    </w:p>
    <w:bookmarkEnd w:id="26"/>
    <w:bookmarkStart w:id="27" w:name="end-of-life-eol-scenarios-data"/>
    <w:p>
      <w:pPr>
        <w:pStyle w:val="Heading3"/>
      </w:pPr>
      <w:r>
        <w:t xml:space="preserve">End-of-Life (EoL) Scenarios Data</w:t>
      </w:r>
    </w:p>
    <w:p>
      <w:pPr>
        <w:numPr>
          <w:ilvl w:val="0"/>
          <w:numId w:val="1005"/>
        </w:numPr>
        <w:pStyle w:val="Compact"/>
      </w:pPr>
      <w:r>
        <w:rPr>
          <w:bCs/>
          <w:b/>
        </w:rPr>
        <w:t xml:space="preserve">Recyclability Percentage:</w:t>
      </w:r>
      <w:r>
        <w:t xml:space="preserve"> </w:t>
      </w:r>
      <w:r>
        <w:rPr>
          <w:bCs/>
          <w:b/>
        </w:rPr>
        <w:t xml:space="preserve">uwyzxzxluz</w:t>
      </w:r>
      <w:r>
        <w:t xml:space="preserve"> </w:t>
      </w:r>
      <w:r>
        <w:t xml:space="preserve">(assumed 75%).</w:t>
      </w:r>
    </w:p>
    <w:p>
      <w:pPr>
        <w:numPr>
          <w:ilvl w:val="0"/>
          <w:numId w:val="1005"/>
        </w:numPr>
        <w:pStyle w:val="Compact"/>
      </w:pPr>
      <w:r>
        <w:rPr>
          <w:bCs/>
          <w:b/>
        </w:rPr>
        <w:t xml:space="preserve">Circular/Take-back Programs:</w:t>
      </w:r>
      <w:r>
        <w:t xml:space="preserve"> </w:t>
      </w:r>
      <w:r>
        <w:rPr>
          <w:bCs/>
          <w:b/>
        </w:rPr>
        <w:t xml:space="preserve">fjkdyxskxd</w:t>
      </w:r>
      <w:r>
        <w:t xml:space="preserve"> </w:t>
      </w:r>
      <w:r>
        <w:t xml:space="preserve">(assumed "Active take-back program in key markets").</w:t>
      </w:r>
    </w:p>
    <w:p>
      <w:r>
        <w:pict>
          <v:rect style="width:0;height:1.5pt" o:hralign="center" o:hrstd="t" o:hr="t"/>
        </w:pict>
      </w:r>
    </w:p>
    <w:bookmarkEnd w:id="27"/>
    <w:bookmarkEnd w:id="28"/>
    <w:bookmarkStart w:id="38" w:name="Xb404f6bea4a0013006ec7a9103609d9ea6643c1"/>
    <w:p>
      <w:pPr>
        <w:pStyle w:val="Heading2"/>
      </w:pPr>
      <w:r>
        <w:t xml:space="preserve">4. Calculate Emissions (Activity * Emission Factor = CO2e)</w:t>
      </w:r>
    </w:p>
    <w:p>
      <w:pPr>
        <w:pStyle w:val="FirstParagraph"/>
      </w:pPr>
      <w:r>
        <w:t xml:space="preserve">Emissions are calculated for each lifecycle stage, categorized according to the GHG Protocol Scopes. Industry-standard emission factors from sources like Ecoinvent and DEFRA are utilized for secondary data where specific values are not provided, or to substantiate assumptions.</w:t>
      </w:r>
    </w:p>
    <w:bookmarkStart w:id="29" w:name="scope-1-emissions-direct-emissions"/>
    <w:p>
      <w:pPr>
        <w:pStyle w:val="Heading3"/>
      </w:pPr>
      <w:r>
        <w:t xml:space="preserve">4.1. Scope 1 Emissions (Direct Emissions)</w:t>
      </w:r>
    </w:p>
    <w:p>
      <w:pPr>
        <w:pStyle w:val="FirstParagraph"/>
      </w:pPr>
      <w:r>
        <w:t xml:space="preserve">Direct GHG emissions from sources owned or controlled by</w:t>
      </w:r>
      <w:r>
        <w:t xml:space="preserve"> </w:t>
      </w:r>
      <w:r>
        <w:rPr>
          <w:bCs/>
          <w:b/>
        </w:rPr>
        <w:t xml:space="preserve">uqfqrtneqf</w:t>
      </w:r>
      <w:r>
        <w:t xml:space="preserve"> </w:t>
      </w:r>
      <w:r>
        <w:t xml:space="preserve">at the production facility for</w:t>
      </w:r>
      <w:r>
        <w:t xml:space="preserve"> </w:t>
      </w:r>
      <w:r>
        <w:rPr>
          <w:bCs/>
          <w:b/>
        </w:rPr>
        <w:t xml:space="preserve">zkdvhpxyjt</w:t>
      </w:r>
      <w:r>
        <w:t xml:space="preserve"> </w:t>
      </w:r>
      <w:r>
        <w:t xml:space="preserve">are considered. Given the "factory_gate" system boundary and absence of specific data on direct fuel combustion or fugitive emissions, Scope 1 emissions are deemed negligible for this product\'s PCF analysis.</w:t>
      </w:r>
    </w:p>
    <w:p>
      <w:pPr>
        <w:pStyle w:val="BodyText"/>
      </w:pPr>
      <w:r>
        <w:rPr>
          <w:bCs/>
          <w:b/>
        </w:rPr>
        <w:t xml:space="preserve">Scope 1 Emissions: 0.00 kg CO2e</w:t>
      </w:r>
    </w:p>
    <w:bookmarkEnd w:id="29"/>
    <w:bookmarkStart w:id="30" w:name="scope-2-emissions-purchased-energy"/>
    <w:p>
      <w:pPr>
        <w:pStyle w:val="Heading3"/>
      </w:pPr>
      <w:r>
        <w:t xml:space="preserve">4.2. Scope 2 Emissions (Purchased Energy)</w:t>
      </w:r>
    </w:p>
    <w:p>
      <w:pPr>
        <w:pStyle w:val="FirstParagraph"/>
      </w:pPr>
      <w:r>
        <w:t xml:space="preserve">Indirect GHG emissions from the generation of purchased electricity consumed during the manufacturing of</w:t>
      </w:r>
      <w:r>
        <w:t xml:space="preserve"> </w:t>
      </w:r>
      <w:r>
        <w:rPr>
          <w:bCs/>
          <w:b/>
        </w:rPr>
        <w:t xml:space="preserve">zkdvhpxyjt</w:t>
      </w:r>
      <w:r>
        <w:t xml:space="preserve"> </w:t>
      </w:r>
      <w:r>
        <w:t xml:space="preserve">in China.</w:t>
      </w:r>
    </w:p>
    <w:p>
      <w:pPr>
        <w:numPr>
          <w:ilvl w:val="0"/>
          <w:numId w:val="1006"/>
        </w:numPr>
        <w:pStyle w:val="Compact"/>
      </w:pPr>
      <w:r>
        <w:t xml:space="preserve">Energy Intensity (tnnwwxvgwy): 8 kWh/unit</w:t>
      </w:r>
    </w:p>
    <w:p>
      <w:pPr>
        <w:numPr>
          <w:ilvl w:val="0"/>
          <w:numId w:val="1006"/>
        </w:numPr>
        <w:pStyle w:val="Compact"/>
      </w:pPr>
      <w:r>
        <w:t xml:space="preserve">Renewable Energy Usage (rvwvxgiknp): 60%</w:t>
      </w:r>
    </w:p>
    <w:p>
      <w:pPr>
        <w:numPr>
          <w:ilvl w:val="0"/>
          <w:numId w:val="1006"/>
        </w:numPr>
        <w:pStyle w:val="Compact"/>
      </w:pPr>
      <w:r>
        <w:t xml:space="preserve">Non-renewable electricity consumption: 8 kWh * (1 - 0.60) = 3.2 kWh/unit</w:t>
      </w:r>
    </w:p>
    <w:p>
      <w:pPr>
        <w:numPr>
          <w:ilvl w:val="0"/>
          <w:numId w:val="1006"/>
        </w:numPr>
        <w:pStyle w:val="Compact"/>
      </w:pPr>
      <w:r>
        <w:t xml:space="preserve">China Grid Mix Emission Factor: 0.6205 kg CO2e/kWh (Source: China\'s Ministry of Ecology and Environment, 2023 national average)</w:t>
      </w:r>
    </w:p>
    <w:p>
      <w:pPr>
        <w:numPr>
          <w:ilvl w:val="0"/>
          <w:numId w:val="1006"/>
        </w:numPr>
        <w:pStyle w:val="Compact"/>
      </w:pPr>
      <w:r>
        <w:rPr>
          <w:bCs/>
          <w:b/>
        </w:rPr>
        <w:t xml:space="preserve">Scope 2 Emissions:</w:t>
      </w:r>
      <w:r>
        <w:t xml:space="preserve"> </w:t>
      </w:r>
      <w:r>
        <w:t xml:space="preserve">3.2 kWh/unit * 0.6205 kg CO2e/kWh =</w:t>
      </w:r>
      <w:r>
        <w:t xml:space="preserve"> </w:t>
      </w:r>
      <w:r>
        <w:rPr>
          <w:bCs/>
          <w:b/>
        </w:rPr>
        <w:t xml:space="preserve">1.9856 kg CO2e/unit</w:t>
      </w:r>
    </w:p>
    <w:bookmarkEnd w:id="30"/>
    <w:bookmarkStart w:id="35" w:name="scope-3-emissions-value-chain-emissions"/>
    <w:p>
      <w:pPr>
        <w:pStyle w:val="Heading3"/>
      </w:pPr>
      <w:r>
        <w:t xml:space="preserve">4.3. Scope 3 Emissions (Value Chain Emissions)</w:t>
      </w:r>
    </w:p>
    <w:p>
      <w:pPr>
        <w:pStyle w:val="FirstParagraph"/>
      </w:pPr>
      <w:r>
        <w:t xml:space="preserve">All other indirect emissions occurring in the value chain, both upstream and downstream, are accounted for under Scope 3. This includes emissions from purchased goods and services, transportation, use of sold products, and end-of-life treatment.</w:t>
      </w:r>
    </w:p>
    <w:bookmarkStart w:id="31" w:name="X2aefdfc9f4d5c4252e26c704373527a5bf56bce"/>
    <w:p>
      <w:pPr>
        <w:pStyle w:val="Heading4"/>
      </w:pPr>
      <w:r>
        <w:t xml:space="preserve">4.3.1. Materials Production (Upstream - Category 1: Purchased goods and services)</w:t>
      </w:r>
    </w:p>
    <w:p>
      <w:pPr>
        <w:pStyle w:val="FirstParagraph"/>
      </w:pPr>
      <w:r>
        <w:t xml:space="preserve">Emissions associated with the extraction, processing, and production of raw materials and components as detailed in the Bill of Materials (BOM).</w:t>
      </w:r>
    </w:p>
    <w:p>
      <w:pPr>
        <w:numPr>
          <w:ilvl w:val="0"/>
          <w:numId w:val="1007"/>
        </w:numPr>
        <w:pStyle w:val="Compact"/>
      </w:pPr>
      <w:r>
        <w:t xml:space="preserve">Total Carbon from BOM (jepzkgip): 4.88 kg CO2e/unit</w:t>
      </w:r>
    </w:p>
    <w:p>
      <w:pPr>
        <w:numPr>
          <w:ilvl w:val="0"/>
          <w:numId w:val="1007"/>
        </w:numPr>
        <w:pStyle w:val="Compact"/>
      </w:pPr>
      <w:r>
        <w:rPr>
          <w:bCs/>
          <w:b/>
        </w:rPr>
        <w:t xml:space="preserve">Scope 3 Emissions (Materials Production): 4.88 kg CO2e/unit</w:t>
      </w:r>
    </w:p>
    <w:bookmarkEnd w:id="31"/>
    <w:bookmarkStart w:id="32" w:name="X9cdf5815a4664faa20bc6c730a1ee805b2b07ba"/>
    <w:p>
      <w:pPr>
        <w:pStyle w:val="Heading4"/>
      </w:pPr>
      <w:r>
        <w:t xml:space="preserve">4.3.2. Transport (Upstream &amp; Downstream - Category 4 &amp; 9)</w:t>
      </w:r>
    </w:p>
    <w:p>
      <w:pPr>
        <w:pStyle w:val="FirstParagraph"/>
      </w:pPr>
      <w:r>
        <w:t xml:space="preserve">Emissions from the transportation of materials to the factory (upstream) and the finished product to the customer (downstream), including last-mile delivery.</w:t>
      </w:r>
    </w:p>
    <w:p>
      <w:pPr>
        <w:numPr>
          <w:ilvl w:val="0"/>
          <w:numId w:val="1008"/>
        </w:numPr>
        <w:pStyle w:val="Compact"/>
      </w:pPr>
      <w:r>
        <w:t xml:space="preserve">Product Weight (total from BOM): 0.67 kg</w:t>
      </w:r>
    </w:p>
    <w:p>
      <w:pPr>
        <w:numPr>
          <w:ilvl w:val="0"/>
          <w:numId w:val="1008"/>
        </w:numPr>
        <w:pStyle w:val="Compact"/>
      </w:pPr>
      <w:r>
        <w:rPr>
          <w:bCs/>
          <w:b/>
        </w:rPr>
        <w:t xml:space="preserve">Upstream Materials Transport (assumed Europe to China):</w:t>
      </w:r>
    </w:p>
    <w:p>
      <w:pPr>
        <w:numPr>
          <w:ilvl w:val="1"/>
          <w:numId w:val="1009"/>
        </w:numPr>
        <w:pStyle w:val="Compact"/>
      </w:pPr>
      <w:r>
        <w:t xml:space="preserve">Distance: 5,000 km (sea freight assumed)</w:t>
      </w:r>
    </w:p>
    <w:p>
      <w:pPr>
        <w:numPr>
          <w:ilvl w:val="1"/>
          <w:numId w:val="1009"/>
        </w:numPr>
        <w:pStyle w:val="Compact"/>
      </w:pPr>
      <w:r>
        <w:t xml:space="preserve">Emission Factor (Sea Freight, Container Ship): 0.005 kg CO2e/tkm (Ecoinvent average)</w:t>
      </w:r>
    </w:p>
    <w:p>
      <w:pPr>
        <w:numPr>
          <w:ilvl w:val="1"/>
          <w:numId w:val="1009"/>
        </w:numPr>
        <w:pStyle w:val="Compact"/>
      </w:pPr>
      <w:r>
        <w:t xml:space="preserve">Calculation: 0.67 kg * 5,000 km * 0.005 kg CO2e/tkm / 1000 =</w:t>
      </w:r>
      <w:r>
        <w:t xml:space="preserve"> </w:t>
      </w:r>
      <w:r>
        <w:rPr>
          <w:bCs/>
          <w:b/>
        </w:rPr>
        <w:t xml:space="preserve">0.01675 kg CO2e/unit</w:t>
      </w:r>
    </w:p>
    <w:p>
      <w:pPr>
        <w:numPr>
          <w:ilvl w:val="0"/>
          <w:numId w:val="1008"/>
        </w:numPr>
        <w:pStyle w:val="Compact"/>
      </w:pPr>
      <w:r>
        <w:rPr>
          <w:bCs/>
          <w:b/>
        </w:rPr>
        <w:t xml:space="preserve">Downstream Finished Product Transport (China to Europe):</w:t>
      </w:r>
    </w:p>
    <w:p>
      <w:pPr>
        <w:numPr>
          <w:ilvl w:val="1"/>
          <w:numId w:val="1010"/>
        </w:numPr>
        <w:pStyle w:val="Compact"/>
      </w:pPr>
      <w:r>
        <w:t xml:space="preserve">Total Distance (kyhteiszwg): 12,000 km (11,000 km sea, 1,000 km road)</w:t>
      </w:r>
    </w:p>
    <w:p>
      <w:pPr>
        <w:numPr>
          <w:ilvl w:val="1"/>
          <w:numId w:val="1010"/>
        </w:numPr>
        <w:pStyle w:val="Compact"/>
      </w:pPr>
      <w:r>
        <w:t xml:space="preserve">Sea Freight (Container Ship):</w:t>
      </w:r>
    </w:p>
    <w:p>
      <w:pPr>
        <w:numPr>
          <w:ilvl w:val="2"/>
          <w:numId w:val="1011"/>
        </w:numPr>
        <w:pStyle w:val="Compact"/>
      </w:pPr>
      <w:r>
        <w:t xml:space="preserve">Distance: 11,000 km</w:t>
      </w:r>
    </w:p>
    <w:p>
      <w:pPr>
        <w:numPr>
          <w:ilvl w:val="2"/>
          <w:numId w:val="1011"/>
        </w:numPr>
        <w:pStyle w:val="Compact"/>
      </w:pPr>
      <w:r>
        <w:t xml:space="preserve">Emission Factor: 0.005 kg CO2e/tkm</w:t>
      </w:r>
    </w:p>
    <w:p>
      <w:pPr>
        <w:numPr>
          <w:ilvl w:val="2"/>
          <w:numId w:val="1011"/>
        </w:numPr>
        <w:pStyle w:val="Compact"/>
      </w:pPr>
      <w:r>
        <w:t xml:space="preserve">Calculation: 0.67 kg * 11,000 km * 0.005 kg CO2e/tkm / 1000 =</w:t>
      </w:r>
      <w:r>
        <w:t xml:space="preserve"> </w:t>
      </w:r>
      <w:r>
        <w:rPr>
          <w:bCs/>
          <w:b/>
        </w:rPr>
        <w:t xml:space="preserve">0.03685 kg CO2e/unit</w:t>
      </w:r>
    </w:p>
    <w:p>
      <w:pPr>
        <w:numPr>
          <w:ilvl w:val="1"/>
          <w:numId w:val="1010"/>
        </w:numPr>
        <w:pStyle w:val="Compact"/>
      </w:pPr>
      <w:r>
        <w:t xml:space="preserve">Road Freight (Heavy Duty Truck):</w:t>
      </w:r>
    </w:p>
    <w:p>
      <w:pPr>
        <w:numPr>
          <w:ilvl w:val="2"/>
          <w:numId w:val="1012"/>
        </w:numPr>
        <w:pStyle w:val="Compact"/>
      </w:pPr>
      <w:r>
        <w:t xml:space="preserve">Distance: 1,000 km</w:t>
      </w:r>
    </w:p>
    <w:p>
      <w:pPr>
        <w:numPr>
          <w:ilvl w:val="2"/>
          <w:numId w:val="1012"/>
        </w:numPr>
        <w:pStyle w:val="Compact"/>
      </w:pPr>
      <w:r>
        <w:t xml:space="preserve">Emission Factor: 0.08 kg CO2e/tkm (Ecoinvent average)</w:t>
      </w:r>
    </w:p>
    <w:p>
      <w:pPr>
        <w:numPr>
          <w:ilvl w:val="2"/>
          <w:numId w:val="1012"/>
        </w:numPr>
        <w:pStyle w:val="Compact"/>
      </w:pPr>
      <w:r>
        <w:t xml:space="preserve">Calculation: 0.67 kg * 1,000 km * 0.08 kg CO2e/tkm / 1000 =</w:t>
      </w:r>
      <w:r>
        <w:t xml:space="preserve"> </w:t>
      </w:r>
      <w:r>
        <w:rPr>
          <w:bCs/>
          <w:b/>
        </w:rPr>
        <w:t xml:space="preserve">0.0536 kg CO2e/unit</w:t>
      </w:r>
    </w:p>
    <w:p>
      <w:pPr>
        <w:numPr>
          <w:ilvl w:val="0"/>
          <w:numId w:val="1008"/>
        </w:numPr>
        <w:pStyle w:val="Compact"/>
      </w:pPr>
      <w:r>
        <w:rPr>
          <w:bCs/>
          <w:b/>
        </w:rPr>
        <w:t xml:space="preserve">Last-Mile Delivery (Delivery Type: Parcel Delivery Van):</w:t>
      </w:r>
    </w:p>
    <w:p>
      <w:pPr>
        <w:numPr>
          <w:ilvl w:val="1"/>
          <w:numId w:val="1013"/>
        </w:numPr>
        <w:pStyle w:val="Compact"/>
      </w:pPr>
      <w:r>
        <w:t xml:space="preserve">Assumed fixed emission: 0.3 kg CO2e/package (representative estimate for small parcel delivery)</w:t>
      </w:r>
    </w:p>
    <w:p>
      <w:pPr>
        <w:numPr>
          <w:ilvl w:val="1"/>
          <w:numId w:val="1013"/>
        </w:numPr>
        <w:pStyle w:val="Compact"/>
      </w:pPr>
      <w:r>
        <w:t xml:space="preserve">Calculation:</w:t>
      </w:r>
      <w:r>
        <w:t xml:space="preserve"> </w:t>
      </w:r>
      <w:r>
        <w:rPr>
          <w:bCs/>
          <w:b/>
        </w:rPr>
        <w:t xml:space="preserve">0.30 kg CO2e/unit</w:t>
      </w:r>
    </w:p>
    <w:p>
      <w:pPr>
        <w:numPr>
          <w:ilvl w:val="0"/>
          <w:numId w:val="1008"/>
        </w:numPr>
        <w:pStyle w:val="Compact"/>
      </w:pPr>
      <w:r>
        <w:rPr>
          <w:bCs/>
          <w:b/>
        </w:rPr>
        <w:t xml:space="preserve">Scope 3 Emissions (Transport): 0.01675 + 0.03685 + 0.0536 + 0.30 = 0.4072 kg CO2e/unit</w:t>
      </w:r>
    </w:p>
    <w:bookmarkEnd w:id="32"/>
    <w:bookmarkStart w:id="33" w:name="Xf29bf5c6ecee8caf48bdb19d830f5f5e909ed0f"/>
    <w:p>
      <w:pPr>
        <w:pStyle w:val="Heading4"/>
      </w:pPr>
      <w:r>
        <w:t xml:space="preserve">4.3.3. Use Phase (Downstream - Category 11: Use of sold products)</w:t>
      </w:r>
    </w:p>
    <w:p>
      <w:pPr>
        <w:pStyle w:val="FirstParagraph"/>
      </w:pPr>
      <w:r>
        <w:t xml:space="preserve">Emissions from the energy consumed by the product during its lifespan by the end-user.</w:t>
      </w:r>
    </w:p>
    <w:p>
      <w:pPr>
        <w:numPr>
          <w:ilvl w:val="0"/>
          <w:numId w:val="1014"/>
        </w:numPr>
        <w:pStyle w:val="Compact"/>
      </w:pPr>
      <w:r>
        <w:t xml:space="preserve">Product Lifespan (jhzqdxglws): 7 years</w:t>
      </w:r>
    </w:p>
    <w:p>
      <w:pPr>
        <w:numPr>
          <w:ilvl w:val="0"/>
          <w:numId w:val="1014"/>
        </w:numPr>
        <w:pStyle w:val="Compact"/>
      </w:pPr>
      <w:r>
        <w:t xml:space="preserve">Energy Consumption in Use (ytdoqddlxl): 15 kWh/year</w:t>
      </w:r>
    </w:p>
    <w:p>
      <w:pPr>
        <w:numPr>
          <w:ilvl w:val="0"/>
          <w:numId w:val="1014"/>
        </w:numPr>
        <w:pStyle w:val="Compact"/>
      </w:pPr>
      <w:r>
        <w:t xml:space="preserve">Total Use Phase Energy: 15 kWh/year * 7 years = 105 kWh/unit</w:t>
      </w:r>
    </w:p>
    <w:p>
      <w:pPr>
        <w:numPr>
          <w:ilvl w:val="0"/>
          <w:numId w:val="1014"/>
        </w:numPr>
        <w:pStyle w:val="Compact"/>
      </w:pPr>
      <w:r>
        <w:t xml:space="preserve">European Average Grid Mix Emission Factor: 0.25 kg CO2e/kWh (Ecoinvent/EEA average)</w:t>
      </w:r>
    </w:p>
    <w:p>
      <w:pPr>
        <w:numPr>
          <w:ilvl w:val="0"/>
          <w:numId w:val="1014"/>
        </w:numPr>
        <w:pStyle w:val="Compact"/>
      </w:pPr>
      <w:r>
        <w:rPr>
          <w:bCs/>
          <w:b/>
        </w:rPr>
        <w:t xml:space="preserve">Scope 3 Emissions (Use Phase):</w:t>
      </w:r>
      <w:r>
        <w:t xml:space="preserve"> </w:t>
      </w:r>
      <w:r>
        <w:t xml:space="preserve">105 kWh/unit * 0.25 kg CO2e/kWh =</w:t>
      </w:r>
      <w:r>
        <w:t xml:space="preserve"> </w:t>
      </w:r>
      <w:r>
        <w:rPr>
          <w:bCs/>
          <w:b/>
        </w:rPr>
        <w:t xml:space="preserve">26.25 kg CO2e/unit</w:t>
      </w:r>
    </w:p>
    <w:bookmarkEnd w:id="33"/>
    <w:bookmarkStart w:id="34" w:name="X7da486d159e5d234e7b9aaf22a4378069bb8d98"/>
    <w:p>
      <w:pPr>
        <w:pStyle w:val="Heading4"/>
      </w:pPr>
      <w:r>
        <w:t xml:space="preserve">4.3.4. End-of-Life (EoL) Treatment (Downstream - Category 12: End-of-life treatment of sold products)</w:t>
      </w:r>
    </w:p>
    <w:p>
      <w:pPr>
        <w:pStyle w:val="FirstParagraph"/>
      </w:pPr>
      <w:r>
        <w:t xml:space="preserve">Emissions and avoided emissions associated with the disposal and recycling of the product at the end of its life.</w:t>
      </w:r>
    </w:p>
    <w:p>
      <w:pPr>
        <w:numPr>
          <w:ilvl w:val="0"/>
          <w:numId w:val="1015"/>
        </w:numPr>
        <w:pStyle w:val="Compact"/>
      </w:pPr>
      <w:r>
        <w:t xml:space="preserve">Total Product Weight: 0.67 kg</w:t>
      </w:r>
    </w:p>
    <w:p>
      <w:pPr>
        <w:numPr>
          <w:ilvl w:val="0"/>
          <w:numId w:val="1015"/>
        </w:numPr>
        <w:pStyle w:val="Compact"/>
      </w:pPr>
      <w:r>
        <w:t xml:space="preserve">Recyclability Percentage (uwyzxzxluz): 75%</w:t>
      </w:r>
    </w:p>
    <w:p>
      <w:pPr>
        <w:numPr>
          <w:ilvl w:val="0"/>
          <w:numId w:val="1015"/>
        </w:numPr>
        <w:pStyle w:val="Compact"/>
      </w:pPr>
      <w:r>
        <w:t xml:space="preserve">Disposed Portion: 0.67 kg * (1 - 0.75) = 0.1675 kg</w:t>
      </w:r>
    </w:p>
    <w:p>
      <w:pPr>
        <w:numPr>
          <w:ilvl w:val="0"/>
          <w:numId w:val="1015"/>
        </w:numPr>
        <w:pStyle w:val="Compact"/>
      </w:pPr>
      <w:r>
        <w:t xml:space="preserve">Recycled Portion: 0.67 kg * 0.75 = 0.5025 kg</w:t>
      </w:r>
    </w:p>
    <w:p>
      <w:pPr>
        <w:numPr>
          <w:ilvl w:val="0"/>
          <w:numId w:val="1015"/>
        </w:numPr>
        <w:pStyle w:val="Compact"/>
      </w:pPr>
      <w:r>
        <w:rPr>
          <w:bCs/>
          <w:b/>
        </w:rPr>
        <w:t xml:space="preserve">Disposal Emissions (Landfill):</w:t>
      </w:r>
    </w:p>
    <w:p>
      <w:pPr>
        <w:numPr>
          <w:ilvl w:val="1"/>
          <w:numId w:val="1016"/>
        </w:numPr>
        <w:pStyle w:val="Compact"/>
      </w:pPr>
      <w:r>
        <w:t xml:space="preserve">Emission Factor (Mixed Waste Landfill): 0.3 kg CO2e/kg (Ecoinvent/DEFRA average)</w:t>
      </w:r>
    </w:p>
    <w:p>
      <w:pPr>
        <w:numPr>
          <w:ilvl w:val="1"/>
          <w:numId w:val="1016"/>
        </w:numPr>
        <w:pStyle w:val="Compact"/>
      </w:pPr>
      <w:r>
        <w:t xml:space="preserve">Calculation: 0.1675 kg * 0.3 kg CO2e/kg =</w:t>
      </w:r>
      <w:r>
        <w:t xml:space="preserve"> </w:t>
      </w:r>
      <w:r>
        <w:rPr>
          <w:bCs/>
          <w:b/>
        </w:rPr>
        <w:t xml:space="preserve">0.05025 kg CO2e/unit</w:t>
      </w:r>
    </w:p>
    <w:p>
      <w:pPr>
        <w:numPr>
          <w:ilvl w:val="0"/>
          <w:numId w:val="1015"/>
        </w:numPr>
        <w:pStyle w:val="Compact"/>
      </w:pPr>
      <w:r>
        <w:rPr>
          <w:bCs/>
          <w:b/>
        </w:rPr>
        <w:t xml:space="preserve">Recycling Avoided Emissions (based on composition):</w:t>
      </w:r>
    </w:p>
    <w:p>
      <w:pPr>
        <w:numPr>
          <w:ilvl w:val="1"/>
          <w:numId w:val="1017"/>
        </w:numPr>
        <w:pStyle w:val="Compact"/>
      </w:pPr>
      <w:r>
        <w:t xml:space="preserve">Aluminium (0.15 kg recycled): 0.15 kg * -9.0 kg CO2e/kg (avoided primary production) = -1.35 kg CO2e</w:t>
      </w:r>
    </w:p>
    <w:p>
      <w:pPr>
        <w:numPr>
          <w:ilvl w:val="1"/>
          <w:numId w:val="1017"/>
        </w:numPr>
        <w:pStyle w:val="Compact"/>
      </w:pPr>
      <w:r>
        <w:t xml:space="preserve">PC Plastic (0.225 kg recycled): 0.225 kg * -1.5 kg CO2e/kg (avoided primary production) = -0.3375 kg CO2e</w:t>
      </w:r>
    </w:p>
    <w:p>
      <w:pPr>
        <w:numPr>
          <w:ilvl w:val="1"/>
          <w:numId w:val="1017"/>
        </w:numPr>
        <w:pStyle w:val="Compact"/>
      </w:pPr>
      <w:r>
        <w:t xml:space="preserve">Circuit Board (0.0375 kg recycled): 0.0375 kg * -2.0 kg CO2e/kg (general electronics recycling benefit) = -0.075 kg CO2e</w:t>
      </w:r>
    </w:p>
    <w:p>
      <w:pPr>
        <w:numPr>
          <w:ilvl w:val="1"/>
          <w:numId w:val="1017"/>
        </w:numPr>
        <w:pStyle w:val="Compact"/>
      </w:pPr>
      <w:r>
        <w:t xml:space="preserve">Copper (0.015 kg recycled): 0.015 kg * -3.0 kg CO2e/kg (avoided primary production) = -0.045 kg CO2e</w:t>
      </w:r>
    </w:p>
    <w:p>
      <w:pPr>
        <w:numPr>
          <w:ilvl w:val="1"/>
          <w:numId w:val="1017"/>
        </w:numPr>
        <w:pStyle w:val="Compact"/>
      </w:pPr>
      <w:r>
        <w:t xml:space="preserve">Lithium-ion Battery (0.075 kg recycled): 0.075 kg * 0 kg CO2e/kg (conservative, as net benefit can be complex) = 0.00 kg CO2e</w:t>
      </w:r>
    </w:p>
    <w:p>
      <w:pPr>
        <w:numPr>
          <w:ilvl w:val="1"/>
          <w:numId w:val="1017"/>
        </w:numPr>
        <w:pStyle w:val="Compact"/>
      </w:pPr>
      <w:r>
        <w:t xml:space="preserve">Total Avoided Emissions: -1.35 - 0.3375 - 0.075 - 0.045 + 0.00 =</w:t>
      </w:r>
      <w:r>
        <w:t xml:space="preserve"> </w:t>
      </w:r>
      <w:r>
        <w:rPr>
          <w:bCs/>
          <w:b/>
        </w:rPr>
        <w:t xml:space="preserve">-1.8075 kg CO2e/unit</w:t>
      </w:r>
    </w:p>
    <w:p>
      <w:pPr>
        <w:numPr>
          <w:ilvl w:val="0"/>
          <w:numId w:val="1015"/>
        </w:numPr>
        <w:pStyle w:val="Compact"/>
      </w:pPr>
      <w:r>
        <w:rPr>
          <w:bCs/>
          <w:b/>
        </w:rPr>
        <w:t xml:space="preserve">Net Scope 3 Emissions (EoL):</w:t>
      </w:r>
      <w:r>
        <w:t xml:space="preserve"> </w:t>
      </w:r>
      <w:r>
        <w:t xml:space="preserve">0.05025 kg CO2e - 1.8075 kg CO2e =</w:t>
      </w:r>
      <w:r>
        <w:t xml:space="preserve"> </w:t>
      </w:r>
      <w:r>
        <w:rPr>
          <w:bCs/>
          <w:b/>
        </w:rPr>
        <w:t xml:space="preserve">-1.75725 kg CO2e/unit</w:t>
      </w:r>
    </w:p>
    <w:bookmarkEnd w:id="34"/>
    <w:bookmarkEnd w:id="35"/>
    <w:bookmarkStart w:id="36" w:name="total-product-carbon-footprint-pcf"/>
    <w:p>
      <w:pPr>
        <w:pStyle w:val="Heading3"/>
      </w:pPr>
      <w:r>
        <w:t xml:space="preserve">4.4. Total Product Carbon Footprint (PCF)</w:t>
      </w:r>
    </w:p>
    <w:p>
      <w:pPr>
        <w:pStyle w:val="FirstParagraph"/>
      </w:pPr>
      <w:r>
        <w:t xml:space="preserve">Summation of emissions from all scopes across the lifecycle.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 / GHG Scope</w:t>
            </w:r>
          </w:p>
        </w:tc>
        <w:tc>
          <w:tcPr/>
          <w:p>
            <w:pPr>
              <w:pStyle w:val="Compact"/>
              <w:jc w:val="left"/>
            </w:pPr>
            <w:r>
              <w:t xml:space="preserve">Emissions (kg CO2e/unit)</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Energy (Production)</w:t>
            </w:r>
          </w:p>
        </w:tc>
        <w:tc>
          <w:tcPr/>
          <w:p>
            <w:pPr>
              <w:pStyle w:val="Compact"/>
              <w:jc w:val="left"/>
            </w:pPr>
            <w:r>
              <w:t xml:space="preserve">1.9856</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    Materials Production (Upstream)</w:t>
            </w:r>
          </w:p>
        </w:tc>
        <w:tc>
          <w:tcPr/>
          <w:p>
            <w:pPr>
              <w:pStyle w:val="Compact"/>
              <w:jc w:val="left"/>
            </w:pPr>
            <w:r>
              <w:t xml:space="preserve">4.88</w:t>
            </w:r>
          </w:p>
        </w:tc>
      </w:tr>
      <w:tr>
        <w:tc>
          <w:tcPr/>
          <w:p>
            <w:pPr>
              <w:pStyle w:val="Compact"/>
              <w:jc w:val="left"/>
            </w:pPr>
            <w:r>
              <w:t xml:space="preserve">    Transport (Upstream &amp; Downstream)</w:t>
            </w:r>
          </w:p>
        </w:tc>
        <w:tc>
          <w:tcPr/>
          <w:p>
            <w:pPr>
              <w:pStyle w:val="Compact"/>
              <w:jc w:val="left"/>
            </w:pPr>
            <w:r>
              <w:t xml:space="preserve">0.4072</w:t>
            </w:r>
          </w:p>
        </w:tc>
      </w:tr>
      <w:tr>
        <w:tc>
          <w:tcPr/>
          <w:p>
            <w:pPr>
              <w:pStyle w:val="Compact"/>
              <w:jc w:val="left"/>
            </w:pPr>
            <w:r>
              <w:t xml:space="preserve">    Use Phase (Downstream)</w:t>
            </w:r>
          </w:p>
        </w:tc>
        <w:tc>
          <w:tcPr/>
          <w:p>
            <w:pPr>
              <w:pStyle w:val="Compact"/>
              <w:jc w:val="left"/>
            </w:pPr>
            <w:r>
              <w:t xml:space="preserve">26.25</w:t>
            </w:r>
          </w:p>
        </w:tc>
      </w:tr>
      <w:tr>
        <w:tc>
          <w:tcPr/>
          <w:p>
            <w:pPr>
              <w:pStyle w:val="Compact"/>
              <w:jc w:val="left"/>
            </w:pPr>
            <w:r>
              <w:t xml:space="preserve">    End-of-Life Treatment (Downstream)</w:t>
            </w:r>
          </w:p>
        </w:tc>
        <w:tc>
          <w:tcPr/>
          <w:p>
            <w:pPr>
              <w:pStyle w:val="Compact"/>
              <w:jc w:val="left"/>
            </w:pPr>
            <w:r>
              <w:t xml:space="preserve">-1.75725</w:t>
            </w:r>
          </w:p>
        </w:tc>
      </w:tr>
      <w:tr>
        <w:tc>
          <w:tcPr/>
          <w:p>
            <w:pPr>
              <w:pStyle w:val="Compact"/>
              <w:jc w:val="left"/>
            </w:pPr>
            <w:r>
              <w:rPr>
                <w:bCs/>
                <w:b/>
              </w:rPr>
              <w:t xml:space="preserve">TOTAL PRODUCT CARBON FOOTPRINT</w:t>
            </w:r>
          </w:p>
        </w:tc>
        <w:tc>
          <w:tcPr/>
          <w:p>
            <w:pPr>
              <w:pStyle w:val="Compact"/>
              <w:jc w:val="left"/>
            </w:pPr>
            <w:r>
              <w:rPr>
                <w:bCs/>
                <w:b/>
              </w:rPr>
              <w:t xml:space="preserve">31.76555 ≈ 31.77</w:t>
            </w:r>
          </w:p>
        </w:tc>
      </w:tr>
    </w:tbl>
    <w:p>
      <w:pPr>
        <w:pStyle w:val="BodyText"/>
      </w:pPr>
      <w:r>
        <w:t xml:space="preserve">The total Product Carbon Footprint for one functional unit of zkdvhpxyjt is approximately</w:t>
      </w:r>
      <w:r>
        <w:t xml:space="preserve"> </w:t>
      </w:r>
      <w:r>
        <w:rPr>
          <w:bCs/>
          <w:b/>
        </w:rPr>
        <w:t xml:space="preserve">31.77 kg CO2e</w:t>
      </w:r>
      <w:r>
        <w:t xml:space="preserve">.</w:t>
      </w:r>
    </w:p>
    <w:bookmarkEnd w:id="36"/>
    <w:bookmarkStart w:id="37" w:name="scope-3-compliance-2026-requirements"/>
    <w:p>
      <w:pPr>
        <w:pStyle w:val="Heading3"/>
      </w:pPr>
      <w:r>
        <w:t xml:space="preserve">4.5. Scope 3 Compliance (2026 Requirements)</w:t>
      </w:r>
    </w:p>
    <w:p>
      <w:pPr>
        <w:pStyle w:val="FirstParagraph"/>
      </w:pPr>
      <w:r>
        <w:t xml:space="preserve">The 2026 GHG Protocol Scope 3 revision emphasizes a prescriptive completeness requirement, proposing that companies must account for and report at least 95% of total required Scope 3 emissions.</w:t>
      </w:r>
    </w:p>
    <w:p>
      <w:pPr>
        <w:numPr>
          <w:ilvl w:val="0"/>
          <w:numId w:val="1018"/>
        </w:numPr>
        <w:pStyle w:val="Compact"/>
      </w:pPr>
      <w:r>
        <w:t xml:space="preserve">Total Scope 3 Emissions: 29.77995 kg CO2e</w:t>
      </w:r>
    </w:p>
    <w:p>
      <w:pPr>
        <w:numPr>
          <w:ilvl w:val="0"/>
          <w:numId w:val="1018"/>
        </w:numPr>
        <w:pStyle w:val="Compact"/>
      </w:pPr>
      <w:r>
        <w:t xml:space="preserve">Total PCF: 31.76555 kg CO2e</w:t>
      </w:r>
    </w:p>
    <w:p>
      <w:pPr>
        <w:numPr>
          <w:ilvl w:val="0"/>
          <w:numId w:val="1018"/>
        </w:numPr>
        <w:pStyle w:val="Compact"/>
      </w:pPr>
      <w:r>
        <w:t xml:space="preserve">Scope 3 Percentage of Total PCF: (29.77995 / 31.76555) * 100% =</w:t>
      </w:r>
      <w:r>
        <w:t xml:space="preserve"> </w:t>
      </w:r>
      <w:r>
        <w:rPr>
          <w:bCs/>
          <w:b/>
        </w:rPr>
        <w:t xml:space="preserve">93.75%</w:t>
      </w:r>
    </w:p>
    <w:p>
      <w:pPr>
        <w:pStyle w:val="FirstParagraph"/>
      </w:pPr>
      <w:r>
        <w:t xml:space="preserve">Currently, the Scope 3 emissions constitute approximately 93.75% of the total PCF. While this represents a substantial portion of the value chain emissions, it falls slightly below the proposed "at least 95%" coverage target of the 2026 GHG Protocol Scope 3 revision. To achieve the 95% threshold, further granular data collection on minor upstream components, packaging, or other potentially relevant value chain activities would be recommended. Justified exclusions for immaterial sources up to 5% are permissible, provided they are transparently disclosed and quantified.</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The analysis clearly identifies the following emission hotspots for zkdvhpxyjt:</w:t>
      </w:r>
    </w:p>
    <w:p>
      <w:pPr>
        <w:numPr>
          <w:ilvl w:val="0"/>
          <w:numId w:val="1019"/>
        </w:numPr>
        <w:pStyle w:val="Compact"/>
      </w:pPr>
      <w:r>
        <w:rPr>
          <w:bCs/>
          <w:b/>
        </w:rPr>
        <w:t xml:space="preserve">Use Phase (26.25 kg CO2e):</w:t>
      </w:r>
      <w:r>
        <w:t xml:space="preserve"> </w:t>
      </w:r>
      <w:r>
        <w:t xml:space="preserve">This is by far the largest contributor to the product\'s carbon footprint, primarily due to the electricity consumption over its 7-year lifespan. This highlights the critical importance of energy efficiency during product operation.</w:t>
      </w:r>
    </w:p>
    <w:p>
      <w:pPr>
        <w:numPr>
          <w:ilvl w:val="0"/>
          <w:numId w:val="1019"/>
        </w:numPr>
        <w:pStyle w:val="Compact"/>
      </w:pPr>
      <w:r>
        <w:rPr>
          <w:bCs/>
          <w:b/>
        </w:rPr>
        <w:t xml:space="preserve">Materials Production (4.88 kg CO2e):</w:t>
      </w:r>
      <w:r>
        <w:t xml:space="preserve"> </w:t>
      </w:r>
      <w:r>
        <w:t xml:space="preserve">The upstream impacts from raw material extraction and manufacturing, particularly for components like the Lithium-ion battery and Circuit Board, represent the second largest hotspot.</w:t>
      </w:r>
    </w:p>
    <w:p>
      <w:pPr>
        <w:numPr>
          <w:ilvl w:val="0"/>
          <w:numId w:val="1019"/>
        </w:numPr>
        <w:pStyle w:val="Compact"/>
      </w:pPr>
      <w:r>
        <w:rPr>
          <w:bCs/>
          <w:b/>
        </w:rPr>
        <w:t xml:space="preserve">Production Phase (1.9856 kg CO2e):</w:t>
      </w:r>
      <w:r>
        <w:t xml:space="preserve"> </w:t>
      </w:r>
      <w:r>
        <w:t xml:space="preserve">Emissions from purchased electricity during manufacturing, even with 60% renewable energy usage, contribute significantly. Increasing renewable energy procurement further or improving energy efficiency in the factory would reduce this.</w:t>
      </w:r>
    </w:p>
    <w:p>
      <w:pPr>
        <w:numPr>
          <w:ilvl w:val="0"/>
          <w:numId w:val="1019"/>
        </w:numPr>
        <w:pStyle w:val="Compact"/>
      </w:pPr>
      <w:r>
        <w:rPr>
          <w:bCs/>
          <w:b/>
        </w:rPr>
        <w:t xml:space="preserve">End-of-Life (-1.75725 kg CO2e):</w:t>
      </w:r>
      <w:r>
        <w:t xml:space="preserve"> </w:t>
      </w:r>
      <w:r>
        <w:t xml:space="preserve">The robust recyclability and circular programs result in net avoided emissions, primarily due to the high avoided impacts from aluminum recycling. This demonstrates a positive contribution to circularity.</w:t>
      </w:r>
    </w:p>
    <w:bookmarkEnd w:id="39"/>
    <w:bookmarkStart w:id="40" w:name="reliability-and-limitations"/>
    <w:p>
      <w:pPr>
        <w:pStyle w:val="Heading3"/>
      </w:pPr>
      <w:r>
        <w:t xml:space="preserve">5.2. Reliability and Limitations</w:t>
      </w:r>
    </w:p>
    <w:p>
      <w:pPr>
        <w:pStyle w:val="FirstParagraph"/>
      </w:pPr>
      <w:r>
        <w:t xml:space="preserve">The reliability of this PCF analysis is based on the following:</w:t>
      </w:r>
    </w:p>
    <w:p>
      <w:pPr>
        <w:numPr>
          <w:ilvl w:val="0"/>
          <w:numId w:val="1020"/>
        </w:numPr>
        <w:pStyle w:val="Compact"/>
      </w:pPr>
      <w:r>
        <w:rPr>
          <w:bCs/>
          <w:b/>
        </w:rPr>
        <w:t xml:space="preserve">Primary Data:</w:t>
      </w:r>
      <w:r>
        <w:t xml:space="preserve"> </w:t>
      </w:r>
      <w:r>
        <w:t xml:space="preserve">The provided Detailed Bill of Materials (jepzkgip), transport distance (kyhteiszwg), energy usage (tnnwwxvgwy), lifespan (jhzqdxglws), energy in use (ytdoqddlxl), and recyclability (uwyzxzxluz) are treated as primary data points, enhancing accuracy.</w:t>
      </w:r>
    </w:p>
    <w:p>
      <w:pPr>
        <w:numPr>
          <w:ilvl w:val="0"/>
          <w:numId w:val="1020"/>
        </w:numPr>
        <w:pStyle w:val="Compact"/>
      </w:pPr>
      <w:r>
        <w:rPr>
          <w:bCs/>
          <w:b/>
        </w:rPr>
        <w:t xml:space="preserve">Secondary Data:</w:t>
      </w:r>
      <w:r>
        <w:t xml:space="preserve"> </w:t>
      </w:r>
      <w:r>
        <w:t xml:space="preserve">Industry-standard emission factors from reputable databases (e.g., Ecoinvent, DEFRA) were used for electricity grids, transport modes, and end-of-life processes where primary data was unavailable. These are generally robust but represent averages and may not perfectly reflect specific supplier or regional conditions.</w:t>
      </w:r>
    </w:p>
    <w:p>
      <w:pPr>
        <w:numPr>
          <w:ilvl w:val="0"/>
          <w:numId w:val="1020"/>
        </w:numPr>
        <w:pStyle w:val="Compact"/>
      </w:pPr>
      <w:r>
        <w:rPr>
          <w:bCs/>
          <w:b/>
        </w:rPr>
        <w:t xml:space="preserve">Assumptions:</w:t>
      </w:r>
      <w:r>
        <w:t xml:space="preserve"> </w:t>
      </w:r>
      <w:r>
        <w:t xml:space="preserve">Assumptions were made for placeholder parameters (e.g., specific transport modes, assumed upstream material transport distance, fixed last-mile emissions per package) and certain emission factors (e.g., specific recycling benefits for complex materials like batteries) due to the generic nature of some input parameters. These assumptions are clearly stated within the report to maintain transparency.</w:t>
      </w:r>
    </w:p>
    <w:p>
      <w:pPr>
        <w:numPr>
          <w:ilvl w:val="0"/>
          <w:numId w:val="1020"/>
        </w:numPr>
        <w:pStyle w:val="Compact"/>
      </w:pPr>
      <w:r>
        <w:rPr>
          <w:bCs/>
          <w:b/>
        </w:rPr>
        <w:t xml:space="preserve">GHG Protocol Alignment:</w:t>
      </w:r>
      <w:r>
        <w:t xml:space="preserve"> </w:t>
      </w:r>
      <w:r>
        <w:t xml:space="preserve">Adherence to the GHG Protocol ensures a structured and recognized methodology. The 2026 LSR update is acknowledged, and the implications for Scope 3 coverage (currently 93.75%) are discussed, noting that achieving the 95% target would necessitate further detailed data collection on less material categories.</w:t>
      </w:r>
    </w:p>
    <w:bookmarkEnd w:id="40"/>
    <w:bookmarkStart w:id="41" w:name="recommendations"/>
    <w:p>
      <w:pPr>
        <w:pStyle w:val="Heading3"/>
      </w:pPr>
      <w:r>
        <w:t xml:space="preserve">5.3. Recommendations</w:t>
      </w:r>
    </w:p>
    <w:p>
      <w:pPr>
        <w:numPr>
          <w:ilvl w:val="0"/>
          <w:numId w:val="1021"/>
        </w:numPr>
        <w:pStyle w:val="Compact"/>
      </w:pPr>
      <w:r>
        <w:rPr>
          <w:bCs/>
          <w:b/>
        </w:rPr>
        <w:t xml:space="preserve">Enhance Use Phase Efficiency:</w:t>
      </w:r>
      <w:r>
        <w:t xml:space="preserve"> </w:t>
      </w:r>
      <w:r>
        <w:t xml:space="preserve">Given that the use phase is the dominant hotspot, focus on designing zkdvhpxyjt for maximum energy efficiency during its operational lifespan. Consumer education on efficient usage can also contribute to reductions.</w:t>
      </w:r>
    </w:p>
    <w:p>
      <w:pPr>
        <w:numPr>
          <w:ilvl w:val="0"/>
          <w:numId w:val="1021"/>
        </w:numPr>
        <w:pStyle w:val="Compact"/>
      </w:pPr>
      <w:r>
        <w:rPr>
          <w:bCs/>
          <w:b/>
        </w:rPr>
        <w:t xml:space="preserve">Supplier Engagement:</w:t>
      </w:r>
      <w:r>
        <w:t xml:space="preserve"> </w:t>
      </w:r>
      <w:r>
        <w:t xml:space="preserve">Work with material suppliers to identify opportunities for lower-carbon materials and processes, especially for high-impact components like batteries and PCBs.</w:t>
      </w:r>
    </w:p>
    <w:p>
      <w:pPr>
        <w:numPr>
          <w:ilvl w:val="0"/>
          <w:numId w:val="1021"/>
        </w:numPr>
        <w:pStyle w:val="Compact"/>
      </w:pPr>
      <w:r>
        <w:rPr>
          <w:bCs/>
          <w:b/>
        </w:rPr>
        <w:t xml:space="preserve">Optimize Production Energy:</w:t>
      </w:r>
      <w:r>
        <w:t xml:space="preserve"> </w:t>
      </w:r>
      <w:r>
        <w:t xml:space="preserve">Continue efforts to increase renewable energy sourcing for manufacturing operations in China, aiming for 100% renewable energy where feasible to further reduce Scope 2 emissions.</w:t>
      </w:r>
    </w:p>
    <w:p>
      <w:pPr>
        <w:numPr>
          <w:ilvl w:val="0"/>
          <w:numId w:val="1021"/>
        </w:numPr>
        <w:pStyle w:val="Compact"/>
      </w:pPr>
      <w:r>
        <w:rPr>
          <w:bCs/>
          <w:b/>
        </w:rPr>
        <w:t xml:space="preserve">Logistics Optimization:</w:t>
      </w:r>
      <w:r>
        <w:t xml:space="preserve"> </w:t>
      </w:r>
      <w:r>
        <w:t xml:space="preserve">Explore opportunities to optimize transport routes, modes (e.g., shifting from air to sea/rail where possible), and consolidate shipments to reduce transport-related emissions.</w:t>
      </w:r>
    </w:p>
    <w:p>
      <w:pPr>
        <w:numPr>
          <w:ilvl w:val="0"/>
          <w:numId w:val="1021"/>
        </w:numPr>
        <w:pStyle w:val="Compact"/>
      </w:pPr>
      <w:r>
        <w:rPr>
          <w:bCs/>
          <w:b/>
        </w:rPr>
        <w:t xml:space="preserve">Strengthen Circularity:</w:t>
      </w:r>
      <w:r>
        <w:t xml:space="preserve"> </w:t>
      </w:r>
      <w:r>
        <w:t xml:space="preserve">Leverage the existing take-back programs to maximize the actual recycling rates of components, especially for high-value materials like aluminum and copper. Investigate advanced recycling technologies for plastics and batteries to improve their environmental performance.</w:t>
      </w:r>
    </w:p>
    <w:p>
      <w:pPr>
        <w:numPr>
          <w:ilvl w:val="0"/>
          <w:numId w:val="1021"/>
        </w:numPr>
        <w:pStyle w:val="Compact"/>
      </w:pPr>
      <w:r>
        <w:rPr>
          <w:bCs/>
          <w:b/>
        </w:rPr>
        <w:t xml:space="preserve">Data Granularity:</w:t>
      </w:r>
      <w:r>
        <w:t xml:space="preserve"> </w:t>
      </w:r>
      <w:r>
        <w:t xml:space="preserve">To meet the upcoming 95% Scope 3 coverage requirement, initiate a detailed data collection process for minor upstream categories (e.g., packaging, business travel for product development) and any other potentially material downstream activities.</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zkdvhpxyjt</dc:title>
  <dc:creator/>
  <dc:description>High-detail Product Carbon Footprint (PCF) analysis report for product zkdvhpxyjt by uqfqrtneqf, prepared by Senior Sustainability Consultant wepihuduqd, adhering to GHG Protocol standards and 2026 updates.</dc:description>
  <dc:language>en</dc:language>
  <cp:keywords/>
  <dcterms:created xsi:type="dcterms:W3CDTF">2026-07-15T08:19:12Z</dcterms:created>
  <dcterms:modified xsi:type="dcterms:W3CDTF">2026-07-15T08:19:12Z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