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zjxggutxoz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zjxggutxoz</w:t>
      </w:r>
    </w:p>
    <w:p>
      <w:pPr>
        <w:pStyle w:val="BodyText"/>
      </w:pPr>
      <w:r>
        <w:rPr>
          <w:bCs/>
          <w:b/>
        </w:rPr>
        <w:t xml:space="preserve">Company Name:</w:t>
      </w:r>
      <w:r>
        <w:t xml:space="preserve"> </w:t>
      </w:r>
      <w:r>
        <w:t xml:space="preserve">uywxmvhukv</w:t>
      </w:r>
    </w:p>
    <w:p>
      <w:pPr>
        <w:pStyle w:val="BodyText"/>
      </w:pPr>
      <w:r>
        <w:rPr>
          <w:bCs/>
          <w:b/>
        </w:rPr>
        <w:t xml:space="preserve">Senior Sustainability Consultant:</w:t>
      </w:r>
      <w:r>
        <w:t xml:space="preserve"> </w:t>
      </w:r>
      <w:r>
        <w:t xml:space="preserve">jqrpztukyp</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adherence to the GHG Protocol, specific data points for certain parameters are illustrative and represent best estimates where primary data was not provided. A comprehensive, primary-data-driven Life Cycle Assessment (LCA) would provide further granular detail.</w:t>
      </w:r>
    </w:p>
    <w:bookmarkEnd w:id="20"/>
    <w:bookmarkStart w:id="45" w:name="Xa14020423fc50ca9dacb74ac3c7db1cdc91b3a0"/>
    <w:p>
      <w:pPr>
        <w:pStyle w:val="Heading1"/>
      </w:pPr>
      <w:r>
        <w:t xml:space="preserve">Product Carbon Footprint Analysis Report for zjxggutxoz</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zjxggutxoz, conducted by jqrpztukyp, Senior Sustainability Consultant at uywxmvhukv. The analysis strictly adheres to the GHG Protocol, including the 2026 Land Sector and Removals (LSR) Standard update, and aims for at least 95% coverage for Scope 3 emissions. The assessment covers the product\'s lifecycle from raw material acquisition through manufacturing, transport, use, and end-of-life phases, providing a comprehensive understanding of its climate impact. Key emission hotspots are identified, and the methodologies employed are detailed to ensure transparency and reliability.</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The Product Carbon Footprint (PCF) for zjxggutxoz has been calculated following the five-step methodology as prescribed, with strict adherence to the GHG Protocol. This analysis categorizes emissions into Scope 1 (direct emissions), Scope 2 (indirect emissions from purchased energy), and Scope 3 (all other indirect emissions in the value chain).</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zjxggutxoz</w:t>
      </w:r>
      <w:r>
        <w:t xml:space="preserve">.</w:t>
      </w:r>
    </w:p>
    <w:bookmarkEnd w:id="22"/>
    <w:bookmarkStart w:id="23" w:name="system-boundary"/>
    <w:p>
      <w:pPr>
        <w:pStyle w:val="Heading3"/>
      </w:pPr>
      <w:r>
        <w:t xml:space="preserve">1.2. System Boundary</w:t>
      </w:r>
    </w:p>
    <w:p>
      <w:pPr>
        <w:pStyle w:val="FirstParagraph"/>
      </w:pPr>
      <w:r>
        <w:t xml:space="preserve">The system boundary is set at</w:t>
      </w:r>
      <w:r>
        <w:t xml:space="preserve"> </w:t>
      </w:r>
      <w:r>
        <w:rPr>
          <w:bCs/>
          <w:b/>
        </w:rPr>
        <w:t xml:space="preserve">factory_gate</w:t>
      </w:r>
      <w:r>
        <w:t xml:space="preserve">. However, to provide a holistic view of the product\'s environmental impact, this report extends the analysis to include downstream emissions from transport, use-phase, and end-of-life scenarios, aligning with a cradle-to-grave perspective for comprehensive Scope 3 reporting.</w:t>
      </w:r>
    </w:p>
    <w:bookmarkEnd w:id="23"/>
    <w:bookmarkStart w:id="24" w:name="geographic-scope"/>
    <w:p>
      <w:pPr>
        <w:pStyle w:val="Heading3"/>
      </w:pPr>
      <w:r>
        <w:t xml:space="preserve">1.3. Geographic Scope</w:t>
      </w:r>
    </w:p>
    <w:p>
      <w:pPr>
        <w:pStyle w:val="FirstParagraph"/>
      </w:pPr>
      <w:r>
        <w:t xml:space="preserve">The</w:t>
      </w:r>
      <w:r>
        <w:t xml:space="preserve"> </w:t>
      </w:r>
      <w:r>
        <w:rPr>
          <w:bCs/>
          <w:b/>
        </w:rPr>
        <w:t xml:space="preserve">Final Production Country is China</w:t>
      </w:r>
      <w:r>
        <w:t xml:space="preserve">. The</w:t>
      </w:r>
      <w:r>
        <w:t xml:space="preserve"> </w:t>
      </w:r>
      <w:r>
        <w:rPr>
          <w:bCs/>
          <w:b/>
        </w:rPr>
        <w:t xml:space="preserve">Supply Chain Focus is Europe Focused</w:t>
      </w:r>
      <w:r>
        <w:t xml:space="preserve">, implying that raw material acquisition and initial processing largely occur within Europe before transport to China for final production.</w:t>
      </w:r>
    </w:p>
    <w:bookmarkEnd w:id="24"/>
    <w:bookmarkStart w:id="25" w:name="allocation"/>
    <w:p>
      <w:pPr>
        <w:pStyle w:val="Heading3"/>
      </w:pPr>
      <w:r>
        <w:t xml:space="preserve">1.4. Allocation</w:t>
      </w:r>
    </w:p>
    <w:p>
      <w:pPr>
        <w:pStyle w:val="FirstParagraph"/>
      </w:pPr>
      <w:r>
        <w:t xml:space="preserve">Emissions are allocated directly to the functional unit. Where shared processes or facilities are involved, economic allocation is assumed as the primary method, distributing emissions based on the relative economic value of co-products or services.</w:t>
      </w:r>
    </w:p>
    <w:p>
      <w:r>
        <w:pict>
          <v:rect style="width:0;height:1.5pt" o:hralign="center" o:hrstd="t" o:hr="t"/>
        </w:pict>
      </w:r>
    </w:p>
    <w:bookmarkEnd w:id="25"/>
    <w:bookmarkEnd w:id="26"/>
    <w:bookmarkStart w:id="33" w:name="X43f61c79ed7c8a3fa7fbd4506b234e3a0c1ddbe"/>
    <w:p>
      <w:pPr>
        <w:pStyle w:val="Heading2"/>
      </w:pPr>
      <w:r>
        <w:t xml:space="preserve">2. Lifecycle Inventory (LCI) Mapping &amp; Data Collection</w:t>
      </w:r>
    </w:p>
    <w:p>
      <w:pPr>
        <w:pStyle w:val="FirstParagraph"/>
      </w:pPr>
      <w:r>
        <w:t xml:space="preserve">This section details the lifecycle stages and the primary and secondary data points collected for the PCF analysis. Illustrative emission factors are used where specific data was not provided by the user, and their sources are cited.</w:t>
      </w:r>
    </w:p>
    <w:bookmarkStart w:id="28" w:name="X06a032b4b904b4e0c4cbf2970bc9aee5d87af00"/>
    <w:p>
      <w:pPr>
        <w:pStyle w:val="Heading3"/>
      </w:pPr>
      <w:r>
        <w:t xml:space="preserve">2.1. Raw Material Acquisition and Pre-processing (Scope 3 - Upstream)</w:t>
      </w:r>
    </w:p>
    <w:p>
      <w:pPr>
        <w:pStyle w:val="FirstParagraph"/>
      </w:pPr>
      <w:r>
        <w:t xml:space="preserve">The Bill of Materials (BOM) for zjxggutxoz, represented by the placeholder</w:t>
      </w:r>
      <w:r>
        <w:t xml:space="preserve"> </w:t>
      </w:r>
      <w:r>
        <w:rPr>
          <w:rStyle w:val="VerbatimChar"/>
        </w:rPr>
        <w:t xml:space="preserve">trtlemth</w:t>
      </w:r>
      <w:r>
        <w:t xml:space="preserve">, is critical for calculating the upstream material impact. For the purpose of this analysis, a detailed illustrative BOM has been constructed following the specified format: ID, Description, Category, Process, Qty, Unit, Emission Factor (kgCO2e/Unit), and Total Carbon (kgCO2e). The \'Total Carbon\' values provided in this sample BOM are directly used for calculating material emissions, as per the requirement to use these specific values. The total mass of materials for one unit of zjxggutxoz is approximately 1.6 kg.</w:t>
      </w:r>
    </w:p>
    <w:bookmarkStart w:id="27" w:name="Xf0a83f4ca335aa0bb99efad2c306d1448c92087"/>
    <w:p>
      <w:pPr>
        <w:pStyle w:val="Heading4"/>
      </w:pPr>
      <w:r>
        <w:t xml:space="preserve">Detailed Bill of Materials (Illustrative Sample for `trtlemth`)</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3.00</w:t>
            </w:r>
          </w:p>
        </w:tc>
      </w:tr>
      <w:tr>
        <w:tc>
          <w:tcPr/>
          <w:p>
            <w:pPr>
              <w:pStyle w:val="Compact"/>
              <w:jc w:val="left"/>
            </w:pPr>
            <w:r>
              <w:t xml:space="preserve">M02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2.00</w:t>
            </w:r>
          </w:p>
        </w:tc>
      </w:tr>
      <w:tr>
        <w:tc>
          <w:tcPr/>
          <w:p>
            <w:pPr>
              <w:pStyle w:val="Compact"/>
              <w:jc w:val="left"/>
            </w:pPr>
            <w:r>
              <w:t xml:space="preserve">M03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M04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left"/>
            </w:pPr>
            <w:r>
              <w:rPr>
                <w:bCs/>
                <w:b/>
              </w:rPr>
              <w:t xml:space="preserve">Total Material Carbon Footprint (Scope 3 - Upstream)</w:t>
            </w:r>
          </w:p>
        </w:tc>
        <w:tc>
          <w:tcPr/>
          <w:p>
            <w:pPr>
              <w:pStyle w:val="Compact"/>
              <w:jc w:val="left"/>
            </w:pPr>
            <w:r>
              <w:rPr>
                <w:bCs/>
                <w:b/>
              </w:rPr>
              <w:t xml:space="preserve">8.10</w:t>
            </w:r>
          </w:p>
        </w:tc>
      </w:tr>
    </w:tbl>
    <w:bookmarkEnd w:id="27"/>
    <w:bookmarkEnd w:id="28"/>
    <w:bookmarkStart w:id="29" w:name="manufacturing-production-scope-2"/>
    <w:p>
      <w:pPr>
        <w:pStyle w:val="Heading3"/>
      </w:pPr>
      <w:r>
        <w:t xml:space="preserve">2.2. Manufacturing / Production (Scope 2)</w:t>
      </w:r>
    </w:p>
    <w:p>
      <w:pPr>
        <w:pStyle w:val="FirstParagraph"/>
      </w:pPr>
      <w:r>
        <w:t xml:space="preserve">The production phase of zjxggutxoz takes place in China. Energy consumption and renewable energy usage are critical inputs for this stage.</w:t>
      </w:r>
    </w:p>
    <w:p>
      <w:pPr>
        <w:numPr>
          <w:ilvl w:val="0"/>
          <w:numId w:val="1001"/>
        </w:numPr>
        <w:pStyle w:val="Compact"/>
      </w:pPr>
      <w:r>
        <w:rPr>
          <w:bCs/>
          <w:b/>
        </w:rPr>
        <w:t xml:space="preserve">Energy Intensity (kWh/unit):</w:t>
      </w:r>
      <w:r>
        <w:t xml:space="preserve"> </w:t>
      </w:r>
      <w:r>
        <w:t xml:space="preserve">`gktpqipvtx` (Assumed: 1.5 kWh/unit)</w:t>
      </w:r>
    </w:p>
    <w:p>
      <w:pPr>
        <w:numPr>
          <w:ilvl w:val="0"/>
          <w:numId w:val="1001"/>
        </w:numPr>
        <w:pStyle w:val="Compact"/>
      </w:pPr>
      <w:r>
        <w:rPr>
          <w:bCs/>
          <w:b/>
        </w:rPr>
        <w:t xml:space="preserve">Renewable Energy Usage:</w:t>
      </w:r>
      <w:r>
        <w:t xml:space="preserve"> </w:t>
      </w:r>
      <w:r>
        <w:t xml:space="preserve">`umsjklitku` (Assumed: 50%)</w:t>
      </w:r>
    </w:p>
    <w:p>
      <w:pPr>
        <w:numPr>
          <w:ilvl w:val="0"/>
          <w:numId w:val="1001"/>
        </w:numPr>
        <w:pStyle w:val="Compact"/>
      </w:pPr>
      <w:r>
        <w:rPr>
          <w:bCs/>
          <w:b/>
        </w:rPr>
        <w:t xml:space="preserve">Electricity Emission Factor (China Grid Mix):</w:t>
      </w:r>
      <w:r>
        <w:t xml:space="preserve"> </w:t>
      </w:r>
      <w:r>
        <w:t xml:space="preserve">0.58 kgCO2e/kWh</w:t>
      </w:r>
    </w:p>
    <w:bookmarkEnd w:id="29"/>
    <w:bookmarkStart w:id="30" w:name="Xb8ec2ba355d187edc2612e21201e335953f749e"/>
    <w:p>
      <w:pPr>
        <w:pStyle w:val="Heading3"/>
      </w:pPr>
      <w:r>
        <w:t xml:space="preserve">2.3. Transport and Distribution (Scope 3 - Upstream &amp; Downstream)</w:t>
      </w:r>
    </w:p>
    <w:p>
      <w:pPr>
        <w:pStyle w:val="FirstParagraph"/>
      </w:pPr>
      <w:r>
        <w:t xml:space="preserve">Logistics data incorporates both upstream transport of materials to the manufacturing facility in China and downstream delivery to the customer.</w:t>
      </w:r>
    </w:p>
    <w:p>
      <w:pPr>
        <w:numPr>
          <w:ilvl w:val="0"/>
          <w:numId w:val="1002"/>
        </w:numPr>
        <w:pStyle w:val="Compact"/>
      </w:pPr>
      <w:r>
        <w:rPr>
          <w:bCs/>
          <w:b/>
        </w:rPr>
        <w:t xml:space="preserve">Upstream Transport Mode:</w:t>
      </w:r>
      <w:r>
        <w:t xml:space="preserve"> </w:t>
      </w:r>
      <w:r>
        <w:t xml:space="preserve">`Select Mode` (Assumed: Road Freight, Heavy Goods Vehicle &gt;20t)</w:t>
      </w:r>
    </w:p>
    <w:p>
      <w:pPr>
        <w:numPr>
          <w:ilvl w:val="0"/>
          <w:numId w:val="1002"/>
        </w:numPr>
        <w:pStyle w:val="Compact"/>
      </w:pPr>
      <w:r>
        <w:rPr>
          <w:bCs/>
          <w:b/>
        </w:rPr>
        <w:t xml:space="preserve">Upstream Transport Distance:</w:t>
      </w:r>
      <w:r>
        <w:t xml:space="preserve"> </w:t>
      </w:r>
      <w:r>
        <w:t xml:space="preserve">`xftulvwnjs` (Assumed: 1500 km, for materials from Europe to China). Product weight for transport calculation is derived from the BOM (1.6 kg/unit).</w:t>
      </w:r>
    </w:p>
    <w:p>
      <w:pPr>
        <w:numPr>
          <w:ilvl w:val="0"/>
          <w:numId w:val="1002"/>
        </w:numPr>
        <w:pStyle w:val="Compact"/>
      </w:pPr>
      <w:r>
        <w:rPr>
          <w:bCs/>
          <w:b/>
        </w:rPr>
        <w:t xml:space="preserve">Upstream Transport Emission Factor (HGV &gt;20t, Europe):</w:t>
      </w:r>
      <w:r>
        <w:t xml:space="preserve"> </w:t>
      </w:r>
      <w:r>
        <w:t xml:space="preserve">0.092 kgCO2e/tonne-km</w:t>
      </w:r>
    </w:p>
    <w:p>
      <w:pPr>
        <w:numPr>
          <w:ilvl w:val="0"/>
          <w:numId w:val="1002"/>
        </w:numPr>
        <w:pStyle w:val="Compact"/>
      </w:pPr>
      <w:r>
        <w:rPr>
          <w:bCs/>
          <w:b/>
        </w:rPr>
        <w:t xml:space="preserve">Last-Mile Delivery Channel:</w:t>
      </w:r>
      <w:r>
        <w:t xml:space="preserve"> </w:t>
      </w:r>
      <w:r>
        <w:t xml:space="preserve">`Delivery Type` (Assumed: Road Transport, Van)</w:t>
      </w:r>
    </w:p>
    <w:p>
      <w:pPr>
        <w:numPr>
          <w:ilvl w:val="0"/>
          <w:numId w:val="1002"/>
        </w:numPr>
        <w:pStyle w:val="Compact"/>
      </w:pPr>
      <w:r>
        <w:rPr>
          <w:bCs/>
          <w:b/>
        </w:rPr>
        <w:t xml:space="preserve">Last-Mile Delivery Distance:</w:t>
      </w:r>
      <w:r>
        <w:t xml:space="preserve"> </w:t>
      </w:r>
      <w:r>
        <w:t xml:space="preserve">Assumed 50 km (representative average)</w:t>
      </w:r>
    </w:p>
    <w:p>
      <w:pPr>
        <w:numPr>
          <w:ilvl w:val="0"/>
          <w:numId w:val="1002"/>
        </w:numPr>
        <w:pStyle w:val="Compact"/>
      </w:pPr>
      <w:r>
        <w:rPr>
          <w:bCs/>
          <w:b/>
        </w:rPr>
        <w:t xml:space="preserve">Last-Mile Delivery Emission Factor (Average Van):</w:t>
      </w:r>
      <w:r>
        <w:t xml:space="preserve"> </w:t>
      </w:r>
      <w:r>
        <w:t xml:space="preserve">0.25 kgCO2e/km</w:t>
      </w:r>
    </w:p>
    <w:bookmarkEnd w:id="30"/>
    <w:bookmarkStart w:id="31" w:name="use-phase-scope-3---downstream"/>
    <w:p>
      <w:pPr>
        <w:pStyle w:val="Heading3"/>
      </w:pPr>
      <w:r>
        <w:t xml:space="preserve">2.4. Use Phase (Scope 3 - Downstream)</w:t>
      </w:r>
    </w:p>
    <w:p>
      <w:pPr>
        <w:pStyle w:val="FirstParagraph"/>
      </w:pPr>
      <w:r>
        <w:t xml:space="preserve">The energy consumption during the product\'s lifespan contributes significantly to its overall footprint.</w:t>
      </w:r>
    </w:p>
    <w:p>
      <w:pPr>
        <w:numPr>
          <w:ilvl w:val="0"/>
          <w:numId w:val="1003"/>
        </w:numPr>
        <w:pStyle w:val="Compact"/>
      </w:pPr>
      <w:r>
        <w:rPr>
          <w:bCs/>
          <w:b/>
        </w:rPr>
        <w:t xml:space="preserve">Product Lifespan:</w:t>
      </w:r>
      <w:r>
        <w:t xml:space="preserve"> </w:t>
      </w:r>
      <w:r>
        <w:t xml:space="preserve">`orrmofeudw` (Assumed: 5 years)</w:t>
      </w:r>
    </w:p>
    <w:p>
      <w:pPr>
        <w:numPr>
          <w:ilvl w:val="0"/>
          <w:numId w:val="1003"/>
        </w:numPr>
        <w:pStyle w:val="Compact"/>
      </w:pPr>
      <w:r>
        <w:rPr>
          <w:bCs/>
          <w:b/>
        </w:rPr>
        <w:t xml:space="preserve">Energy Consumption in Use:</w:t>
      </w:r>
      <w:r>
        <w:t xml:space="preserve"> </w:t>
      </w:r>
      <w:r>
        <w:t xml:space="preserve">`nlwosvizzd` (Assumed: 0.1 kWh/day)</w:t>
      </w:r>
    </w:p>
    <w:p>
      <w:pPr>
        <w:numPr>
          <w:ilvl w:val="0"/>
          <w:numId w:val="1003"/>
        </w:numPr>
        <w:pStyle w:val="Compact"/>
      </w:pPr>
      <w:r>
        <w:rPr>
          <w:bCs/>
          <w:b/>
        </w:rPr>
        <w:t xml:space="preserve">Electricity Emission Factor (User\'s Grid - Assumed China for consistency):</w:t>
      </w:r>
      <w:r>
        <w:t xml:space="preserve"> </w:t>
      </w:r>
      <w:r>
        <w:t xml:space="preserve">0.58 kgCO2e/kWh</w:t>
      </w:r>
    </w:p>
    <w:bookmarkEnd w:id="31"/>
    <w:bookmarkStart w:id="32" w:name="X92fbc61eed99b9d9aafbebcbbd2c7ad7660f7e4"/>
    <w:p>
      <w:pPr>
        <w:pStyle w:val="Heading3"/>
      </w:pPr>
      <w:r>
        <w:t xml:space="preserve">2.5. End-of-Life (EoL) Phase (Scope 3 - Downstream)</w:t>
      </w:r>
    </w:p>
    <w:p>
      <w:pPr>
        <w:pStyle w:val="FirstParagraph"/>
      </w:pPr>
      <w:r>
        <w:t xml:space="preserve">End-of-life scenarios reflect the impact of disposal and potential benefits from circular economy practices.</w:t>
      </w:r>
    </w:p>
    <w:p>
      <w:pPr>
        <w:numPr>
          <w:ilvl w:val="0"/>
          <w:numId w:val="1004"/>
        </w:numPr>
        <w:pStyle w:val="Compact"/>
      </w:pPr>
      <w:r>
        <w:rPr>
          <w:bCs/>
          <w:b/>
        </w:rPr>
        <w:t xml:space="preserve">Recyclability Percentage:</w:t>
      </w:r>
      <w:r>
        <w:t xml:space="preserve"> </w:t>
      </w:r>
      <w:r>
        <w:t xml:space="preserve">`fykhmqqdzu` (Assumed: 70%)</w:t>
      </w:r>
    </w:p>
    <w:p>
      <w:pPr>
        <w:numPr>
          <w:ilvl w:val="0"/>
          <w:numId w:val="1004"/>
        </w:numPr>
        <w:pStyle w:val="Compact"/>
      </w:pPr>
      <w:r>
        <w:rPr>
          <w:bCs/>
          <w:b/>
        </w:rPr>
        <w:t xml:space="preserve">Circular/Take-back Programs:</w:t>
      </w:r>
      <w:r>
        <w:t xml:space="preserve"> </w:t>
      </w:r>
      <w:r>
        <w:t xml:space="preserve">`ymvitkvody` (Assumed: No formal program identified)</w:t>
      </w:r>
    </w:p>
    <w:p>
      <w:pPr>
        <w:numPr>
          <w:ilvl w:val="0"/>
          <w:numId w:val="1004"/>
        </w:numPr>
        <w:pStyle w:val="Compact"/>
      </w:pPr>
      <w:r>
        <w:rPr>
          <w:bCs/>
          <w:b/>
        </w:rPr>
        <w:t xml:space="preserve">Product Mass at EoL:</w:t>
      </w:r>
      <w:r>
        <w:t xml:space="preserve"> </w:t>
      </w:r>
      <w:r>
        <w:t xml:space="preserve">1.6 kg (derived from BOM)</w:t>
      </w:r>
    </w:p>
    <w:p>
      <w:pPr>
        <w:numPr>
          <w:ilvl w:val="0"/>
          <w:numId w:val="1004"/>
        </w:numPr>
        <w:pStyle w:val="Compact"/>
      </w:pPr>
      <w:r>
        <w:rPr>
          <w:bCs/>
          <w:b/>
        </w:rPr>
        <w:t xml:space="preserve">Illustrative Landfill Emission Factor:</w:t>
      </w:r>
      <w:r>
        <w:t xml:space="preserve"> </w:t>
      </w:r>
      <w:r>
        <w:t xml:space="preserve">0.1 kgCO2e/kg (for non-recycled waste)</w:t>
      </w:r>
    </w:p>
    <w:p>
      <w:pPr>
        <w:numPr>
          <w:ilvl w:val="0"/>
          <w:numId w:val="1004"/>
        </w:numPr>
        <w:pStyle w:val="Compact"/>
      </w:pPr>
      <w:r>
        <w:rPr>
          <w:bCs/>
          <w:b/>
        </w:rPr>
        <w:t xml:space="preserve">Illustrative Avoided Emissions from Recycling:</w:t>
      </w:r>
      <w:r>
        <w:t xml:space="preserve"> </w:t>
      </w:r>
      <w:r>
        <w:t xml:space="preserve">1.5 kgCO2e/kg (credit for displacing virgin material production)</w:t>
      </w:r>
    </w:p>
    <w:p>
      <w:r>
        <w:pict>
          <v:rect style="width:0;height:1.5pt" o:hralign="center" o:hrstd="t" o:hr="t"/>
        </w:pict>
      </w:r>
    </w:p>
    <w:bookmarkEnd w:id="32"/>
    <w:bookmarkEnd w:id="33"/>
    <w:bookmarkStart w:id="41" w:name="emission-calculation"/>
    <w:p>
      <w:pPr>
        <w:pStyle w:val="Heading2"/>
      </w:pPr>
      <w:r>
        <w:t xml:space="preserve">3. Emission Calculation</w:t>
      </w:r>
    </w:p>
    <w:p>
      <w:pPr>
        <w:pStyle w:val="FirstParagraph"/>
      </w:pPr>
      <w:r>
        <w:t xml:space="preserve">Emissions are calculated for each lifecycle stage (Activity * Emission Factor = CO2e) and categorized according to the GHG Protocol (Scope 1, 2, 3).</w:t>
      </w:r>
    </w:p>
    <w:bookmarkStart w:id="34" w:name="scope-1-direct-emissions"/>
    <w:p>
      <w:pPr>
        <w:pStyle w:val="Heading3"/>
      </w:pPr>
      <w:r>
        <w:t xml:space="preserve">3.1. Scope 1: Direct Emissions</w:t>
      </w:r>
    </w:p>
    <w:p>
      <w:pPr>
        <w:pStyle w:val="FirstParagraph"/>
      </w:pPr>
      <w:r>
        <w:t xml:space="preserve">Based on the provided parameters, direct (Scope 1) emissions from owned or controlled sources are not explicitly quantified for the product\'s PCF. These would typically include emissions from on-site fuel combustion. For this product-level assessment, significant Scope 1 emissions are assumed to be zero or integrated into the Scope 2 and 3 calculations through energy consumption and upstream material production, where relevant.</w:t>
      </w:r>
    </w:p>
    <w:bookmarkEnd w:id="34"/>
    <w:bookmarkStart w:id="35" w:name="X4cbe95b6f9bfeaf9255b09a32ab3f817e54228a"/>
    <w:p>
      <w:pPr>
        <w:pStyle w:val="Heading3"/>
      </w:pPr>
      <w:r>
        <w:t xml:space="preserve">3.2. Scope 2: Emissions from Purchased Energy (Manufacturing)</w:t>
      </w:r>
    </w:p>
    <w:p>
      <w:pPr>
        <w:pStyle w:val="FirstParagraph"/>
      </w:pPr>
      <w:r>
        <w:t xml:space="preserve">This covers indirect emissions from the generation of purchased electricity for the manufacturing process.</w:t>
      </w:r>
    </w:p>
    <w:p>
      <w:pPr>
        <w:numPr>
          <w:ilvl w:val="0"/>
          <w:numId w:val="1005"/>
        </w:numPr>
        <w:pStyle w:val="Compact"/>
      </w:pPr>
      <w:r>
        <w:t xml:space="preserve">Total Energy Consumption = `gktpqipvtx` (1.5 kWh/unit)</w:t>
      </w:r>
    </w:p>
    <w:p>
      <w:pPr>
        <w:numPr>
          <w:ilvl w:val="0"/>
          <w:numId w:val="1005"/>
        </w:numPr>
        <w:pStyle w:val="Compact"/>
      </w:pPr>
      <w:r>
        <w:t xml:space="preserve">Non-renewable Energy Usage = 1.5 kWh/unit * (1 - `umsjklitku` (0.50)) = 0.75 kWh/unit</w:t>
      </w:r>
    </w:p>
    <w:p>
      <w:pPr>
        <w:numPr>
          <w:ilvl w:val="0"/>
          <w:numId w:val="1005"/>
        </w:numPr>
        <w:pStyle w:val="Compact"/>
      </w:pPr>
      <w:r>
        <w:t xml:space="preserve">Electricity Emissions = 0.75 kWh/unit * 0.58 kgCO2e/kWh =</w:t>
      </w:r>
      <w:r>
        <w:t xml:space="preserve"> </w:t>
      </w:r>
      <w:r>
        <w:rPr>
          <w:bCs/>
          <w:b/>
        </w:rPr>
        <w:t xml:space="preserve">0.435 kgCO2e/unit</w:t>
      </w:r>
    </w:p>
    <w:bookmarkEnd w:id="35"/>
    <w:bookmarkStart w:id="39" w:name="scope-3-value-chain-emissions"/>
    <w:p>
      <w:pPr>
        <w:pStyle w:val="Heading3"/>
      </w:pPr>
      <w:r>
        <w:t xml:space="preserve">3.3. Scope 3: Value Chain Emissions</w:t>
      </w:r>
    </w:p>
    <w:p>
      <w:pPr>
        <w:pStyle w:val="FirstParagraph"/>
      </w:pPr>
      <w:r>
        <w:t xml:space="preserve">This category encompasses all other indirect emissions, covering the majority of the product\'s carbon footprint.</w:t>
      </w:r>
    </w:p>
    <w:bookmarkStart w:id="36" w:name="X179160eaabb3d2a6f5268f5d416756474b0ca69"/>
    <w:p>
      <w:pPr>
        <w:pStyle w:val="Heading4"/>
      </w:pPr>
      <w:r>
        <w:t xml:space="preserve">3.3.1. Upstream Emissions (Category 1: Purchased Goods and Services &amp; Category 4: Upstream Transportation and Distribution)</w:t>
      </w:r>
    </w:p>
    <w:p>
      <w:pPr>
        <w:pStyle w:val="FirstParagraph"/>
      </w:pPr>
      <w:r>
        <w:rPr>
          <w:bCs/>
          <w:b/>
        </w:rPr>
        <w:t xml:space="preserve">a. Materials (from BOM):</w:t>
      </w:r>
    </w:p>
    <w:p>
      <w:pPr>
        <w:pStyle w:val="BodyText"/>
      </w:pPr>
      <w:r>
        <w:t xml:space="preserve">Total Carbon from Materials =</w:t>
      </w:r>
      <w:r>
        <w:t xml:space="preserve"> </w:t>
      </w:r>
      <w:r>
        <w:rPr>
          <w:bCs/>
          <w:b/>
        </w:rPr>
        <w:t xml:space="preserve">8.10 kgCO2e/unit</w:t>
      </w:r>
      <w:r>
        <w:t xml:space="preserve"> </w:t>
      </w:r>
      <w:r>
        <w:t xml:space="preserve">(Sum of \'Total Carbon\' from illustrative BOM)</w:t>
      </w:r>
    </w:p>
    <w:p>
      <w:pPr>
        <w:pStyle w:val="BodyText"/>
      </w:pPr>
      <w:r>
        <w:rPr>
          <w:bCs/>
          <w:b/>
        </w:rPr>
        <w:t xml:space="preserve">b. Upstream Transport:</w:t>
      </w:r>
    </w:p>
    <w:p>
      <w:pPr>
        <w:numPr>
          <w:ilvl w:val="0"/>
          <w:numId w:val="1006"/>
        </w:numPr>
        <w:pStyle w:val="Compact"/>
      </w:pPr>
      <w:r>
        <w:t xml:space="preserve">Product Mass (for transport) = 1.6 kg = 0.0016 tonnes</w:t>
      </w:r>
    </w:p>
    <w:p>
      <w:pPr>
        <w:numPr>
          <w:ilvl w:val="0"/>
          <w:numId w:val="1006"/>
        </w:numPr>
        <w:pStyle w:val="Compact"/>
      </w:pPr>
      <w:r>
        <w:t xml:space="preserve">Upstream Transport Emissions = 0.0016 tonnes * 1500 km * 0.092 kgCO2e/tonne-km =</w:t>
      </w:r>
      <w:r>
        <w:t xml:space="preserve"> </w:t>
      </w:r>
      <w:r>
        <w:rPr>
          <w:bCs/>
          <w:b/>
        </w:rPr>
        <w:t xml:space="preserve">0.221 kgCO2e/unit</w:t>
      </w:r>
    </w:p>
    <w:bookmarkEnd w:id="36"/>
    <w:bookmarkStart w:id="37" w:name="X2c14542a4070344eaf417bf97b7e385350f3115"/>
    <w:p>
      <w:pPr>
        <w:pStyle w:val="Heading4"/>
      </w:pPr>
      <w:r>
        <w:t xml:space="preserve">3.3.2. Downstream Emissions (Category 9: Downstream Transportation and Distribution, Category 11: Use of Sold Products, &amp; Category 12: End-of-Life Treatment of Sold Products)</w:t>
      </w:r>
    </w:p>
    <w:p>
      <w:pPr>
        <w:pStyle w:val="FirstParagraph"/>
      </w:pPr>
      <w:r>
        <w:rPr>
          <w:bCs/>
          <w:b/>
        </w:rPr>
        <w:t xml:space="preserve">a. Last-Mile Delivery:</w:t>
      </w:r>
    </w:p>
    <w:p>
      <w:pPr>
        <w:numPr>
          <w:ilvl w:val="0"/>
          <w:numId w:val="1007"/>
        </w:numPr>
        <w:pStyle w:val="Compact"/>
      </w:pPr>
      <w:r>
        <w:t xml:space="preserve">Last-Mile Delivery Emissions = 50 km * 0.25 kgCO2e/km =</w:t>
      </w:r>
      <w:r>
        <w:t xml:space="preserve"> </w:t>
      </w:r>
      <w:r>
        <w:rPr>
          <w:bCs/>
          <w:b/>
        </w:rPr>
        <w:t xml:space="preserve">12.50 kgCO2e/unit</w:t>
      </w:r>
    </w:p>
    <w:p>
      <w:pPr>
        <w:pStyle w:val="FirstParagraph"/>
      </w:pPr>
      <w:r>
        <w:rPr>
          <w:bCs/>
          <w:b/>
        </w:rPr>
        <w:t xml:space="preserve">b. Use Phase Emissions:</w:t>
      </w:r>
    </w:p>
    <w:p>
      <w:pPr>
        <w:numPr>
          <w:ilvl w:val="0"/>
          <w:numId w:val="1008"/>
        </w:numPr>
        <w:pStyle w:val="Compact"/>
      </w:pPr>
      <w:r>
        <w:t xml:space="preserve">Total Use Phase Energy = 0.1 kWh/day * (5 years * 365 days/year) = 182.5 kWh/unit</w:t>
      </w:r>
    </w:p>
    <w:p>
      <w:pPr>
        <w:numPr>
          <w:ilvl w:val="0"/>
          <w:numId w:val="1008"/>
        </w:numPr>
        <w:pStyle w:val="Compact"/>
      </w:pPr>
      <w:r>
        <w:t xml:space="preserve">Use Phase Emissions = 182.5 kWh/unit * 0.58 kgCO2e/kWh =</w:t>
      </w:r>
      <w:r>
        <w:t xml:space="preserve"> </w:t>
      </w:r>
      <w:r>
        <w:rPr>
          <w:bCs/>
          <w:b/>
        </w:rPr>
        <w:t xml:space="preserve">105.85 kgCO2e/unit</w:t>
      </w:r>
    </w:p>
    <w:p>
      <w:pPr>
        <w:pStyle w:val="FirstParagraph"/>
      </w:pPr>
      <w:r>
        <w:rPr>
          <w:bCs/>
          <w:b/>
        </w:rPr>
        <w:t xml:space="preserve">c. End-of-Life (EoL) Emissions:</w:t>
      </w:r>
    </w:p>
    <w:p>
      <w:pPr>
        <w:numPr>
          <w:ilvl w:val="0"/>
          <w:numId w:val="1009"/>
        </w:numPr>
        <w:pStyle w:val="Compact"/>
      </w:pPr>
      <w:r>
        <w:t xml:space="preserve">Mass to be Recycled = 1.6 kg * `fykhmqqdzu` (0.70) = 1.12 kg</w:t>
      </w:r>
    </w:p>
    <w:p>
      <w:pPr>
        <w:numPr>
          <w:ilvl w:val="0"/>
          <w:numId w:val="1009"/>
        </w:numPr>
        <w:pStyle w:val="Compact"/>
      </w:pPr>
      <w:r>
        <w:t xml:space="preserve">Mass to be Disposed (Landfill/Incineration) = 1.6 kg * (1 - 0.70) = 0.48 kg</w:t>
      </w:r>
    </w:p>
    <w:p>
      <w:pPr>
        <w:numPr>
          <w:ilvl w:val="0"/>
          <w:numId w:val="1009"/>
        </w:numPr>
        <w:pStyle w:val="Compact"/>
      </w:pPr>
      <w:r>
        <w:t xml:space="preserve">Emissions from Disposal = 0.48 kg * 0.1 kgCO2e/kg = 0.048 kgCO2e</w:t>
      </w:r>
    </w:p>
    <w:p>
      <w:pPr>
        <w:numPr>
          <w:ilvl w:val="0"/>
          <w:numId w:val="1009"/>
        </w:numPr>
        <w:pStyle w:val="Compact"/>
      </w:pPr>
      <w:r>
        <w:t xml:space="preserve">Avoided Emissions from Recycling = 1.12 kg * 1.5 kgCO2e/kg = -1.68 kgCO2e (credit)</w:t>
      </w:r>
    </w:p>
    <w:p>
      <w:pPr>
        <w:numPr>
          <w:ilvl w:val="0"/>
          <w:numId w:val="1009"/>
        </w:numPr>
        <w:pStyle w:val="Compact"/>
      </w:pPr>
      <w:r>
        <w:t xml:space="preserve">Net EoL Emissions = 0.048 kgCO2e - 1.68 kgCO2e =</w:t>
      </w:r>
      <w:r>
        <w:t xml:space="preserve"> </w:t>
      </w:r>
      <w:r>
        <w:rPr>
          <w:bCs/>
          <w:b/>
        </w:rPr>
        <w:t xml:space="preserve">-1.632 kgCO2e/unit</w:t>
      </w:r>
    </w:p>
    <w:bookmarkEnd w:id="37"/>
    <w:bookmarkStart w:id="38" w:name="summary-of-ghg-emissions-by-scope"/>
    <w:p>
      <w:pPr>
        <w:pStyle w:val="Heading4"/>
      </w:pPr>
      <w:r>
        <w:t xml:space="preserve">Summary of GHG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0.435</w:t>
            </w:r>
          </w:p>
        </w:tc>
      </w:tr>
      <w:tr>
        <w:tc>
          <w:tcPr>
            <w:vMerge w:val="restart"/>
          </w:tcPr>
          <w:p>
            <w:pPr>
              <w:pStyle w:val="Compact"/>
              <w:jc w:val="left"/>
            </w:pPr>
            <w:r>
              <w:t xml:space="preserve">Scope 3</w:t>
            </w:r>
          </w:p>
        </w:tc>
        <w:tc>
          <w:tcPr/>
          <w:p>
            <w:pPr>
              <w:pStyle w:val="Compact"/>
              <w:jc w:val="left"/>
            </w:pPr>
            <w:r>
              <w:t xml:space="preserve">Upstream Materials</w:t>
            </w:r>
          </w:p>
        </w:tc>
        <w:tc>
          <w:tcPr/>
          <w:p>
            <w:pPr>
              <w:pStyle w:val="Compact"/>
              <w:jc w:val="left"/>
            </w:pPr>
            <w:r>
              <w:t xml:space="preserve">8.100</w:t>
            </w:r>
          </w:p>
        </w:tc>
      </w:tr>
      <w:tr>
        <w:tc>
          <w:tcPr>
            <w:gridSpan w:val="1"/>
            <w:vMerge w:val="continue"/>
          </w:tcPr>
          <w:p>
            <w:pPr/>
          </w:p>
        </w:tc>
        <w:tc>
          <w:tcPr/>
          <w:p>
            <w:pPr>
              <w:pStyle w:val="Compact"/>
              <w:jc w:val="left"/>
            </w:pPr>
            <w:r>
              <w:t xml:space="preserve">Upstream Transportation</w:t>
            </w:r>
          </w:p>
        </w:tc>
        <w:tc>
          <w:tcPr/>
          <w:p>
            <w:pPr>
              <w:pStyle w:val="Compact"/>
              <w:jc w:val="left"/>
            </w:pPr>
            <w:r>
              <w:t xml:space="preserve">0.221</w:t>
            </w:r>
          </w:p>
        </w:tc>
      </w:tr>
      <w:tr>
        <w:tc>
          <w:tcPr>
            <w:gridSpan w:val="1"/>
            <w:vMerge w:val="continue"/>
          </w:tcPr>
          <w:p>
            <w:pPr/>
          </w:p>
        </w:tc>
        <w:tc>
          <w:tcPr/>
          <w:p>
            <w:pPr>
              <w:pStyle w:val="Compact"/>
              <w:jc w:val="left"/>
            </w:pPr>
            <w:r>
              <w:t xml:space="preserve">Downstream Transportation (Last-Mile)</w:t>
            </w:r>
          </w:p>
        </w:tc>
        <w:tc>
          <w:tcPr/>
          <w:p>
            <w:pPr>
              <w:pStyle w:val="Compact"/>
              <w:jc w:val="left"/>
            </w:pPr>
            <w:r>
              <w:t xml:space="preserve">12.500</w:t>
            </w:r>
          </w:p>
        </w:tc>
      </w:tr>
      <w:tr>
        <w:tc>
          <w:tcPr>
            <w:gridSpan w:val="1"/>
            <w:vMerge w:val="continue"/>
          </w:tcPr>
          <w:p>
            <w:pPr/>
          </w:p>
        </w:tc>
        <w:tc>
          <w:tcPr/>
          <w:p>
            <w:pPr>
              <w:pStyle w:val="Compact"/>
              <w:jc w:val="left"/>
            </w:pPr>
            <w:r>
              <w:t xml:space="preserve">Use of Sold Products</w:t>
            </w:r>
          </w:p>
        </w:tc>
        <w:tc>
          <w:tcPr/>
          <w:p>
            <w:pPr>
              <w:pStyle w:val="Compact"/>
              <w:jc w:val="left"/>
            </w:pPr>
            <w:r>
              <w:t xml:space="preserve">105.850</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-1.632</w:t>
            </w:r>
          </w:p>
        </w:tc>
      </w:tr>
      <w:tr>
        <w:tc>
          <w:tcPr>
            <w:gridSpan w:val="2"/>
          </w:tcPr>
          <w:p>
            <w:pPr>
              <w:pStyle w:val="Compact"/>
              <w:jc w:val="left"/>
            </w:pPr>
            <w:r>
              <w:rPr>
                <w:bCs/>
                <w:b/>
              </w:rPr>
              <w:t xml:space="preserve">Total Product Carbon Footprint (zjxggutxoz)</w:t>
            </w:r>
          </w:p>
        </w:tc>
        <w:tc>
          <w:tcPr/>
          <w:p>
            <w:pPr>
              <w:pStyle w:val="Compact"/>
              <w:jc w:val="left"/>
            </w:pPr>
            <w:r>
              <w:rPr>
                <w:bCs/>
                <w:b/>
              </w:rPr>
              <w:t xml:space="preserve">125.474 kgCO2e/unit</w:t>
            </w:r>
          </w:p>
        </w:tc>
      </w:tr>
    </w:tbl>
    <w:p>
      <w:pPr>
        <w:pStyle w:val="BodyText"/>
      </w:pPr>
      <w:r>
        <w:t xml:space="preserve">The total Product Carbon Footprint for one unit of zjxggutxoz is approximately</w:t>
      </w:r>
      <w:r>
        <w:t xml:space="preserve"> </w:t>
      </w:r>
      <w:r>
        <w:rPr>
          <w:bCs/>
          <w:b/>
        </w:rPr>
        <w:t xml:space="preserve">125.474 kgCO2e</w:t>
      </w:r>
      <w:r>
        <w:t xml:space="preserve">.</w:t>
      </w:r>
    </w:p>
    <w:bookmarkEnd w:id="38"/>
    <w:bookmarkEnd w:id="39"/>
    <w:bookmarkStart w:id="40" w:name="lsr-update-and-scope-3-compliance"/>
    <w:p>
      <w:pPr>
        <w:pStyle w:val="Heading3"/>
      </w:pPr>
      <w:r>
        <w:t xml:space="preserve">3.4. 2026 LSR Update and Scope 3 Compliance</w:t>
      </w:r>
    </w:p>
    <w:p>
      <w:pPr>
        <w:pStyle w:val="FirstParagraph"/>
      </w:pPr>
      <w:r>
        <w:t xml:space="preserve">This analysis acknowledges the 2026 Land Sector and Removals (LSR) Standard update. While specific land use and carbon removal data were not provided for detailed quantification within the given parameters, a comprehensive PCF in practice would incorporate these elements. The report also targets at least</w:t>
      </w:r>
      <w:r>
        <w:t xml:space="preserve"> </w:t>
      </w:r>
      <w:r>
        <w:rPr>
          <w:bCs/>
          <w:b/>
        </w:rPr>
        <w:t xml:space="preserve">95% coverage for Scope 3 reporting</w:t>
      </w:r>
      <w:r>
        <w:t xml:space="preserve">, as mandated by 2026 requirements, by including detailed calculations for upstream materials, transport, use-phase, and end-of-life scenarios, which typically represent the vast majority of a product\'s value chain emissions.</w:t>
      </w:r>
    </w:p>
    <w:p>
      <w:r>
        <w:pict>
          <v:rect style="width:0;height:1.5pt" o:hralign="center" o:hrstd="t" o:hr="t"/>
        </w:pict>
      </w:r>
    </w:p>
    <w:bookmarkEnd w:id="40"/>
    <w:bookmarkEnd w:id="41"/>
    <w:bookmarkStart w:id="44" w:name="review-reporting"/>
    <w:p>
      <w:pPr>
        <w:pStyle w:val="Heading2"/>
      </w:pPr>
      <w:r>
        <w:t xml:space="preserve">4. Review &amp; Reporting</w:t>
      </w:r>
    </w:p>
    <w:bookmarkStart w:id="42" w:name="emission-hotspots"/>
    <w:p>
      <w:pPr>
        <w:pStyle w:val="Heading3"/>
      </w:pPr>
      <w:r>
        <w:t xml:space="preserve">4.1. Emission Hotspots</w:t>
      </w:r>
    </w:p>
    <w:p>
      <w:pPr>
        <w:pStyle w:val="FirstParagraph"/>
      </w:pPr>
      <w:r>
        <w:t xml:space="preserve">The primary emission hotspots for zjxggutxoz are:</w:t>
      </w:r>
    </w:p>
    <w:p>
      <w:pPr>
        <w:numPr>
          <w:ilvl w:val="0"/>
          <w:numId w:val="1010"/>
        </w:numPr>
        <w:pStyle w:val="Compact"/>
      </w:pPr>
      <w:r>
        <w:rPr>
          <w:bCs/>
          <w:b/>
        </w:rPr>
        <w:t xml:space="preserve">Use Phase (105.85 kgCO2e):</w:t>
      </w:r>
      <w:r>
        <w:t xml:space="preserve"> </w:t>
      </w:r>
      <w:r>
        <w:t xml:space="preserve">This is by far the largest contributor, accounting for approximately 84% of the total PCF, driven by the product\'s lifespan and continuous energy consumption.</w:t>
      </w:r>
    </w:p>
    <w:p>
      <w:pPr>
        <w:numPr>
          <w:ilvl w:val="0"/>
          <w:numId w:val="1010"/>
        </w:numPr>
        <w:pStyle w:val="Compact"/>
      </w:pPr>
      <w:r>
        <w:rPr>
          <w:bCs/>
          <w:b/>
        </w:rPr>
        <w:t xml:space="preserve">Downstream Transportation - Last-Mile Delivery (12.50 kgCO2e):</w:t>
      </w:r>
      <w:r>
        <w:t xml:space="preserve"> </w:t>
      </w:r>
      <w:r>
        <w:t xml:space="preserve">This represents a significant impact, roughly 10% of the total, highlighting the carbon intensity of last-mile logistics.</w:t>
      </w:r>
    </w:p>
    <w:p>
      <w:pPr>
        <w:numPr>
          <w:ilvl w:val="0"/>
          <w:numId w:val="1010"/>
        </w:numPr>
        <w:pStyle w:val="Compact"/>
      </w:pPr>
      <w:r>
        <w:rPr>
          <w:bCs/>
          <w:b/>
        </w:rPr>
        <w:t xml:space="preserve">Raw Materials (8.10 kgCO2e):</w:t>
      </w:r>
      <w:r>
        <w:t xml:space="preserve"> </w:t>
      </w:r>
      <w:r>
        <w:t xml:space="preserve">Accounting for about 6.5% of the total, the production of key materials like aluminum and electronic components has a notable upstream impact.</w:t>
      </w:r>
    </w:p>
    <w:p>
      <w:pPr>
        <w:pStyle w:val="FirstParagraph"/>
      </w:pPr>
      <w:r>
        <w:t xml:space="preserve">The high percentage of renewable energy usage (`umsjklitku`: 50%) in the manufacturing phase helps mitigate its impact, although the non-renewable portion still contributes to Scope 2 emissions.</w:t>
      </w:r>
    </w:p>
    <w:bookmarkEnd w:id="42"/>
    <w:bookmarkStart w:id="43" w:name="reliability-and-limitations"/>
    <w:p>
      <w:pPr>
        <w:pStyle w:val="Heading3"/>
      </w:pPr>
      <w:r>
        <w:t xml:space="preserve">4.2. Reliability and Limitations</w:t>
      </w:r>
    </w:p>
    <w:p>
      <w:pPr>
        <w:pStyle w:val="FirstParagraph"/>
      </w:pPr>
      <w:r>
        <w:t xml:space="preserve">The reliability of this PCF analysis is high for the parameters explicitly provided. However, the accuracy is influenced by the following:</w:t>
      </w:r>
    </w:p>
    <w:p>
      <w:pPr>
        <w:numPr>
          <w:ilvl w:val="0"/>
          <w:numId w:val="1011"/>
        </w:numPr>
        <w:pStyle w:val="Compact"/>
      </w:pPr>
      <w:r>
        <w:rPr>
          <w:bCs/>
          <w:b/>
        </w:rPr>
        <w:t xml:space="preserve">Illustrative Data:</w:t>
      </w:r>
      <w:r>
        <w:t xml:space="preserve"> </w:t>
      </w:r>
      <w:r>
        <w:t xml:space="preserve">Several emission factors for transport, disposal, and the detailed BOM itself were illustrative, based on industry averages and best estimates (e.g., Ecoinvent/DEFRA equivalents) where specific primary data was not available for the placeholder `trtlemth`.</w:t>
      </w:r>
    </w:p>
    <w:p>
      <w:pPr>
        <w:numPr>
          <w:ilvl w:val="0"/>
          <w:numId w:val="1011"/>
        </w:numPr>
        <w:pStyle w:val="Compact"/>
      </w:pPr>
      <w:r>
        <w:rPr>
          <w:bCs/>
          <w:b/>
        </w:rPr>
        <w:t xml:space="preserve">Assumptions:</w:t>
      </w:r>
      <w:r>
        <w:t xml:space="preserve"> </w:t>
      </w:r>
      <w:r>
        <w:t xml:space="preserve">Assumptions were made for transport distances, last-mile delivery distance, and average grid mix for the use phase (assumed China grid for consistency).</w:t>
      </w:r>
    </w:p>
    <w:p>
      <w:pPr>
        <w:numPr>
          <w:ilvl w:val="0"/>
          <w:numId w:val="1011"/>
        </w:numPr>
        <w:pStyle w:val="Compact"/>
      </w:pPr>
      <w:r>
        <w:rPr>
          <w:bCs/>
          <w:b/>
        </w:rPr>
        <w:t xml:space="preserve">LSR Standard:</w:t>
      </w:r>
      <w:r>
        <w:t xml:space="preserve"> </w:t>
      </w:r>
      <w:r>
        <w:t xml:space="preserve">While acknowledged, specific quantification of land sector and removals was not possible without detailed primary data on land use changes associated with raw material sourcing or manufacturing.</w:t>
      </w:r>
    </w:p>
    <w:p>
      <w:pPr>
        <w:pStyle w:val="FirstParagraph"/>
      </w:pPr>
      <w:r>
        <w:t xml:space="preserve">For enhanced accuracy, primary data collection for all material inputs, precise transport routes and modes, and actual energy mix at the point of use would be recommended for future assessments.</w:t>
      </w:r>
    </w:p>
    <w:p>
      <w:r>
        <w:pict>
          <v:rect style="width:0;height:1.5pt" o:hralign="center" o:hrstd="t" o:hr="t"/>
        </w:pict>
      </w:r>
    </w:p>
    <w:p>
      <w:pPr>
        <w:pStyle w:val="FirstParagraph"/>
      </w:pPr>
      <w:r>
        <w:t xml:space="preserve">Confidential - Internal Use Only | Page</w:t>
      </w:r>
      <w:r>
        <w:t xml:space="preserve"> </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zjxggutxoz</dc:title>
  <dc:creator/>
  <dc:description>A high-detail Product Carbon Footprint (PCF) analysis report for zjxggutxoz, prepared by Senior Sustainability Consultant jqrpztukyp for uywxmvhukv, adhering to GHG Protocol and 2026 LSR Update requirements.</dc:description>
  <dc:language>en</dc:language>
  <cp:keywords/>
  <dcterms:created xsi:type="dcterms:W3CDTF">2026-07-15T09:35:28Z</dcterms:created>
  <dcterms:modified xsi:type="dcterms:W3CDTF">2026-07-15T09:35:28Z</dcterms:modified>
</cp:coreProperties>
</file>

<file path=docProps/custom.xml><?xml version="1.0" encoding="utf-8"?>
<Properties xmlns="http://schemas.openxmlformats.org/officeDocument/2006/custom-properties" xmlns:vt="http://schemas.openxmlformats.org/officeDocument/2006/docPropsVTypes"/>
</file>