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zjrlmhldmv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zjrlmhldmv</w:t>
      </w:r>
    </w:p>
    <w:p>
      <w:pPr>
        <w:pStyle w:val="BodyText"/>
      </w:pPr>
      <w:r>
        <w:rPr>
          <w:bCs/>
          <w:b/>
        </w:rPr>
        <w:t xml:space="preserve">Company:</w:t>
      </w:r>
      <w:r>
        <w:t xml:space="preserve"> </w:t>
      </w:r>
      <w:r>
        <w:t xml:space="preserve">smsyeuldfr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preomqlgmu</w:t>
      </w:r>
    </w:p>
    <w:p>
      <w:pPr>
        <w:pStyle w:val="BodyText"/>
      </w:pPr>
      <w:r>
        <w:t xml:space="preserve">This report is generated based on available data and industry standards. Numerical values for parameters not explicitly provided by the user (e.g., specific quantities, distances, or energy breakdowns) are illustrative, derived from typical industry averages or assumptions, and intended to demonstrate the methodology. For a precise calculation, primary, company-specific data is essential.</w:t>
      </w:r>
    </w:p>
    <w:bookmarkEnd w:id="20"/>
    <w:p>
      <w:pPr>
        <w:pStyle w:val="BodyText"/>
      </w:pPr>
      <w:r>
        <w:t xml:space="preserve">Generated Date: May 21, 2026</w:t>
      </w:r>
    </w:p>
    <w:bookmarkStart w:id="49" w:name="Xc4fdb0d9d71e981edd7ae28a275226b337a4b91"/>
    <w:p>
      <w:pPr>
        <w:pStyle w:val="Heading1"/>
      </w:pPr>
      <w:r>
        <w:t xml:space="preserve">Product Carbon Footprint Analysis for zjrlmhldmv</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zjrlmhldmv</w:t>
      </w:r>
      <w:r>
        <w:t xml:space="preserve">, manufactured by</w:t>
      </w:r>
      <w:r>
        <w:t xml:space="preserve"> </w:t>
      </w:r>
      <w:r>
        <w:rPr>
          <w:bCs/>
          <w:b/>
        </w:rPr>
        <w:t xml:space="preserve">smsyeuldfr</w:t>
      </w:r>
      <w:r>
        <w:t xml:space="preserve">. The analysis was conducted by</w:t>
      </w:r>
      <w:r>
        <w:t xml:space="preserve"> </w:t>
      </w:r>
      <w:r>
        <w:rPr>
          <w:bCs/>
          <w:b/>
        </w:rPr>
        <w:t xml:space="preserve">preomqlgmu</w:t>
      </w:r>
      <w:r>
        <w:t xml:space="preserve">, a Senior Sustainability Consultant specializing in the GHG Protocol. The primary objective is to quantify the greenhouse gas (GHG) emissions associated with the product across its lifecycle, identify carbon hotspots, and ensure compliance with the GHG Protocol and evolving 2026 requirements, including the Land Sector and Removals (LSR) Standard. The total estimated Product Carbon Footprint for one unit of zjrlmhldmv is</w:t>
      </w:r>
      <w:r>
        <w:t xml:space="preserve"> </w:t>
      </w:r>
      <w:r>
        <w:rPr>
          <w:bCs/>
          <w:b/>
        </w:rPr>
        <w:t xml:space="preserve">73.63 kg CO2e</w:t>
      </w:r>
      <w:r>
        <w:t xml:space="preserve">.</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adheres strictly to the principles and requirements of the</w:t>
      </w:r>
      <w:r>
        <w:t xml:space="preserve"> </w:t>
      </w:r>
      <w:r>
        <w:rPr>
          <w:bCs/>
          <w:b/>
        </w:rPr>
        <w:t xml:space="preserve">GHG Protocol</w:t>
      </w:r>
      <w:r>
        <w:t xml:space="preserve">, encompassing Scope 1, Scope 2, and Scope 3 emissions across the product\'s lifecycle. This cradle-to-grave assessment provides a comprehensive view of environmental impacts.</w:t>
      </w:r>
    </w:p>
    <w:bookmarkStart w:id="22" w:name="functional-unit"/>
    <w:p>
      <w:pPr>
        <w:pStyle w:val="Heading3"/>
      </w:pPr>
      <w:r>
        <w:t xml:space="preserve">1.1 Functional Unit</w:t>
      </w:r>
    </w:p>
    <w:p>
      <w:pPr>
        <w:pStyle w:val="FirstParagraph"/>
      </w:pPr>
      <w:r>
        <w:t xml:space="preserve">The defined functional unit for this PCF analysis is</w:t>
      </w:r>
      <w:r>
        <w:t xml:space="preserve"> </w:t>
      </w:r>
      <w:r>
        <w:rPr>
          <w:bCs/>
          <w:b/>
        </w:rPr>
        <w:t xml:space="preserve">1.0 unit</w:t>
      </w:r>
      <w:r>
        <w:t xml:space="preserve"> </w:t>
      </w:r>
      <w:r>
        <w:t xml:space="preserve">of</w:t>
      </w:r>
      <w:r>
        <w:t xml:space="preserve"> </w:t>
      </w:r>
      <w:r>
        <w:rPr>
          <w:bCs/>
          <w:b/>
        </w:rPr>
        <w:t xml:space="preserve">zjrlmhldmv</w:t>
      </w:r>
      <w:r>
        <w:t xml:space="preserve">.</w:t>
      </w:r>
    </w:p>
    <w:bookmarkEnd w:id="22"/>
    <w:bookmarkStart w:id="23" w:name="system-boundary"/>
    <w:p>
      <w:pPr>
        <w:pStyle w:val="Heading3"/>
      </w:pPr>
      <w:r>
        <w:t xml:space="preserve">1.2 System Boundary</w:t>
      </w:r>
    </w:p>
    <w:p>
      <w:pPr>
        <w:pStyle w:val="FirstParagraph"/>
      </w:pPr>
      <w:r>
        <w:t xml:space="preserve">The system boundary is defined as</w:t>
      </w:r>
      <w:r>
        <w:t xml:space="preserve"> </w:t>
      </w:r>
      <w:r>
        <w:rPr>
          <w:bCs/>
          <w:b/>
        </w:rPr>
        <w:t xml:space="preserve">factory_gate</w:t>
      </w:r>
      <w:r>
        <w:t xml:space="preserve"> </w:t>
      </w:r>
      <w:r>
        <w:t xml:space="preserve">for direct manufacturing operations, but the overall analysis extends to a modified cradle-to-grave scope to incorporate emissions from raw material extraction, manufacturing, transport, the product\'s use phase, and its end-of-life (EoL) treatment, as specified by the detailed parameters. This ensures a holistic assessment of the product\'s environmental impact throughout its value chain.</w:t>
      </w:r>
    </w:p>
    <w:bookmarkEnd w:id="23"/>
    <w:bookmarkStart w:id="24" w:name="geographic-scope"/>
    <w:p>
      <w:pPr>
        <w:pStyle w:val="Heading3"/>
      </w:pPr>
      <w:r>
        <w:t xml:space="preserve">1.3 Geographic Scope</w:t>
      </w:r>
    </w:p>
    <w:p>
      <w:pPr>
        <w:pStyle w:val="FirstParagraph"/>
      </w:pP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for upstream material and component sourcing and distribution.</w:t>
      </w:r>
    </w:p>
    <w:bookmarkEnd w:id="24"/>
    <w:bookmarkStart w:id="25" w:name="accounting-standard"/>
    <w:p>
      <w:pPr>
        <w:pStyle w:val="Heading3"/>
      </w:pPr>
      <w:r>
        <w:t xml:space="preserve">1.4 Accounting Standard</w:t>
      </w:r>
    </w:p>
    <w:p>
      <w:pPr>
        <w:pStyle w:val="FirstParagraph"/>
      </w:pPr>
      <w:r>
        <w:t xml:space="preserve">All calculations and reporting follow the guidelines established by the</w:t>
      </w:r>
      <w:r>
        <w:t xml:space="preserve"> </w:t>
      </w:r>
      <w:r>
        <w:rPr>
          <w:bCs/>
          <w:b/>
        </w:rPr>
        <w:t xml:space="preserve">GHG Protocol</w:t>
      </w:r>
      <w:r>
        <w:t xml:space="preserve">, which provides a robust framework for measuring and managing GHG emissions.</w:t>
      </w:r>
    </w:p>
    <w:bookmarkEnd w:id="25"/>
    <w:bookmarkStart w:id="26" w:name="allocation"/>
    <w:p>
      <w:pPr>
        <w:pStyle w:val="Heading3"/>
      </w:pPr>
      <w:r>
        <w:t xml:space="preserve">1.5 Allocation</w:t>
      </w:r>
    </w:p>
    <w:p>
      <w:pPr>
        <w:pStyle w:val="FirstParagraph"/>
      </w:pPr>
      <w:r>
        <w:t xml:space="preserve">Emissions are allocated directly to the functional unit (1.0 unit of zjrlmhldmv) based on material quantities, energy consumption, and transportation distances. No significant co-product or by-product allocations were required for this specific product assessment based on the provided parameters.</w:t>
      </w:r>
    </w:p>
    <w:p>
      <w:r>
        <w:pict>
          <v:rect style="width:0;height:1.5pt" o:hralign="center" o:hrstd="t" o:hr="t"/>
        </w:pict>
      </w:r>
    </w:p>
    <w:bookmarkEnd w:id="26"/>
    <w:bookmarkEnd w:id="27"/>
    <w:bookmarkStart w:id="33" w:name="X2bf58de29a7a901ba932b9a6a779f7f86e80a1b"/>
    <w:p>
      <w:pPr>
        <w:pStyle w:val="Heading2"/>
      </w:pPr>
      <w:r>
        <w:t xml:space="preserve">2. Lifecycle Mapping and Data Collection (LCI Inventory)</w:t>
      </w:r>
    </w:p>
    <w:p>
      <w:pPr>
        <w:pStyle w:val="FirstParagraph"/>
      </w:pPr>
      <w:r>
        <w:t xml:space="preserve">This section details the primary and secondary data points collected and used to construct the Life Cycle Inventory (LCI) for</w:t>
      </w:r>
      <w:r>
        <w:t xml:space="preserve"> </w:t>
      </w:r>
      <w:r>
        <w:rPr>
          <w:bCs/>
          <w:b/>
        </w:rPr>
        <w:t xml:space="preserve">zjrlmhldmv</w:t>
      </w:r>
      <w:r>
        <w:t xml:space="preserve">, mapping out each stage of its lifecycle.</w:t>
      </w:r>
    </w:p>
    <w:bookmarkStart w:id="28" w:name="detailed-bill-of-materials-bom"/>
    <w:p>
      <w:pPr>
        <w:pStyle w:val="Heading3"/>
      </w:pPr>
      <w:r>
        <w:t xml:space="preserve">2.1 Detailed Bill of Materials (BOM)</w:t>
      </w:r>
    </w:p>
    <w:p>
      <w:pPr>
        <w:pStyle w:val="FirstParagraph"/>
      </w:pPr>
      <w:r>
        <w:t xml:space="preserve">The provided Detailed Bill of Materials (BOM) for</w:t>
      </w:r>
      <w:r>
        <w:t xml:space="preserve"> </w:t>
      </w:r>
      <w:r>
        <w:rPr>
          <w:bCs/>
          <w:b/>
        </w:rPr>
        <w:t xml:space="preserve">nunvyryp</w:t>
      </w:r>
      <w:r>
        <w:t xml:space="preserve"> </w:t>
      </w:r>
      <w:r>
        <w:t xml:space="preserve">served as the basis for calculating the material-related emissions. For illustrative purposes, typical material categories and associated emission factors (sourced from industry-standard databases like Ecoinvent/DEFRA where specific values for `nunvyryp` are placeholders) have been applied. The total carbon column is calculated based on Quantity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4.77</w:t>
            </w:r>
          </w:p>
        </w:tc>
        <w:tc>
          <w:tcPr/>
          <w:p>
            <w:pPr>
              <w:pStyle w:val="Compact"/>
              <w:jc w:val="left"/>
            </w:pPr>
            <w:r>
              <w:t xml:space="preserve">2.385</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Metal 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14.77</w:t>
            </w:r>
          </w:p>
        </w:tc>
        <w:tc>
          <w:tcPr/>
          <w:p>
            <w:pPr>
              <w:pStyle w:val="Compact"/>
              <w:jc w:val="left"/>
            </w:pPr>
            <w:r>
              <w:t xml:space="preserve">2.954</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24.865</w:t>
            </w:r>
          </w:p>
        </w:tc>
        <w:tc>
          <w:tcPr/>
          <w:p>
            <w:pPr>
              <w:pStyle w:val="Compact"/>
              <w:jc w:val="left"/>
            </w:pPr>
            <w:r>
              <w:t xml:space="preserve">2.4865</w:t>
            </w:r>
          </w:p>
        </w:tc>
      </w:tr>
      <w:tr>
        <w:tc>
          <w:tcPr/>
          <w:p>
            <w:pPr>
              <w:pStyle w:val="Compact"/>
              <w:jc w:val="left"/>
            </w:pPr>
            <w:r>
              <w:t xml:space="preserve">4</w:t>
            </w:r>
          </w:p>
        </w:tc>
        <w:tc>
          <w:tcPr/>
          <w:p>
            <w:pPr>
              <w:pStyle w:val="Compact"/>
              <w:jc w:val="left"/>
            </w:pPr>
            <w:r>
              <w:t xml:space="preserve">Wiring/Connectors</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r>
              <w:t xml:space="preserve"> </w:t>
            </w:r>
            <w:r>
              <w:rPr>
                <w:vertAlign w:val="superscript"/>
              </w:rPr>
              <w:t xml:space="preserve">(i)</w:t>
            </w:r>
          </w:p>
        </w:tc>
        <w:tc>
          <w:tcPr/>
          <w:p>
            <w:pPr>
              <w:pStyle w:val="Compact"/>
              <w:jc w:val="left"/>
            </w:pPr>
            <w:r>
              <w:t xml:space="preserve">0.250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Cardboard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r>
              <w:t xml:space="preserve"> </w:t>
            </w:r>
            <w:r>
              <w:rPr>
                <w:vertAlign w:val="superscript"/>
              </w:rPr>
              <w:t xml:space="preserve">(ii)</w:t>
            </w:r>
          </w:p>
        </w:tc>
        <w:tc>
          <w:tcPr/>
          <w:p>
            <w:pPr>
              <w:pStyle w:val="Compact"/>
              <w:jc w:val="left"/>
            </w:pPr>
            <w:r>
              <w:t xml:space="preserve">0.150</w:t>
            </w:r>
          </w:p>
        </w:tc>
      </w:tr>
      <w:tr>
        <w:tc>
          <w:tcPr>
            <w:gridSpan w:val="7"/>
          </w:tcPr>
          <w:p>
            <w:pPr>
              <w:pStyle w:val="Compact"/>
              <w:jc w:val="right"/>
            </w:pPr>
            <w:r>
              <w:t xml:space="preserve">Total Upstream Material Emissions:</w:t>
            </w:r>
          </w:p>
        </w:tc>
        <w:tc>
          <w:tcPr/>
          <w:p>
            <w:pPr>
              <w:pStyle w:val="Compact"/>
              <w:jc w:val="left"/>
            </w:pPr>
            <w:r>
              <w:rPr>
                <w:bCs/>
                <w:b/>
              </w:rPr>
              <w:t xml:space="preserve">8.2255 kg CO2e</w:t>
            </w:r>
          </w:p>
        </w:tc>
      </w:tr>
    </w:tbl>
    <w:p>
      <w:pPr>
        <w:pStyle w:val="BodyText"/>
      </w:pPr>
      <w:r>
        <w:rPr>
          <w:vertAlign w:val="superscript"/>
          <w:iCs/>
          <w:i/>
        </w:rPr>
        <w:t xml:space="preserve">(i)</w:t>
      </w:r>
      <w:r>
        <w:rPr>
          <w:iCs/>
          <w:i/>
        </w:rPr>
        <w:t xml:space="preserve"> </w:t>
      </w:r>
      <w:r>
        <w:rPr>
          <w:iCs/>
          <w:i/>
        </w:rPr>
        <w:t xml:space="preserve">Illustrative emission factor for generic wiring/connectors.</w:t>
      </w:r>
      <w:r>
        <w:br/>
      </w:r>
      <w:r>
        <w:rPr>
          <w:vertAlign w:val="superscript"/>
          <w:iCs/>
          <w:i/>
        </w:rPr>
        <w:t xml:space="preserve">(ii)</w:t>
      </w:r>
      <w:r>
        <w:rPr>
          <w:iCs/>
          <w:i/>
        </w:rPr>
        <w:t xml:space="preserve"> </w:t>
      </w:r>
      <w:r>
        <w:rPr>
          <w:iCs/>
          <w:i/>
        </w:rPr>
        <w:t xml:space="preserve">Illustrative emission factor for generic cardboard packaging.</w:t>
      </w:r>
    </w:p>
    <w:bookmarkEnd w:id="28"/>
    <w:bookmarkStart w:id="29" w:name="production-energy-inputs"/>
    <w:p>
      <w:pPr>
        <w:pStyle w:val="Heading3"/>
      </w:pPr>
      <w:r>
        <w:t xml:space="preserve">2.2 Production Energy Inputs</w:t>
      </w:r>
    </w:p>
    <w:p>
      <w:pPr>
        <w:numPr>
          <w:ilvl w:val="0"/>
          <w:numId w:val="1001"/>
        </w:numPr>
        <w:pStyle w:val="Compact"/>
      </w:pPr>
      <w:r>
        <w:rPr>
          <w:bCs/>
          <w:b/>
        </w:rPr>
        <w:t xml:space="preserve">Energy Intensity (kWh/unit):</w:t>
      </w:r>
      <w:r>
        <w:t xml:space="preserve"> </w:t>
      </w:r>
      <w:r>
        <w:t xml:space="preserve">xjfphxiqym (e.g., 10 kWh/unit)</w:t>
      </w:r>
    </w:p>
    <w:p>
      <w:pPr>
        <w:numPr>
          <w:ilvl w:val="0"/>
          <w:numId w:val="1001"/>
        </w:numPr>
        <w:pStyle w:val="Compact"/>
      </w:pPr>
      <w:r>
        <w:rPr>
          <w:bCs/>
          <w:b/>
        </w:rPr>
        <w:t xml:space="preserve">Renewable Energy Usage:</w:t>
      </w:r>
      <w:r>
        <w:t xml:space="preserve"> </w:t>
      </w:r>
      <w:r>
        <w:t xml:space="preserve">nuxnfyddkl (e.g., 50%)</w:t>
      </w:r>
    </w:p>
    <w:p>
      <w:pPr>
        <w:numPr>
          <w:ilvl w:val="0"/>
          <w:numId w:val="1001"/>
        </w:numPr>
        <w:pStyle w:val="Compact"/>
      </w:pPr>
      <w:r>
        <w:rPr>
          <w:bCs/>
          <w:b/>
        </w:rPr>
        <w:t xml:space="preserve">Non-Renewable Energy Usage:</w:t>
      </w:r>
      <w:r>
        <w:t xml:space="preserve"> </w:t>
      </w:r>
      <w:r>
        <w:t xml:space="preserve">50%</w:t>
      </w:r>
    </w:p>
    <w:p>
      <w:pPr>
        <w:numPr>
          <w:ilvl w:val="0"/>
          <w:numId w:val="1001"/>
        </w:numPr>
        <w:pStyle w:val="Compact"/>
      </w:pPr>
      <w:r>
        <w:rPr>
          <w:bCs/>
          <w:b/>
        </w:rPr>
        <w:t xml:space="preserve">Electricity Emission Factor (China Grid, 2023):</w:t>
      </w:r>
      <w:r>
        <w:t xml:space="preserve"> </w:t>
      </w:r>
      <w:r>
        <w:t xml:space="preserve">0.6205 kg CO2e/kWh</w:t>
      </w:r>
    </w:p>
    <w:bookmarkEnd w:id="29"/>
    <w:bookmarkStart w:id="30" w:name="transport-logistics"/>
    <w:p>
      <w:pPr>
        <w:pStyle w:val="Heading3"/>
      </w:pPr>
      <w:r>
        <w:t xml:space="preserve">2.3 Transport Logistics</w:t>
      </w:r>
    </w:p>
    <w:p>
      <w:pPr>
        <w:pStyle w:val="FirstParagraph"/>
      </w:pPr>
      <w:r>
        <w:t xml:space="preserve">Inbound and outbound logistics are critical for the product\'s overall footprint.</w:t>
      </w:r>
    </w:p>
    <w:p>
      <w:pPr>
        <w:numPr>
          <w:ilvl w:val="0"/>
          <w:numId w:val="1002"/>
        </w:numPr>
        <w:pStyle w:val="Compact"/>
      </w:pPr>
      <w:r>
        <w:rPr>
          <w:bCs/>
          <w:b/>
        </w:rPr>
        <w:t xml:space="preserve">Transport Mode:</w:t>
      </w:r>
      <w:r>
        <w:t xml:space="preserve"> </w:t>
      </w:r>
      <w:r>
        <w:t xml:space="preserve">Select Mode (assumed to be Road freight (truck))</w:t>
      </w:r>
    </w:p>
    <w:p>
      <w:pPr>
        <w:numPr>
          <w:ilvl w:val="0"/>
          <w:numId w:val="1002"/>
        </w:numPr>
        <w:pStyle w:val="Compact"/>
      </w:pPr>
      <w:r>
        <w:rPr>
          <w:bCs/>
          <w:b/>
        </w:rPr>
        <w:t xml:space="preserve">Transport Distance:</w:t>
      </w:r>
      <w:r>
        <w:t xml:space="preserve"> </w:t>
      </w:r>
      <w:r>
        <w:t xml:space="preserve">wmuldjrdzg (e.g., 1000 km)</w:t>
      </w:r>
    </w:p>
    <w:p>
      <w:pPr>
        <w:numPr>
          <w:ilvl w:val="0"/>
          <w:numId w:val="1002"/>
        </w:numPr>
        <w:pStyle w:val="Compact"/>
      </w:pPr>
      <w:r>
        <w:rPr>
          <w:bCs/>
          <w:b/>
        </w:rPr>
        <w:t xml:space="preserve">Last-Mile Delivery Channel:</w:t>
      </w:r>
      <w:r>
        <w:t xml:space="preserve"> </w:t>
      </w:r>
      <w:r>
        <w:t xml:space="preserve">Delivery Type (assumed to be Van delivery, contributing to road transport emissions)</w:t>
      </w:r>
    </w:p>
    <w:p>
      <w:pPr>
        <w:numPr>
          <w:ilvl w:val="0"/>
          <w:numId w:val="1002"/>
        </w:numPr>
        <w:pStyle w:val="Compact"/>
      </w:pPr>
      <w:r>
        <w:rPr>
          <w:bCs/>
          <w:b/>
        </w:rPr>
        <w:t xml:space="preserve">Road Freight Emission Factor (Well-to-Wheel, 2020):</w:t>
      </w:r>
      <w:r>
        <w:t xml:space="preserve"> </w:t>
      </w:r>
      <w:r>
        <w:t xml:space="preserve">0.060 kg CO2e/tonne-km (for bulk truck)</w:t>
      </w:r>
    </w:p>
    <w:p>
      <w:pPr>
        <w:numPr>
          <w:ilvl w:val="0"/>
          <w:numId w:val="1002"/>
        </w:numPr>
        <w:pStyle w:val="Compact"/>
      </w:pPr>
      <w:r>
        <w:rPr>
          <w:bCs/>
          <w:b/>
        </w:rPr>
        <w:t xml:space="preserve">Assumed Product Weight for Transport:</w:t>
      </w:r>
      <w:r>
        <w:t xml:space="preserve"> </w:t>
      </w:r>
      <w:r>
        <w:t xml:space="preserve">1.0 kg/unit (including packaging for efficient calculation)</w:t>
      </w:r>
    </w:p>
    <w:bookmarkEnd w:id="30"/>
    <w:bookmarkStart w:id="31" w:name="use-phase-data"/>
    <w:p>
      <w:pPr>
        <w:pStyle w:val="Heading3"/>
      </w:pPr>
      <w:r>
        <w:t xml:space="preserve">2.4 Use Phase Data</w:t>
      </w:r>
    </w:p>
    <w:p>
      <w:pPr>
        <w:pStyle w:val="FirstParagraph"/>
      </w:pPr>
      <w:r>
        <w:t xml:space="preserve">The energy consumption during the product\'s operational life significantly contributes to its PCF.</w:t>
      </w:r>
    </w:p>
    <w:p>
      <w:pPr>
        <w:numPr>
          <w:ilvl w:val="0"/>
          <w:numId w:val="1003"/>
        </w:numPr>
        <w:pStyle w:val="Compact"/>
      </w:pPr>
      <w:r>
        <w:rPr>
          <w:bCs/>
          <w:b/>
        </w:rPr>
        <w:t xml:space="preserve">Product Lifespan:</w:t>
      </w:r>
      <w:r>
        <w:t xml:space="preserve"> </w:t>
      </w:r>
      <w:r>
        <w:t xml:space="preserve">etmoyugiog (e.g., 5 years)</w:t>
      </w:r>
    </w:p>
    <w:p>
      <w:pPr>
        <w:numPr>
          <w:ilvl w:val="0"/>
          <w:numId w:val="1003"/>
        </w:numPr>
        <w:pStyle w:val="Compact"/>
      </w:pPr>
      <w:r>
        <w:rPr>
          <w:bCs/>
          <w:b/>
        </w:rPr>
        <w:t xml:space="preserve">Energy Consumption in Use (kWh/year):</w:t>
      </w:r>
      <w:r>
        <w:t xml:space="preserve"> </w:t>
      </w:r>
      <w:r>
        <w:t xml:space="preserve">urhjesszux (e.g., 20 kWh/year)</w:t>
      </w:r>
    </w:p>
    <w:p>
      <w:pPr>
        <w:numPr>
          <w:ilvl w:val="0"/>
          <w:numId w:val="1003"/>
        </w:numPr>
        <w:pStyle w:val="Compact"/>
      </w:pPr>
      <w:r>
        <w:rPr>
          <w:bCs/>
          <w:b/>
        </w:rPr>
        <w:t xml:space="preserve">Electricity Emission Factor (Use Phase):</w:t>
      </w:r>
      <w:r>
        <w:t xml:space="preserve"> </w:t>
      </w:r>
      <w:r>
        <w:t xml:space="preserve">0.6205 kg CO2e/kWh (assuming the same electricity mix as production for consistency, or a global average where relevant to user location)</w:t>
      </w:r>
    </w:p>
    <w:bookmarkEnd w:id="31"/>
    <w:bookmarkStart w:id="32" w:name="end-of-life-eol-scenarios"/>
    <w:p>
      <w:pPr>
        <w:pStyle w:val="Heading3"/>
      </w:pPr>
      <w:r>
        <w:t xml:space="preserve">2.5 End-of-Life (EoL) Scenarios</w:t>
      </w:r>
    </w:p>
    <w:p>
      <w:pPr>
        <w:pStyle w:val="FirstParagraph"/>
      </w:pPr>
      <w:r>
        <w:t xml:space="preserve">Circular economy principles are incorporated into the EoL assessment.</w:t>
      </w:r>
    </w:p>
    <w:p>
      <w:pPr>
        <w:numPr>
          <w:ilvl w:val="0"/>
          <w:numId w:val="1004"/>
        </w:numPr>
        <w:pStyle w:val="Compact"/>
      </w:pPr>
      <w:r>
        <w:rPr>
          <w:bCs/>
          <w:b/>
        </w:rPr>
        <w:t xml:space="preserve">Recyclability Percentage:</w:t>
      </w:r>
      <w:r>
        <w:t xml:space="preserve"> </w:t>
      </w:r>
      <w:r>
        <w:t xml:space="preserve">phmqzdoues (e.g., 70%)</w:t>
      </w:r>
    </w:p>
    <w:p>
      <w:pPr>
        <w:numPr>
          <w:ilvl w:val="0"/>
          <w:numId w:val="1004"/>
        </w:numPr>
        <w:pStyle w:val="Compact"/>
      </w:pPr>
      <w:r>
        <w:rPr>
          <w:bCs/>
          <w:b/>
        </w:rPr>
        <w:t xml:space="preserve">Circular/Take-back Programs:</w:t>
      </w:r>
      <w:r>
        <w:t xml:space="preserve"> </w:t>
      </w:r>
      <w:r>
        <w:t xml:space="preserve">szwgxeypiw (The existence of such programs is noted, implying a higher likelihood of material recovery).</w:t>
      </w:r>
    </w:p>
    <w:p>
      <w:pPr>
        <w:numPr>
          <w:ilvl w:val="0"/>
          <w:numId w:val="1004"/>
        </w:numPr>
        <w:pStyle w:val="Compact"/>
      </w:pPr>
      <w:r>
        <w:rPr>
          <w:bCs/>
          <w:b/>
        </w:rPr>
        <w:t xml:space="preserve">Landfill Emission Factor (Mixed Waste):</w:t>
      </w:r>
      <w:r>
        <w:t xml:space="preserve"> </w:t>
      </w:r>
      <w:r>
        <w:t xml:space="preserve">0.3 kg CO2e/kg</w:t>
      </w:r>
    </w:p>
    <w:p>
      <w:pPr>
        <w:numPr>
          <w:ilvl w:val="0"/>
          <w:numId w:val="1004"/>
        </w:numPr>
        <w:pStyle w:val="Compact"/>
      </w:pPr>
      <w:r>
        <w:rPr>
          <w:bCs/>
          <w:b/>
        </w:rPr>
        <w:t xml:space="preserve">Plastic Recycling Process Emission Factor (Closed-loop):</w:t>
      </w:r>
      <w:r>
        <w:t xml:space="preserve"> </w:t>
      </w:r>
      <w:r>
        <w:t xml:space="preserve">0.202 kg CO2e/kg</w:t>
      </w:r>
    </w:p>
    <w:p>
      <w:pPr>
        <w:numPr>
          <w:ilvl w:val="0"/>
          <w:numId w:val="1004"/>
        </w:numPr>
        <w:pStyle w:val="Compact"/>
      </w:pPr>
      <w:r>
        <w:rPr>
          <w:bCs/>
          <w:b/>
        </w:rPr>
        <w:t xml:space="preserve">Assumed Product Weight for EoL (excluding packaging):</w:t>
      </w:r>
      <w:r>
        <w:t xml:space="preserve"> </w:t>
      </w:r>
      <w:r>
        <w:t xml:space="preserve">0.85 kg/unit</w:t>
      </w:r>
    </w:p>
    <w:p>
      <w:r>
        <w:pict>
          <v:rect style="width:0;height:1.5pt" o:hralign="center" o:hrstd="t" o:hr="t"/>
        </w:pict>
      </w:r>
    </w:p>
    <w:bookmarkEnd w:id="32"/>
    <w:bookmarkEnd w:id="33"/>
    <w:bookmarkStart w:id="42" w:name="X353db55e3867c673395d9ff843fd52ea0669158"/>
    <w:p>
      <w:pPr>
        <w:pStyle w:val="Heading2"/>
      </w:pPr>
      <w:r>
        <w:t xml:space="preserve">3. Carbon Footprint Calculation (GHG Protocol Scopes)</w:t>
      </w:r>
    </w:p>
    <w:p>
      <w:pPr>
        <w:pStyle w:val="FirstParagraph"/>
      </w:pPr>
      <w:r>
        <w:t xml:space="preserve">The emissions for</w:t>
      </w:r>
      <w:r>
        <w:t xml:space="preserve"> </w:t>
      </w:r>
      <w:r>
        <w:rPr>
          <w:bCs/>
          <w:b/>
        </w:rPr>
        <w:t xml:space="preserve">zjrlmhldmv</w:t>
      </w:r>
      <w:r>
        <w:t xml:space="preserve"> </w:t>
      </w:r>
      <w:r>
        <w:t xml:space="preserve">are categorized and calculated according to the GHG Protocol\'s Scope 1, 2, and 3 classifications.</w:t>
      </w:r>
    </w:p>
    <w:bookmarkStart w:id="34" w:name="scope-1-emissions-direct-emissions"/>
    <w:p>
      <w:pPr>
        <w:pStyle w:val="Heading3"/>
      </w:pPr>
      <w:r>
        <w:t xml:space="preserve">3.1 Scope 1 Emissions (Direct Emissions)</w:t>
      </w:r>
    </w:p>
    <w:p>
      <w:pPr>
        <w:pStyle w:val="FirstParagraph"/>
      </w:pPr>
      <w:r>
        <w:t xml:space="preserve">Scope 1 emissions cover direct GHG emissions from sources owned or controlled by smsyeuldfr. For a product carbon footprint within a \'factory_gate\' system boundary and without specific fuel combustion data for the product\'s manufacturing process, direct operational emissions (e.g., from company vehicles or on-site combustion) directly attributable to the product\'s manufacturing are considered negligible in this PCF. Any such emissions would typically be managed at a corporate level.</w:t>
      </w:r>
    </w:p>
    <w:p>
      <w:pPr>
        <w:numPr>
          <w:ilvl w:val="0"/>
          <w:numId w:val="1005"/>
        </w:numPr>
        <w:pStyle w:val="Compact"/>
      </w:pPr>
      <w:r>
        <w:rPr>
          <w:bCs/>
          <w:b/>
        </w:rPr>
        <w:t xml:space="preserve">Total Scope 1 Emissions:</w:t>
      </w:r>
      <w:r>
        <w:t xml:space="preserve"> </w:t>
      </w:r>
      <w:r>
        <w:t xml:space="preserve">0.00 kg CO2e/unit</w:t>
      </w:r>
      <w:r>
        <w:t xml:space="preserve"> </w:t>
      </w:r>
      <w:r>
        <w:rPr>
          <w:vertAlign w:val="superscript"/>
        </w:rPr>
        <w:t xml:space="preserve">(iii)</w:t>
      </w:r>
    </w:p>
    <w:p>
      <w:pPr>
        <w:pStyle w:val="FirstParagraph"/>
      </w:pPr>
      <w:r>
        <w:rPr>
          <w:vertAlign w:val="superscript"/>
          <w:iCs/>
          <w:i/>
        </w:rPr>
        <w:t xml:space="preserve">(iii)</w:t>
      </w:r>
      <w:r>
        <w:rPr>
          <w:iCs/>
          <w:i/>
        </w:rPr>
        <w:t xml:space="preserve"> </w:t>
      </w:r>
      <w:r>
        <w:rPr>
          <w:iCs/>
          <w:i/>
        </w:rPr>
        <w:t xml:space="preserve">Assumed negligible for direct product-related emissions. Corporate Scope 1 emissions are not within the boundary of this product-level PCF.</w:t>
      </w:r>
    </w:p>
    <w:bookmarkEnd w:id="34"/>
    <w:bookmarkStart w:id="35" w:name="scope-2-emissions-purchased-energy"/>
    <w:p>
      <w:pPr>
        <w:pStyle w:val="Heading3"/>
      </w:pPr>
      <w:r>
        <w:t xml:space="preserve">3.2 Scope 2 Emissions (Purchased Energy)</w:t>
      </w:r>
    </w:p>
    <w:p>
      <w:pPr>
        <w:pStyle w:val="FirstParagraph"/>
      </w:pPr>
      <w:r>
        <w:t xml:space="preserve">Scope 2 emissions account for indirect GHG emissions from the generation of purchased electricity consumed by</w:t>
      </w:r>
      <w:r>
        <w:t xml:space="preserve"> </w:t>
      </w:r>
      <w:r>
        <w:rPr>
          <w:bCs/>
          <w:b/>
        </w:rPr>
        <w:t xml:space="preserve">smsyeuldfr</w:t>
      </w:r>
      <w:r>
        <w:t xml:space="preserve"> </w:t>
      </w:r>
      <w:r>
        <w:t xml:space="preserve">during the manufacturing of</w:t>
      </w:r>
      <w:r>
        <w:t xml:space="preserve"> </w:t>
      </w:r>
      <w:r>
        <w:rPr>
          <w:bCs/>
          <w:b/>
        </w:rPr>
        <w:t xml:space="preserve">zjrlmhldmv</w:t>
      </w:r>
      <w:r>
        <w:t xml:space="preserve">.</w:t>
      </w:r>
    </w:p>
    <w:p>
      <w:pPr>
        <w:numPr>
          <w:ilvl w:val="0"/>
          <w:numId w:val="1006"/>
        </w:numPr>
        <w:pStyle w:val="Compact"/>
      </w:pPr>
      <w:r>
        <w:t xml:space="preserve">Energy Intensity: 10 kWh/unit (`xjfphxiqym`)</w:t>
      </w:r>
    </w:p>
    <w:p>
      <w:pPr>
        <w:numPr>
          <w:ilvl w:val="0"/>
          <w:numId w:val="1006"/>
        </w:numPr>
        <w:pStyle w:val="Compact"/>
      </w:pPr>
      <w:r>
        <w:t xml:space="preserve">Renewable Energy Usage: 50% (`nuxnfyddkl`)</w:t>
      </w:r>
    </w:p>
    <w:p>
      <w:pPr>
        <w:numPr>
          <w:ilvl w:val="0"/>
          <w:numId w:val="1006"/>
        </w:numPr>
        <w:pStyle w:val="Compact"/>
      </w:pPr>
      <w:r>
        <w:t xml:space="preserve">Non-renewable electricity consumption: 10 kWh/unit * (1 - 0.50) = 5 kWh/unit</w:t>
      </w:r>
    </w:p>
    <w:p>
      <w:pPr>
        <w:numPr>
          <w:ilvl w:val="0"/>
          <w:numId w:val="1006"/>
        </w:numPr>
        <w:pStyle w:val="Compact"/>
      </w:pPr>
      <w:r>
        <w:t xml:space="preserve">Electricity Emission Factor (China Grid, 2023): 0.6205 kg CO2e/kWh</w:t>
      </w:r>
    </w:p>
    <w:p>
      <w:pPr>
        <w:numPr>
          <w:ilvl w:val="0"/>
          <w:numId w:val="1006"/>
        </w:numPr>
        <w:pStyle w:val="Compact"/>
      </w:pPr>
      <w:r>
        <w:rPr>
          <w:bCs/>
          <w:b/>
        </w:rPr>
        <w:t xml:space="preserve">Total Scope 2 Emissions:</w:t>
      </w:r>
      <w:r>
        <w:t xml:space="preserve"> </w:t>
      </w:r>
      <w:r>
        <w:t xml:space="preserve">5 kWh/unit * 0.6205 kg CO2e/kWh =</w:t>
      </w:r>
      <w:r>
        <w:t xml:space="preserve"> </w:t>
      </w:r>
      <w:r>
        <w:rPr>
          <w:bCs/>
          <w:b/>
        </w:rPr>
        <w:t xml:space="preserve">3.10 kg CO2e/unit</w:t>
      </w:r>
    </w:p>
    <w:bookmarkEnd w:id="35"/>
    <w:bookmarkStart w:id="40" w:name="scope-3-emissions-value-chain-emissions"/>
    <w:p>
      <w:pPr>
        <w:pStyle w:val="Heading3"/>
      </w:pPr>
      <w:r>
        <w:t xml:space="preserve">3.3 Scope 3 Emissions (Value Chain Emissions)</w:t>
      </w:r>
    </w:p>
    <w:p>
      <w:pPr>
        <w:pStyle w:val="FirstParagraph"/>
      </w:pPr>
      <w:r>
        <w:t xml:space="preserve">Scope 3 emissions are all other indirect emissions that occur in the value chain of</w:t>
      </w:r>
      <w:r>
        <w:t xml:space="preserve"> </w:t>
      </w:r>
      <w:r>
        <w:rPr>
          <w:bCs/>
          <w:b/>
        </w:rPr>
        <w:t xml:space="preserve">smsyeuldfr</w:t>
      </w:r>
      <w:r>
        <w:t xml:space="preserve">, both upstream and downstream.</w:t>
      </w:r>
    </w:p>
    <w:bookmarkStart w:id="36" w:name="Xab9729a0caae076ca89f2f71668734f92723cf2"/>
    <w:p>
      <w:pPr>
        <w:pStyle w:val="Heading4"/>
      </w:pPr>
      <w:r>
        <w:t xml:space="preserve">3.3.1 Category 1: Purchased Goods and Services (Materials)</w:t>
      </w:r>
    </w:p>
    <w:p>
      <w:pPr>
        <w:pStyle w:val="FirstParagraph"/>
      </w:pPr>
      <w:r>
        <w:t xml:space="preserve">Emissions from the extraction, production, and transportation of raw materials and components for</w:t>
      </w:r>
      <w:r>
        <w:t xml:space="preserve"> </w:t>
      </w:r>
      <w:r>
        <w:rPr>
          <w:bCs/>
          <w:b/>
        </w:rPr>
        <w:t xml:space="preserve">zjrlmhldmv</w:t>
      </w:r>
      <w:r>
        <w:t xml:space="preserve">.</w:t>
      </w:r>
    </w:p>
    <w:p>
      <w:pPr>
        <w:numPr>
          <w:ilvl w:val="0"/>
          <w:numId w:val="1007"/>
        </w:numPr>
        <w:pStyle w:val="Compact"/>
      </w:pPr>
      <w:r>
        <w:t xml:space="preserve">Based on the detailed Bill of Materials (BOM) and respective emission factors (see Section 2.1).</w:t>
      </w:r>
    </w:p>
    <w:p>
      <w:pPr>
        <w:numPr>
          <w:ilvl w:val="0"/>
          <w:numId w:val="1007"/>
        </w:numPr>
        <w:pStyle w:val="Compact"/>
      </w:pPr>
      <w:r>
        <w:rPr>
          <w:bCs/>
          <w:b/>
        </w:rPr>
        <w:t xml:space="preserve">Total Material Emissions:</w:t>
      </w:r>
      <w:r>
        <w:t xml:space="preserve"> </w:t>
      </w:r>
      <w:r>
        <w:rPr>
          <w:bCs/>
          <w:b/>
        </w:rPr>
        <w:t xml:space="preserve">8.23 kg CO2e/unit</w:t>
      </w:r>
    </w:p>
    <w:bookmarkEnd w:id="36"/>
    <w:bookmarkStart w:id="37" w:name="X1063efe0ae9ecd31804ff8aea6e356f021701cf"/>
    <w:p>
      <w:pPr>
        <w:pStyle w:val="Heading4"/>
      </w:pPr>
      <w:r>
        <w:t xml:space="preserve">3.3.2 Category 4: Transportation and Distribution (Upstream)</w:t>
      </w:r>
    </w:p>
    <w:p>
      <w:pPr>
        <w:pStyle w:val="FirstParagraph"/>
      </w:pPr>
      <w:r>
        <w:t xml:space="preserve">Emissions from transporting raw materials and components from suppliers to the manufacturing facility.</w:t>
      </w:r>
    </w:p>
    <w:p>
      <w:pPr>
        <w:numPr>
          <w:ilvl w:val="0"/>
          <w:numId w:val="1008"/>
        </w:numPr>
        <w:pStyle w:val="Compact"/>
      </w:pPr>
      <w:r>
        <w:t xml:space="preserve">Product Weight for Transport: 1.0 kg/unit</w:t>
      </w:r>
    </w:p>
    <w:p>
      <w:pPr>
        <w:numPr>
          <w:ilvl w:val="0"/>
          <w:numId w:val="1008"/>
        </w:numPr>
        <w:pStyle w:val="Compact"/>
      </w:pPr>
      <w:r>
        <w:t xml:space="preserve">Transport Distance: 1000 km (`wmuldjrdzg`)</w:t>
      </w:r>
    </w:p>
    <w:p>
      <w:pPr>
        <w:numPr>
          <w:ilvl w:val="0"/>
          <w:numId w:val="1008"/>
        </w:numPr>
        <w:pStyle w:val="Compact"/>
      </w:pPr>
      <w:r>
        <w:t xml:space="preserve">Road Freight Emission Factor: 0.060 kg CO2e/tonne-km</w:t>
      </w:r>
    </w:p>
    <w:p>
      <w:pPr>
        <w:numPr>
          <w:ilvl w:val="0"/>
          <w:numId w:val="1008"/>
        </w:numPr>
        <w:pStyle w:val="Compact"/>
      </w:pPr>
      <w:r>
        <w:t xml:space="preserve">Calculation: 0.001 tonne/unit * 1000 km * 0.060 kg CO2e/tonne-km =</w:t>
      </w:r>
      <w:r>
        <w:t xml:space="preserve"> </w:t>
      </w:r>
      <w:r>
        <w:rPr>
          <w:bCs/>
          <w:b/>
        </w:rPr>
        <w:t xml:space="preserve">0.06 kg CO2e/unit</w:t>
      </w:r>
    </w:p>
    <w:bookmarkEnd w:id="37"/>
    <w:bookmarkStart w:id="38" w:name="category-11-use-of-sold-products"/>
    <w:p>
      <w:pPr>
        <w:pStyle w:val="Heading4"/>
      </w:pPr>
      <w:r>
        <w:t xml:space="preserve">3.3.3 Category 11: Use of Sold Products</w:t>
      </w:r>
    </w:p>
    <w:p>
      <w:pPr>
        <w:pStyle w:val="FirstParagraph"/>
      </w:pPr>
      <w:r>
        <w:t xml:space="preserve">Emissions from the energy consumption of</w:t>
      </w:r>
      <w:r>
        <w:t xml:space="preserve"> </w:t>
      </w:r>
      <w:r>
        <w:rPr>
          <w:bCs/>
          <w:b/>
        </w:rPr>
        <w:t xml:space="preserve">zjrlmhldmv</w:t>
      </w:r>
      <w:r>
        <w:t xml:space="preserve"> </w:t>
      </w:r>
      <w:r>
        <w:t xml:space="preserve">during its operational lifespan.</w:t>
      </w:r>
    </w:p>
    <w:p>
      <w:pPr>
        <w:numPr>
          <w:ilvl w:val="0"/>
          <w:numId w:val="1009"/>
        </w:numPr>
        <w:pStyle w:val="Compact"/>
      </w:pPr>
      <w:r>
        <w:t xml:space="preserve">Product Lifespan: 5 years (`etmoyugiog`)</w:t>
      </w:r>
    </w:p>
    <w:p>
      <w:pPr>
        <w:numPr>
          <w:ilvl w:val="0"/>
          <w:numId w:val="1009"/>
        </w:numPr>
        <w:pStyle w:val="Compact"/>
      </w:pPr>
      <w:r>
        <w:t xml:space="preserve">Energy Consumption in Use: 20 kWh/year (`urhjesszux`)</w:t>
      </w:r>
    </w:p>
    <w:p>
      <w:pPr>
        <w:numPr>
          <w:ilvl w:val="0"/>
          <w:numId w:val="1009"/>
        </w:numPr>
        <w:pStyle w:val="Compact"/>
      </w:pPr>
      <w:r>
        <w:t xml:space="preserve">Total energy consumed over lifespan: 5 years * 20 kWh/year = 100 kWh/unit</w:t>
      </w:r>
    </w:p>
    <w:p>
      <w:pPr>
        <w:numPr>
          <w:ilvl w:val="0"/>
          <w:numId w:val="1009"/>
        </w:numPr>
        <w:pStyle w:val="Compact"/>
      </w:pPr>
      <w:r>
        <w:t xml:space="preserve">Electricity Emission Factor (China Grid, 2023): 0.6205 kg CO2e/kWh</w:t>
      </w:r>
    </w:p>
    <w:p>
      <w:pPr>
        <w:numPr>
          <w:ilvl w:val="0"/>
          <w:numId w:val="1009"/>
        </w:numPr>
        <w:pStyle w:val="Compact"/>
      </w:pPr>
      <w:r>
        <w:t xml:space="preserve">Calculation: 100 kWh/unit * 0.6205 kg CO2e/kWh =</w:t>
      </w:r>
      <w:r>
        <w:t xml:space="preserve"> </w:t>
      </w:r>
      <w:r>
        <w:rPr>
          <w:bCs/>
          <w:b/>
        </w:rPr>
        <w:t xml:space="preserve">62.05 kg CO2e/unit</w:t>
      </w:r>
    </w:p>
    <w:bookmarkEnd w:id="38"/>
    <w:bookmarkStart w:id="39" w:name="X9f66eef2700632e081dfe139021cb724ffcd2c5"/>
    <w:p>
      <w:pPr>
        <w:pStyle w:val="Heading4"/>
      </w:pPr>
      <w:r>
        <w:t xml:space="preserve">3.3.4 Category 12: End-of-Life Treatment of Sold Products</w:t>
      </w:r>
    </w:p>
    <w:p>
      <w:pPr>
        <w:pStyle w:val="FirstParagraph"/>
      </w:pPr>
      <w:r>
        <w:t xml:space="preserve">Emissions associated with the disposal and treatment of</w:t>
      </w:r>
      <w:r>
        <w:t xml:space="preserve"> </w:t>
      </w:r>
      <w:r>
        <w:rPr>
          <w:bCs/>
          <w:b/>
        </w:rPr>
        <w:t xml:space="preserve">zjrlmhldmv</w:t>
      </w:r>
      <w:r>
        <w:t xml:space="preserve"> </w:t>
      </w:r>
      <w:r>
        <w:t xml:space="preserve">at the end of its life.</w:t>
      </w:r>
    </w:p>
    <w:p>
      <w:pPr>
        <w:numPr>
          <w:ilvl w:val="0"/>
          <w:numId w:val="1010"/>
        </w:numPr>
        <w:pStyle w:val="Compact"/>
      </w:pPr>
      <w:r>
        <w:t xml:space="preserve">Assumed Product Weight for EoL: 0.85 kg/unit</w:t>
      </w:r>
    </w:p>
    <w:p>
      <w:pPr>
        <w:numPr>
          <w:ilvl w:val="0"/>
          <w:numId w:val="1010"/>
        </w:numPr>
        <w:pStyle w:val="Compact"/>
      </w:pPr>
      <w:r>
        <w:t xml:space="preserve">Recyclability Percentage: 70% (`phmqzdoues`)</w:t>
      </w:r>
    </w:p>
    <w:p>
      <w:pPr>
        <w:numPr>
          <w:ilvl w:val="0"/>
          <w:numId w:val="1010"/>
        </w:numPr>
        <w:pStyle w:val="Compact"/>
      </w:pPr>
      <w:r>
        <w:t xml:space="preserve">Non-recyclable portion: 0.85 kg * (1 - 0.70) = 0.255 kg</w:t>
      </w:r>
    </w:p>
    <w:p>
      <w:pPr>
        <w:numPr>
          <w:ilvl w:val="0"/>
          <w:numId w:val="1010"/>
        </w:numPr>
        <w:pStyle w:val="Compact"/>
      </w:pPr>
      <w:r>
        <w:t xml:space="preserve">Recyclable portion: 0.85 kg * 0.70 = 0.595 kg</w:t>
      </w:r>
    </w:p>
    <w:p>
      <w:pPr>
        <w:numPr>
          <w:ilvl w:val="0"/>
          <w:numId w:val="1010"/>
        </w:numPr>
        <w:pStyle w:val="Compact"/>
      </w:pPr>
      <w:r>
        <w:t xml:space="preserve">Landfill Emission Factor: 0.3 kg CO2e/kg</w:t>
      </w:r>
    </w:p>
    <w:p>
      <w:pPr>
        <w:numPr>
          <w:ilvl w:val="0"/>
          <w:numId w:val="1010"/>
        </w:numPr>
        <w:pStyle w:val="Compact"/>
      </w:pPr>
      <w:r>
        <w:t xml:space="preserve">Recycling Process Emission Factor: 0.202 kg CO2e/kg (for the energy consumed in the recycling process itself)</w:t>
      </w:r>
    </w:p>
    <w:p>
      <w:pPr>
        <w:numPr>
          <w:ilvl w:val="0"/>
          <w:numId w:val="1010"/>
        </w:numPr>
        <w:pStyle w:val="Compact"/>
      </w:pPr>
      <w:r>
        <w:t xml:space="preserve">Emissions from Landfill: 0.255 kg * 0.3 kg CO2e/kg = 0.0765 kg CO2e</w:t>
      </w:r>
    </w:p>
    <w:p>
      <w:pPr>
        <w:numPr>
          <w:ilvl w:val="0"/>
          <w:numId w:val="1010"/>
        </w:numPr>
        <w:pStyle w:val="Compact"/>
      </w:pPr>
      <w:r>
        <w:t xml:space="preserve">Emissions from Recycling Process: 0.595 kg * 0.202 kg CO2e/kg = 0.1202 kg CO2e</w:t>
      </w:r>
    </w:p>
    <w:p>
      <w:pPr>
        <w:numPr>
          <w:ilvl w:val="0"/>
          <w:numId w:val="1010"/>
        </w:numPr>
        <w:pStyle w:val="Compact"/>
      </w:pPr>
      <w:r>
        <w:rPr>
          <w:bCs/>
          <w:b/>
        </w:rPr>
        <w:t xml:space="preserve">Total EoL Emissions:</w:t>
      </w:r>
      <w:r>
        <w:t xml:space="preserve"> </w:t>
      </w:r>
      <w:r>
        <w:t xml:space="preserve">0.0765 kg CO2e + 0.1202 kg CO2e =</w:t>
      </w:r>
      <w:r>
        <w:t xml:space="preserve"> </w:t>
      </w:r>
      <w:r>
        <w:rPr>
          <w:bCs/>
          <w:b/>
        </w:rPr>
        <w:t xml:space="preserve">0.20 kg CO2e/unit</w:t>
      </w:r>
    </w:p>
    <w:bookmarkEnd w:id="39"/>
    <w:bookmarkEnd w:id="40"/>
    <w:bookmarkStart w:id="41" w:name="total-product-carbon-footprint"/>
    <w:p>
      <w:pPr>
        <w:pStyle w:val="Heading3"/>
      </w:pPr>
      <w:r>
        <w:t xml:space="preserve">3.4 Total Product Carbon Footprint</w:t>
      </w:r>
    </w:p>
    <w:p>
      <w:pPr>
        <w:pStyle w:val="FirstParagraph"/>
      </w:pPr>
      <w:r>
        <w:t xml:space="preserve">The aggregated Product Carbon Footprint for one functional unit of</w:t>
      </w:r>
      <w:r>
        <w:t xml:space="preserve"> </w:t>
      </w:r>
      <w:r>
        <w:rPr>
          <w:bCs/>
          <w:b/>
        </w:rPr>
        <w:t xml:space="preserve">zjrlmhldmv</w:t>
      </w:r>
      <w:r>
        <w:t xml:space="preserve"> </w:t>
      </w:r>
      <w:r>
        <w:t xml:space="preserve">is as follows: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Emissions (kg CO2e/unit)</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Electricity for Production)</w:t>
            </w:r>
          </w:p>
        </w:tc>
        <w:tc>
          <w:tcPr/>
          <w:p>
            <w:pPr>
              <w:pStyle w:val="Compact"/>
              <w:jc w:val="left"/>
            </w:pPr>
            <w:r>
              <w:t xml:space="preserve">3.10</w:t>
            </w:r>
          </w:p>
        </w:tc>
      </w:tr>
      <w:tr>
        <w:tc>
          <w:tcPr>
            <w:gridSpan w:val="2"/>
          </w:tcPr>
          <w:p>
            <w:pPr>
              <w:pStyle w:val="Compact"/>
              <w:jc w:val="left"/>
            </w:pPr>
            <w:r>
              <w:t xml:space="preserve">Scope 3 (Value Chain Emissions)</w:t>
            </w:r>
          </w:p>
        </w:tc>
      </w:tr>
      <w:tr>
        <w:tc>
          <w:tcPr/>
          <w:p>
            <w:pPr>
              <w:pStyle w:val="Compact"/>
              <w:jc w:val="left"/>
            </w:pPr>
            <w:r>
              <w:t xml:space="preserve">    Category 1: Purchased Goods and Services (Materials)</w:t>
            </w:r>
          </w:p>
        </w:tc>
        <w:tc>
          <w:tcPr/>
          <w:p>
            <w:pPr>
              <w:pStyle w:val="Compact"/>
              <w:jc w:val="left"/>
            </w:pPr>
            <w:r>
              <w:t xml:space="preserve">8.23</w:t>
            </w:r>
          </w:p>
        </w:tc>
      </w:tr>
      <w:tr>
        <w:tc>
          <w:tcPr/>
          <w:p>
            <w:pPr>
              <w:pStyle w:val="Compact"/>
              <w:jc w:val="left"/>
            </w:pPr>
            <w:r>
              <w:t xml:space="preserve">    Category 4: Transportation and Distribution (Upstream)</w:t>
            </w:r>
          </w:p>
        </w:tc>
        <w:tc>
          <w:tcPr/>
          <w:p>
            <w:pPr>
              <w:pStyle w:val="Compact"/>
              <w:jc w:val="left"/>
            </w:pPr>
            <w:r>
              <w:t xml:space="preserve">0.06</w:t>
            </w:r>
          </w:p>
        </w:tc>
      </w:tr>
      <w:tr>
        <w:tc>
          <w:tcPr/>
          <w:p>
            <w:pPr>
              <w:pStyle w:val="Compact"/>
              <w:jc w:val="left"/>
            </w:pPr>
            <w:r>
              <w:t xml:space="preserve">    Category 11: Use of Sold Products</w:t>
            </w:r>
          </w:p>
        </w:tc>
        <w:tc>
          <w:tcPr/>
          <w:p>
            <w:pPr>
              <w:pStyle w:val="Compact"/>
              <w:jc w:val="left"/>
            </w:pPr>
            <w:r>
              <w:t xml:space="preserve">62.05</w:t>
            </w:r>
          </w:p>
        </w:tc>
      </w:tr>
      <w:tr>
        <w:tc>
          <w:tcPr/>
          <w:p>
            <w:pPr>
              <w:pStyle w:val="Compact"/>
              <w:jc w:val="left"/>
            </w:pPr>
            <w:r>
              <w:t xml:space="preserve">    Category 12: End-of-Life Treatment of Sold Products</w:t>
            </w:r>
          </w:p>
        </w:tc>
        <w:tc>
          <w:tcPr/>
          <w:p>
            <w:pPr>
              <w:pStyle w:val="Compact"/>
              <w:jc w:val="left"/>
            </w:pPr>
            <w:r>
              <w:t xml:space="preserve">0.20</w:t>
            </w:r>
          </w:p>
        </w:tc>
      </w:tr>
      <w:tr>
        <w:tc>
          <w:tcPr/>
          <w:p>
            <w:pPr>
              <w:pStyle w:val="Compact"/>
              <w:jc w:val="left"/>
            </w:pPr>
            <w:r>
              <w:t xml:space="preserve">TOTAL PRODUCT CARBON FOOTPRINT</w:t>
            </w:r>
          </w:p>
        </w:tc>
        <w:tc>
          <w:tcPr/>
          <w:p>
            <w:pPr>
              <w:pStyle w:val="Compact"/>
              <w:jc w:val="left"/>
            </w:pPr>
            <w:r>
              <w:rPr>
                <w:bCs/>
                <w:b/>
              </w:rPr>
              <w:t xml:space="preserve">73.63 kg CO2e/unit</w:t>
            </w:r>
          </w:p>
        </w:tc>
      </w:tr>
    </w:tbl>
    <w:p>
      <w:r>
        <w:pict>
          <v:rect style="width:0;height:1.5pt" o:hralign="center" o:hrstd="t" o:hr="t"/>
        </w:pict>
      </w:r>
    </w:p>
    <w:bookmarkEnd w:id="41"/>
    <w:bookmarkEnd w:id="42"/>
    <w:bookmarkStart w:id="47" w:name="Xdc30495d89d7b8937b43191367d548c834756ed"/>
    <w:p>
      <w:pPr>
        <w:pStyle w:val="Heading2"/>
      </w:pPr>
      <w:r>
        <w:t xml:space="preserve">4. Review and Reporting: Hotspots and Reliability</w:t>
      </w:r>
    </w:p>
    <w:bookmarkStart w:id="43" w:name="carbon-hotspots"/>
    <w:p>
      <w:pPr>
        <w:pStyle w:val="Heading3"/>
      </w:pPr>
      <w:r>
        <w:t xml:space="preserve">4.1 Carbon Hotspots</w:t>
      </w:r>
    </w:p>
    <w:p>
      <w:pPr>
        <w:pStyle w:val="FirstParagraph"/>
      </w:pPr>
      <w:r>
        <w:t xml:space="preserve">The analysis reveals the following carbon hotspots for</w:t>
      </w:r>
      <w:r>
        <w:t xml:space="preserve"> </w:t>
      </w:r>
      <w:r>
        <w:rPr>
          <w:bCs/>
          <w:b/>
        </w:rPr>
        <w:t xml:space="preserve">zjrlmhldmv</w:t>
      </w:r>
      <w:r>
        <w:t xml:space="preserve">:</w:t>
      </w:r>
    </w:p>
    <w:p>
      <w:pPr>
        <w:numPr>
          <w:ilvl w:val="0"/>
          <w:numId w:val="1011"/>
        </w:numPr>
        <w:pStyle w:val="Compact"/>
      </w:pPr>
      <w:r>
        <w:rPr>
          <w:bCs/>
          <w:b/>
        </w:rPr>
        <w:t xml:space="preserve">Use Phase (62.05 kg CO2e):</w:t>
      </w:r>
      <w:r>
        <w:t xml:space="preserve"> </w:t>
      </w:r>
      <w:r>
        <w:t xml:space="preserve">This is by far the largest contributor to the product\'s PCF, primarily due to the energy consumption over its 5-year lifespan. This highlights the critical importance of energy efficiency during product use and the decarbonization of electricity grids.</w:t>
      </w:r>
    </w:p>
    <w:p>
      <w:pPr>
        <w:numPr>
          <w:ilvl w:val="0"/>
          <w:numId w:val="1011"/>
        </w:numPr>
        <w:pStyle w:val="Compact"/>
      </w:pPr>
      <w:r>
        <w:rPr>
          <w:bCs/>
          <w:b/>
        </w:rPr>
        <w:t xml:space="preserve">Purchased Goods and Services (Materials) (8.23 kg CO2e):</w:t>
      </w:r>
      <w:r>
        <w:t xml:space="preserve"> </w:t>
      </w:r>
      <w:r>
        <w:t xml:space="preserve">The raw materials, particularly aluminum and electronic components, contribute significantly, indicating opportunities for using recycled content or lower-carbon alternatives.</w:t>
      </w:r>
    </w:p>
    <w:p>
      <w:pPr>
        <w:numPr>
          <w:ilvl w:val="0"/>
          <w:numId w:val="1011"/>
        </w:numPr>
        <w:pStyle w:val="Compact"/>
      </w:pPr>
      <w:r>
        <w:rPr>
          <w:bCs/>
          <w:b/>
        </w:rPr>
        <w:t xml:space="preserve">Purchased Electricity for Production (3.10 kg CO2e):</w:t>
      </w:r>
      <w:r>
        <w:t xml:space="preserve"> </w:t>
      </w:r>
      <w:r>
        <w:t xml:space="preserve">While lower than the use phase, this still represents a notable portion, and increasing renewable energy usage (beyond the current 50% `nuxnfyddkl`) at the manufacturing facility would further reduce this impact.</w:t>
      </w:r>
    </w:p>
    <w:bookmarkEnd w:id="43"/>
    <w:bookmarkStart w:id="44" w:name="data-reliability-and-limitations"/>
    <w:p>
      <w:pPr>
        <w:pStyle w:val="Heading3"/>
      </w:pPr>
      <w:r>
        <w:t xml:space="preserve">4.2 Data Reliability and Limitations</w:t>
      </w:r>
    </w:p>
    <w:p>
      <w:pPr>
        <w:pStyle w:val="FirstParagraph"/>
      </w:pPr>
      <w:r>
        <w:t xml:space="preserve">This report relies on a combination of user-provided parameters and industry-average emission factors. The accuracy of the PCF is directly dependent on the quality and specificity of the input data. Where specific primary data (e.g., exact material composition of `nunvyryp`, precise transport routes, or factory-specific energy mix) was not available, illustrative values and widely accepted secondary emission factors (e.g., from Climatiq, OpenCO2.net, EPA, GLEC) were used. Therefore, while the methodology is robust, the numerical results presented are illustrative and should be refined with more granular, primary data from</w:t>
      </w:r>
      <w:r>
        <w:t xml:space="preserve"> </w:t>
      </w:r>
      <w:r>
        <w:rPr>
          <w:bCs/>
          <w:b/>
        </w:rPr>
        <w:t xml:space="preserve">smsyeuldfr</w:t>
      </w:r>
      <w:r>
        <w:t xml:space="preserve"> </w:t>
      </w:r>
      <w:r>
        <w:t xml:space="preserve">where possible.</w:t>
      </w:r>
    </w:p>
    <w:bookmarkEnd w:id="44"/>
    <w:bookmarkStart w:id="45" w:name="lsr-standard-application"/>
    <w:p>
      <w:pPr>
        <w:pStyle w:val="Heading3"/>
      </w:pPr>
      <w:r>
        <w:t xml:space="preserve">4.3 2026 LSR Standard Application</w:t>
      </w:r>
    </w:p>
    <w:p>
      <w:pPr>
        <w:pStyle w:val="FirstParagraph"/>
      </w:pPr>
      <w:r>
        <w:t xml:space="preserve">The 2026 Land Sector and Removals (LSR) Standard aims to provide comprehensive guidance for accounting for GHG emissions and removals from land use, land-use change, and forestry. For this product-level PCF of</w:t>
      </w:r>
      <w:r>
        <w:t xml:space="preserve"> </w:t>
      </w:r>
      <w:r>
        <w:rPr>
          <w:bCs/>
          <w:b/>
        </w:rPr>
        <w:t xml:space="preserve">zjrlmhldmv</w:t>
      </w:r>
      <w:r>
        <w:t xml:space="preserve">, direct land-use change emissions or significant carbon removals were not explicitly quantified due to the product\'s nature and the level of data available. However, for companies with agricultural, forestry, or land-intensive operations in their supply chain, the LSR Standard would be crucial for a complete assessment of their corporate and product footprints. Future iterations of this PCF could incorporate land-use impacts of specific raw materials if such data becomes available from suppliers.</w:t>
      </w:r>
    </w:p>
    <w:bookmarkEnd w:id="45"/>
    <w:bookmarkStart w:id="46" w:name="scope-3-compliance"/>
    <w:p>
      <w:pPr>
        <w:pStyle w:val="Heading3"/>
      </w:pPr>
      <w:r>
        <w:t xml:space="preserve">4.4 Scope 3 Compliance</w:t>
      </w:r>
    </w:p>
    <w:p>
      <w:pPr>
        <w:pStyle w:val="FirstParagraph"/>
      </w:pPr>
      <w:r>
        <w:t xml:space="preserve">As per 2026 requirements, this analysis aimed to ensure at least 95% coverage for Scope 3 reporting. By including emissions from purchased goods and services (materials), upstream transportation, the use phase, and end-of-life treatment, this PCF covers the most significant categories of value chain emissions for</w:t>
      </w:r>
      <w:r>
        <w:t xml:space="preserve"> </w:t>
      </w:r>
      <w:r>
        <w:rPr>
          <w:bCs/>
          <w:b/>
        </w:rPr>
        <w:t xml:space="preserve">zjrlmhldmv</w:t>
      </w:r>
      <w:r>
        <w:t xml:space="preserve">. These categories typically represent the majority of a product\'s lifecycle emissions. Continuous engagement with suppliers and downstream partners will be essential to improve the accuracy and completeness of Scope 3 data over time.</w:t>
      </w:r>
    </w:p>
    <w:p>
      <w:r>
        <w:pict>
          <v:rect style="width:0;height:1.5pt" o:hralign="center" o:hrstd="t" o:hr="t"/>
        </w:pict>
      </w:r>
    </w:p>
    <w:bookmarkEnd w:id="46"/>
    <w:bookmarkEnd w:id="47"/>
    <w:bookmarkStart w:id="48" w:name="recommendations-for-emission-reduction"/>
    <w:p>
      <w:pPr>
        <w:pStyle w:val="Heading2"/>
      </w:pPr>
      <w:r>
        <w:t xml:space="preserve">5. Recommendations for Emission Reduction</w:t>
      </w:r>
    </w:p>
    <w:p>
      <w:pPr>
        <w:pStyle w:val="FirstParagraph"/>
      </w:pPr>
      <w:r>
        <w:t xml:space="preserve">Based on this PCF analysis,</w:t>
      </w:r>
      <w:r>
        <w:t xml:space="preserve"> </w:t>
      </w:r>
      <w:r>
        <w:rPr>
          <w:bCs/>
          <w:b/>
        </w:rPr>
        <w:t xml:space="preserve">smsyeuldfr</w:t>
      </w:r>
      <w:r>
        <w:t xml:space="preserve"> </w:t>
      </w:r>
      <w:r>
        <w:t xml:space="preserve">can focus on the following key areas to reduce the carbon footprint of</w:t>
      </w:r>
      <w:r>
        <w:t xml:space="preserve"> </w:t>
      </w:r>
      <w:r>
        <w:rPr>
          <w:bCs/>
          <w:b/>
        </w:rPr>
        <w:t xml:space="preserve">zjrlmhldmv</w:t>
      </w:r>
      <w:r>
        <w:t xml:space="preserve">:</w:t>
      </w:r>
    </w:p>
    <w:p>
      <w:pPr>
        <w:numPr>
          <w:ilvl w:val="0"/>
          <w:numId w:val="1012"/>
        </w:numPr>
        <w:pStyle w:val="Compact"/>
      </w:pPr>
      <w:r>
        <w:rPr>
          <w:bCs/>
          <w:b/>
        </w:rPr>
        <w:t xml:space="preserve">Optimize Use Phase Energy Efficiency:</w:t>
      </w:r>
      <w:r>
        <w:t xml:space="preserve"> </w:t>
      </w:r>
      <w:r>
        <w:t xml:space="preserve">Implement design changes to significantly reduce the product\'s energy consumption during its lifespan (`urhjesszux`). This could involve more efficient components, smart energy management features, or longer product durability (`etmoyugiog`).</w:t>
      </w:r>
    </w:p>
    <w:p>
      <w:pPr>
        <w:numPr>
          <w:ilvl w:val="0"/>
          <w:numId w:val="1012"/>
        </w:numPr>
        <w:pStyle w:val="Compact"/>
      </w:pPr>
      <w:r>
        <w:rPr>
          <w:bCs/>
          <w:b/>
        </w:rPr>
        <w:t xml:space="preserve">Decarbonize Electricity:</w:t>
      </w:r>
      <w:r>
        <w:t xml:space="preserve"> </w:t>
      </w:r>
      <w:r>
        <w:t xml:space="preserve">Actively pursue 100% renewable energy procurement for manufacturing operations (`nuxnfyddkl`), potentially through Power Purchase Agreements (PPAs) or on-site renewable energy generation. Advocate for grid decarbonization in China and other relevant regions.</w:t>
      </w:r>
    </w:p>
    <w:p>
      <w:pPr>
        <w:numPr>
          <w:ilvl w:val="0"/>
          <w:numId w:val="1012"/>
        </w:numPr>
        <w:pStyle w:val="Compact"/>
      </w:pPr>
      <w:r>
        <w:rPr>
          <w:bCs/>
          <w:b/>
        </w:rPr>
        <w:t xml:space="preserve">Sustainable Material Sourcing:</w:t>
      </w:r>
      <w:r>
        <w:t xml:space="preserve"> </w:t>
      </w:r>
      <w:r>
        <w:t xml:space="preserve">Explore alternative materials with lower embodied carbon, increase the use of recycled content, or engage with suppliers to improve their manufacturing processes\' energy efficiency and material sourcing practices for components in `nunvyryp`.</w:t>
      </w:r>
    </w:p>
    <w:p>
      <w:pPr>
        <w:numPr>
          <w:ilvl w:val="0"/>
          <w:numId w:val="1012"/>
        </w:numPr>
        <w:pStyle w:val="Compact"/>
      </w:pPr>
      <w:r>
        <w:rPr>
          <w:bCs/>
          <w:b/>
        </w:rPr>
        <w:t xml:space="preserve">Enhance Circularity:</w:t>
      </w:r>
      <w:r>
        <w:t xml:space="preserve"> </w:t>
      </w:r>
      <w:r>
        <w:t xml:space="preserve">Further develop and promote take-back programs (`szwgxeypiw`) to ensure higher collection and effective recycling rates (`phmqzdoues`). Invest in technologies that improve the efficiency and reduce the emissions of recycling processes.</w:t>
      </w:r>
    </w:p>
    <w:p>
      <w:pPr>
        <w:numPr>
          <w:ilvl w:val="0"/>
          <w:numId w:val="1012"/>
        </w:numPr>
        <w:pStyle w:val="Compact"/>
      </w:pPr>
      <w:r>
        <w:rPr>
          <w:bCs/>
          <w:b/>
        </w:rPr>
        <w:t xml:space="preserve">Supply Chain Optimization:</w:t>
      </w:r>
      <w:r>
        <w:t xml:space="preserve"> </w:t>
      </w:r>
      <w:r>
        <w:t xml:space="preserve">Investigate opportunities to optimize transport modes and distances (`wmuldjrdzg`) for raw materials and finished products, prioritizing lower-emission options like rail or sea freight where feasible.</w: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zjrlmhldmv</dc:title>
  <dc:creator/>
  <dc:description>High-detail Product Carbon Footprint (PCF) analysis report for zjrlmhldmv, prepared by preomqlgmu for smsyeuldfr, adhering to GHG Protocol and 2026 LSR standards.</dc:description>
  <dc:language>en</dc:language>
  <cp:keywords/>
  <dcterms:created xsi:type="dcterms:W3CDTF">2026-07-15T06:32:04Z</dcterms:created>
  <dcterms:modified xsi:type="dcterms:W3CDTF">2026-07-15T06:32:04Z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