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zjozuilwlz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zjozuilwlz</w:t>
      </w:r>
    </w:p>
    <w:p>
      <w:pPr>
        <w:pStyle w:val="BodyText"/>
      </w:pPr>
      <w:r>
        <w:t xml:space="preserve">**Company:** yqkgzrxhiq</w:t>
      </w:r>
    </w:p>
    <w:p>
      <w:pPr>
        <w:pStyle w:val="BodyText"/>
      </w:pPr>
      <w:r>
        <w:t xml:space="preserve">**Accounting Standard:** GHG Protocol</w:t>
      </w:r>
    </w:p>
    <w:p>
      <w:pPr>
        <w:pStyle w:val="BodyText"/>
      </w:pPr>
      <w:r>
        <w:t xml:space="preserve">**Senior Sustainability Consultant:** ijugdeotxh</w:t>
      </w:r>
    </w:p>
    <w:p>
      <w:pPr>
        <w:pStyle w:val="BodyText"/>
      </w:pPr>
      <w:r>
        <w:rPr>
          <w:iCs/>
          <w:i/>
        </w:rPr>
        <w:t xml:space="preserve">This report is generated based on available data and industry standards for illustrative purposes. Specific data points, where placeholders were provided, have been interpreted using reasonable industry averages and assumptions as noted in the methodology.</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zjozuilwlz</w:t>
      </w:r>
    </w:p>
    <w:p>
      <w:pPr>
        <w:pStyle w:val="BodyText"/>
      </w:pPr>
      <w:r>
        <w:rPr>
          <w:bCs/>
          <w:b/>
        </w:rPr>
        <w:t xml:space="preserve">Company:</w:t>
      </w:r>
      <w:r>
        <w:t xml:space="preserve"> </w:t>
      </w:r>
      <w:r>
        <w:t xml:space="preserve">yqkgzrxhiq</w:t>
      </w:r>
    </w:p>
    <w:p>
      <w:pPr>
        <w:pStyle w:val="BodyText"/>
      </w:pPr>
      <w:r>
        <w:rPr>
          <w:bCs/>
          <w:b/>
        </w:rPr>
        <w:t xml:space="preserve">Senior Sustainability Consultant:</w:t>
      </w:r>
      <w:r>
        <w:t xml:space="preserve"> </w:t>
      </w:r>
      <w:r>
        <w:t xml:space="preserve">ijugdeotxh</w:t>
      </w:r>
    </w:p>
    <w:p>
      <w:pPr>
        <w:pStyle w:val="BodyText"/>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zjozuilwlz manufactured by yqkgzrxhiq. Conducted by ijugdeotxh, Senior Sustainability Consultant, and adhering strictly to the GHG Protocol (including the 2026 Land Sector and Removals Standard update), this analysis provides a comprehensive assessment of greenhouse gas (GHG) emissions across the product\'s lifecycle. The aim is to identify key emission hotspots, inform sustainable design choices, and support yqkgzrxhiq\'s commitment to environmental stewardship. The analysis covers material acquisition, manufacturing, transport, use, and end-of-life phases, with a focus on Scope 3 compliance, ensuring at least 95% coverage for value chain emissions as per 2026 requirements.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zjozuilwlz follows the five-step methodology outlined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processes and stages within the product\'s life cycle.</w:t>
      </w:r>
    </w:p>
    <w:p>
      <w:pPr>
        <w:numPr>
          <w:ilvl w:val="0"/>
          <w:numId w:val="1001"/>
        </w:numPr>
        <w:pStyle w:val="Compact"/>
      </w:pPr>
      <w:r>
        <w:rPr>
          <w:bCs/>
          <w:b/>
        </w:rPr>
        <w:t xml:space="preserve">Collect Data (Primary/Secondary Data Points):</w:t>
      </w:r>
      <w:r>
        <w:t xml:space="preserve"> </w:t>
      </w:r>
      <w:r>
        <w:t xml:space="preserve">Gather quantitative data for all inputs and outputs within the defined system boundaries.</w:t>
      </w:r>
    </w:p>
    <w:p>
      <w:pPr>
        <w:numPr>
          <w:ilvl w:val="0"/>
          <w:numId w:val="1001"/>
        </w:numPr>
        <w:pStyle w:val="Compact"/>
      </w:pPr>
      <w:r>
        <w:rPr>
          <w:bCs/>
          <w:b/>
        </w:rPr>
        <w:t xml:space="preserve">Calculate Emissions (Activity * Emission Factor = CO2e):</w:t>
      </w:r>
      <w:r>
        <w:t xml:space="preserve"> </w:t>
      </w:r>
      <w:r>
        <w:t xml:space="preserve">Compute GHG emissions for each life cycle stage using appropriate emission factors. Categorize emissions into Scope 1, 2, and 3 in accordance with the GHG Protocol. Apply the 2026 Land Sector and Removals (LSR) Standard for land use and carbon removals, and ensure at least 95% coverage for Scope 3 reporting.</w:t>
      </w:r>
    </w:p>
    <w:p>
      <w:pPr>
        <w:numPr>
          <w:ilvl w:val="0"/>
          <w:numId w:val="1001"/>
        </w:numPr>
        <w:pStyle w:val="Compact"/>
      </w:pPr>
      <w:r>
        <w:rPr>
          <w:bCs/>
          <w:b/>
        </w:rPr>
        <w:t xml:space="preserve">Review &amp; Report:</w:t>
      </w:r>
      <w:r>
        <w:t xml:space="preserve"> </w:t>
      </w:r>
      <w:r>
        <w:t xml:space="preserve">Analyze results, identify hotspots, assess data reliability, and compile a comprehensive report.</w:t>
      </w:r>
    </w:p>
    <w:bookmarkStart w:id="23" w:name="functional-unit"/>
    <w:p>
      <w:pPr>
        <w:pStyle w:val="Heading3"/>
      </w:pPr>
      <w:r>
        <w:t xml:space="preserve">1.1. Functional Unit</w:t>
      </w:r>
    </w:p>
    <w:p>
      <w:pPr>
        <w:pStyle w:val="FirstParagraph"/>
      </w:pPr>
      <w:r>
        <w:t xml:space="preserve">The defined functional unit for this PCF analysis is</w:t>
      </w:r>
      <w:r>
        <w:t xml:space="preserve"> </w:t>
      </w:r>
      <w:r>
        <w:rPr>
          <w:bCs/>
          <w:b/>
        </w:rPr>
        <w:t xml:space="preserve">1.0 unit of zjozuilwlz</w:t>
      </w:r>
      <w:r>
        <w:t xml:space="preserve">. This serves as the reference basis for all quantitative data and impact calculations, ensuring comparability and consistency.</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This implies a cradle-to-gate assessment, encompassing raw material extraction, material processing, and manufacturing up to the point where the finished product leaves the factory. However, per the requirements, downstream stages (Transport, Use, and End-of-Life) are also included in the calculation for a more comprehensive lifecycle perspective, aligning with Scope 3 reporting.</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Product Carbon Footprint analysis adheres to the</w:t>
      </w:r>
      <w:r>
        <w:t xml:space="preserve"> </w:t>
      </w:r>
      <w:r>
        <w:rPr>
          <w:bCs/>
          <w:b/>
        </w:rPr>
        <w:t xml:space="preserve">GHG Protocol Product Standard</w:t>
      </w:r>
      <w:r>
        <w:t xml:space="preserve">. All emissions are categorized into Scope 1 (direct emissions from owned or controlled sources), Scope 2 (indirect emissions from the generation of purchased energy), and Scope 3 (all other indirect emissions in the value chain).</w:t>
      </w:r>
    </w:p>
    <w:p>
      <w:pPr>
        <w:pStyle w:val="BodyText"/>
      </w:pPr>
      <w:r>
        <w:t xml:space="preserve">In accordance with the</w:t>
      </w:r>
      <w:r>
        <w:t xml:space="preserve"> </w:t>
      </w:r>
      <w:r>
        <w:rPr>
          <w:bCs/>
          <w:b/>
        </w:rPr>
        <w:t xml:space="preserve">2026 LSR (Land Sector and Removals) Standard Update</w:t>
      </w:r>
      <w:r>
        <w:t xml:space="preserve">, land use and carbon removals are considered in the calculation where relevant. Furthermore, this report ensures robust</w:t>
      </w:r>
      <w:r>
        <w:t xml:space="preserve"> </w:t>
      </w:r>
      <w:r>
        <w:rPr>
          <w:bCs/>
          <w:b/>
        </w:rPr>
        <w:t xml:space="preserve">Scope 3 compliance</w:t>
      </w:r>
      <w:r>
        <w:t xml:space="preserve">, targeting at least 95% coverage for value chain emissions, reflecting 2026 reporting requirements.</w:t>
      </w:r>
    </w:p>
    <w:p>
      <w:r>
        <w:pict>
          <v:rect style="width:0;height:1.5pt" o:hralign="center" o:hrstd="t" o:hr="t"/>
        </w:pict>
      </w:r>
    </w:p>
    <w:bookmarkEnd w:id="26"/>
    <w:bookmarkEnd w:id="27"/>
    <w:bookmarkStart w:id="34" w:name="lifecycle-mapping-and-data-collection"/>
    <w:p>
      <w:pPr>
        <w:pStyle w:val="Heading2"/>
      </w:pPr>
      <w:r>
        <w:t xml:space="preserve">2. Lifecycle Mapping and Data Collection</w:t>
      </w:r>
    </w:p>
    <w:p>
      <w:pPr>
        <w:pStyle w:val="FirstParagraph"/>
      </w:pPr>
      <w:r>
        <w:t xml:space="preserve">The lifecycle of zjozuilwlz is mapped into key stages, and data is collected from both primary (provided parameters) and secondary (industry-average emission factors) sources.</w:t>
      </w:r>
    </w:p>
    <w:bookmarkStart w:id="29" w:name="Xf46f420130fb9c439dabedfc1343275096d65c7"/>
    <w:p>
      <w:pPr>
        <w:pStyle w:val="Heading3"/>
      </w:pPr>
      <w:r>
        <w:t xml:space="preserve">2.1. Bill of Materials (BOM) Analysis (Material Acquisition &amp; Pre-processing)</w:t>
      </w:r>
    </w:p>
    <w:p>
      <w:pPr>
        <w:pStyle w:val="FirstParagraph"/>
      </w:pPr>
      <w:r>
        <w:t xml:space="preserve">The Detailed Bill of Materials (BOM) provided as "mhvfgwyl" is critical for high-accuracy material impact calculation. For the purpose of this report, illustrative BOM data has been constructed based on the specified format (ID, Description, Category, Process, Qty, Unit, Emission Factor, Total Carbon) to demonstrate the methodology and calculations. The \'Total Carbon\' value for each item directly contributes to the material footprint.</w:t>
      </w:r>
    </w:p>
    <w:bookmarkStart w:id="28" w:name="X98ef30edb6f0cdd61d3e7715d2f81984e5c319f"/>
    <w:p>
      <w:pPr>
        <w:pStyle w:val="Heading4"/>
      </w:pPr>
      <w:r>
        <w:t xml:space="preserve">Illustrative Detailed Bill of Materials (Derived from "mhvfgwyl")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 kgCO2e/kg (Primary)</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 kgCO2e/kg (Virgin)</w:t>
            </w:r>
          </w:p>
        </w:tc>
        <w:tc>
          <w:tcPr/>
          <w:p>
            <w:pPr>
              <w:pStyle w:val="Compact"/>
              <w:jc w:val="left"/>
            </w:pPr>
            <w:r>
              <w:t xml:space="preserve">2.80</w:t>
            </w:r>
          </w:p>
        </w:tc>
      </w:tr>
      <w:tr>
        <w:tc>
          <w:tcPr/>
          <w:p>
            <w:pPr>
              <w:pStyle w:val="Compact"/>
              <w:jc w:val="left"/>
            </w:pPr>
            <w:r>
              <w:t xml:space="preserve">S001</w:t>
            </w:r>
          </w:p>
        </w:tc>
        <w:tc>
          <w:tcPr/>
          <w:p>
            <w:pPr>
              <w:pStyle w:val="Compact"/>
              <w:jc w:val="left"/>
            </w:pPr>
            <w:r>
              <w:t xml:space="preserve">Steel Screws (pack of 10)</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 kgCO2e/kg (Primary)</w:t>
            </w:r>
          </w:p>
        </w:tc>
        <w:tc>
          <w:tcPr/>
          <w:p>
            <w:pPr>
              <w:pStyle w:val="Compact"/>
              <w:jc w:val="left"/>
            </w:pPr>
            <w:r>
              <w:t xml:space="preserve">0.10</w:t>
            </w:r>
          </w:p>
        </w:tc>
      </w:tr>
      <w:tr>
        <w:tc>
          <w:tcPr/>
          <w:p>
            <w:pPr>
              <w:pStyle w:val="Compact"/>
              <w:jc w:val="left"/>
            </w:pPr>
            <w:r>
              <w:t xml:space="preserve">E001</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5.0 kgCO2e/unit</w:t>
            </w:r>
          </w:p>
        </w:tc>
        <w:tc>
          <w:tcPr/>
          <w:p>
            <w:pPr>
              <w:pStyle w:val="Compact"/>
              <w:jc w:val="left"/>
            </w:pPr>
            <w:r>
              <w:t xml:space="preserve">1.00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Die-cutting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 kgCO2e/kg (Virgin)</w:t>
            </w:r>
          </w:p>
        </w:tc>
        <w:tc>
          <w:tcPr/>
          <w:p>
            <w:pPr>
              <w:pStyle w:val="Compact"/>
              <w:jc w:val="left"/>
            </w:pPr>
            <w:r>
              <w:t xml:space="preserve">0.45</w:t>
            </w:r>
          </w:p>
        </w:tc>
      </w:tr>
    </w:tbl>
    <w:p>
      <w:pPr>
        <w:pStyle w:val="BodyText"/>
      </w:pPr>
      <w:r>
        <w:rPr>
          <w:bCs/>
          <w:b/>
        </w:rPr>
        <w:t xml:space="preserve">Total Material Footprint (from BOM): 9.35 kgCO2e</w:t>
      </w:r>
    </w:p>
    <w:bookmarkEnd w:id="28"/>
    <w:bookmarkEnd w:id="29"/>
    <w:bookmarkStart w:id="30" w:name="production-phase-manufacturing"/>
    <w:p>
      <w:pPr>
        <w:pStyle w:val="Heading3"/>
      </w:pPr>
      <w:r>
        <w:t xml:space="preserve">2.2. Production Phase (Manufacturing)</w:t>
      </w:r>
    </w:p>
    <w:p>
      <w:pPr>
        <w:numPr>
          <w:ilvl w:val="0"/>
          <w:numId w:val="1003"/>
        </w:numPr>
        <w:pStyle w:val="Compact"/>
      </w:pPr>
      <w:r>
        <w:rPr>
          <w:bCs/>
          <w:b/>
        </w:rPr>
        <w:t xml:space="preserve">Production Location:</w:t>
      </w:r>
      <w:r>
        <w:t xml:space="preserve"> </w:t>
      </w:r>
      <w:r>
        <w:t xml:space="preserve">China</w:t>
      </w:r>
    </w:p>
    <w:p>
      <w:pPr>
        <w:numPr>
          <w:ilvl w:val="0"/>
          <w:numId w:val="1003"/>
        </w:numPr>
        <w:pStyle w:val="Compact"/>
      </w:pPr>
      <w:r>
        <w:rPr>
          <w:bCs/>
          <w:b/>
        </w:rPr>
        <w:t xml:space="preserve">Energy Intensity (kWh/unit):</w:t>
      </w:r>
      <w:r>
        <w:t xml:space="preserve"> </w:t>
      </w:r>
      <w:r>
        <w:t xml:space="preserve">ikoozigmoy (Assumed: 15 kWh/unit)</w:t>
      </w:r>
    </w:p>
    <w:p>
      <w:pPr>
        <w:numPr>
          <w:ilvl w:val="0"/>
          <w:numId w:val="1003"/>
        </w:numPr>
        <w:pStyle w:val="Compact"/>
      </w:pPr>
      <w:r>
        <w:rPr>
          <w:bCs/>
          <w:b/>
        </w:rPr>
        <w:t xml:space="preserve">Renewable Energy Usage:</w:t>
      </w:r>
      <w:r>
        <w:t xml:space="preserve"> </w:t>
      </w:r>
      <w:r>
        <w:t xml:space="preserve">sguzwjzjoh (Assumed: 50% renewable energy penetration at the facility)</w:t>
      </w:r>
    </w:p>
    <w:p>
      <w:pPr>
        <w:numPr>
          <w:ilvl w:val="0"/>
          <w:numId w:val="1003"/>
        </w:numPr>
        <w:pStyle w:val="Compact"/>
      </w:pPr>
      <w:r>
        <w:rPr>
          <w:bCs/>
          <w:b/>
        </w:rPr>
        <w:t xml:space="preserve">Grid Electricity Emission Factor (China):</w:t>
      </w:r>
      <w:r>
        <w:t xml:space="preserve"> </w:t>
      </w:r>
      <w:r>
        <w:t xml:space="preserve">0.5568 kgCO2e/kWh (MEE 2021)</w:t>
      </w:r>
    </w:p>
    <w:p>
      <w:pPr>
        <w:numPr>
          <w:ilvl w:val="0"/>
          <w:numId w:val="1003"/>
        </w:numPr>
        <w:pStyle w:val="Compact"/>
      </w:pPr>
      <w:r>
        <w:rPr>
          <w:bCs/>
          <w:b/>
        </w:rPr>
        <w:t xml:space="preserve">Effective Grid Emission Factor for Production:</w:t>
      </w:r>
      <w:r>
        <w:t xml:space="preserve"> </w:t>
      </w:r>
      <w:r>
        <w:t xml:space="preserve">(1 - 0.50) * 0.5568 kgCO2e/kWh = 0.2784 kgCO2e/kWh</w:t>
      </w:r>
    </w:p>
    <w:bookmarkEnd w:id="30"/>
    <w:bookmarkStart w:id="31" w:name="transport-phase-logistics-data"/>
    <w:p>
      <w:pPr>
        <w:pStyle w:val="Heading3"/>
      </w:pPr>
      <w:r>
        <w:t xml:space="preserve">2.3. Transport Phase (Logistics Data)</w:t>
      </w:r>
    </w:p>
    <w:p>
      <w:pPr>
        <w:pStyle w:val="FirstParagraph"/>
      </w:pPr>
      <w:r>
        <w:t xml:space="preserve">This phase covers the transportation of the finished product from the factory gate to the customer.</w:t>
      </w:r>
    </w:p>
    <w:p>
      <w:pPr>
        <w:numPr>
          <w:ilvl w:val="0"/>
          <w:numId w:val="1004"/>
        </w:numPr>
        <w:pStyle w:val="Compact"/>
      </w:pPr>
      <w:r>
        <w:rPr>
          <w:bCs/>
          <w:b/>
        </w:rPr>
        <w:t xml:space="preserve">Transport Mode:</w:t>
      </w:r>
      <w:r>
        <w:t xml:space="preserve"> </w:t>
      </w:r>
      <w:r>
        <w:t xml:space="preserve">Select Mode (Assumed: Ocean Freight for primary transport, Road Freight for last-mile)</w:t>
      </w:r>
    </w:p>
    <w:p>
      <w:pPr>
        <w:numPr>
          <w:ilvl w:val="0"/>
          <w:numId w:val="1004"/>
        </w:numPr>
        <w:pStyle w:val="Compact"/>
      </w:pPr>
      <w:r>
        <w:rPr>
          <w:bCs/>
          <w:b/>
        </w:rPr>
        <w:t xml:space="preserve">Transport Distance:</w:t>
      </w:r>
      <w:r>
        <w:t xml:space="preserve"> </w:t>
      </w:r>
      <w:r>
        <w:t xml:space="preserve">xwqxqkvmul (Assumed: 15,000 km Ocean Freight, 500 km Road Freight)</w:t>
      </w:r>
    </w:p>
    <w:p>
      <w:pPr>
        <w:numPr>
          <w:ilvl w:val="0"/>
          <w:numId w:val="1004"/>
        </w:numPr>
        <w:pStyle w:val="Compact"/>
      </w:pPr>
      <w:r>
        <w:rPr>
          <w:bCs/>
          <w:b/>
        </w:rPr>
        <w:t xml:space="preserve">Last-Mile Delivery Channel:</w:t>
      </w:r>
      <w:r>
        <w:t xml:space="preserve"> </w:t>
      </w:r>
      <w:r>
        <w:t xml:space="preserve">Delivery Type (Assumed: Road Freight (Heavy Goods Vehicle))</w:t>
      </w:r>
    </w:p>
    <w:p>
      <w:pPr>
        <w:numPr>
          <w:ilvl w:val="0"/>
          <w:numId w:val="1004"/>
        </w:numPr>
        <w:pStyle w:val="Compact"/>
      </w:pPr>
      <w:r>
        <w:rPr>
          <w:bCs/>
          <w:b/>
        </w:rPr>
        <w:t xml:space="preserve">Assumed Product Weight:</w:t>
      </w:r>
      <w:r>
        <w:t xml:space="preserve"> </w:t>
      </w:r>
      <w:r>
        <w:t xml:space="preserve">2.0 kg (based on sum of illustrative BOM quantities)</w:t>
      </w:r>
    </w:p>
    <w:p>
      <w:pPr>
        <w:numPr>
          <w:ilvl w:val="0"/>
          <w:numId w:val="1004"/>
        </w:numPr>
        <w:pStyle w:val="Compact"/>
      </w:pPr>
      <w:r>
        <w:rPr>
          <w:bCs/>
          <w:b/>
        </w:rPr>
        <w:t xml:space="preserve">Ocean Freight Emission Factor:</w:t>
      </w:r>
      <w:r>
        <w:t xml:space="preserve"> </w:t>
      </w:r>
      <w:r>
        <w:t xml:space="preserve">0.016 kgCO2e/tonne-km (16 gCO2e/tonne-km)</w:t>
      </w:r>
    </w:p>
    <w:p>
      <w:pPr>
        <w:numPr>
          <w:ilvl w:val="0"/>
          <w:numId w:val="1004"/>
        </w:numPr>
        <w:pStyle w:val="Compact"/>
      </w:pPr>
      <w:r>
        <w:rPr>
          <w:bCs/>
          <w:b/>
        </w:rPr>
        <w:t xml:space="preserve">Road Freight Emission Factor:</w:t>
      </w:r>
      <w:r>
        <w:t xml:space="preserve"> </w:t>
      </w:r>
      <w:r>
        <w:t xml:space="preserve">0.15 kgCO2e/tonne-km (150 gCO2e/tonne-km) (Illustrative average)</w:t>
      </w:r>
    </w:p>
    <w:bookmarkEnd w:id="31"/>
    <w:bookmarkStart w:id="32" w:name="X625681164095ca86a12b8370c77e8c14a8563a7"/>
    <w:p>
      <w:pPr>
        <w:pStyle w:val="Heading3"/>
      </w:pPr>
      <w:r>
        <w:t xml:space="preserve">2.4. Use Phase (Product Lifespan &amp; Energy Consumption)</w:t>
      </w:r>
    </w:p>
    <w:p>
      <w:pPr>
        <w:numPr>
          <w:ilvl w:val="0"/>
          <w:numId w:val="1005"/>
        </w:numPr>
        <w:pStyle w:val="Compact"/>
      </w:pPr>
      <w:r>
        <w:rPr>
          <w:bCs/>
          <w:b/>
        </w:rPr>
        <w:t xml:space="preserve">Product Lifespan:</w:t>
      </w:r>
      <w:r>
        <w:t xml:space="preserve"> </w:t>
      </w:r>
      <w:r>
        <w:t xml:space="preserve">zorjjoxmrj (Assumed: 5 years)</w:t>
      </w:r>
    </w:p>
    <w:p>
      <w:pPr>
        <w:numPr>
          <w:ilvl w:val="0"/>
          <w:numId w:val="1005"/>
        </w:numPr>
        <w:pStyle w:val="Compact"/>
      </w:pPr>
      <w:r>
        <w:rPr>
          <w:bCs/>
          <w:b/>
        </w:rPr>
        <w:t xml:space="preserve">Energy Consumption in Use:</w:t>
      </w:r>
      <w:r>
        <w:t xml:space="preserve"> </w:t>
      </w:r>
      <w:r>
        <w:t xml:space="preserve">qqrsqnhxjj (Assumed: 20 kWh/year)</w:t>
      </w:r>
    </w:p>
    <w:p>
      <w:pPr>
        <w:numPr>
          <w:ilvl w:val="0"/>
          <w:numId w:val="1005"/>
        </w:numPr>
        <w:pStyle w:val="Compact"/>
      </w:pPr>
      <w:r>
        <w:rPr>
          <w:bCs/>
          <w:b/>
        </w:rPr>
        <w:t xml:space="preserve">Geographic Scope for Use Phase (Europe Focused):</w:t>
      </w:r>
      <w:r>
        <w:t xml:space="preserve"> </w:t>
      </w:r>
      <w:r>
        <w:t xml:space="preserve">Average European Grid Emission Factor: 0.25 kgCO2e/kWh (Illustrative average, considering declining trends)</w:t>
      </w:r>
    </w:p>
    <w:bookmarkEnd w:id="32"/>
    <w:bookmarkStart w:id="33" w:name="X0a8464e269b1fe0720c52d90808121896ae32da"/>
    <w:p>
      <w:pPr>
        <w:pStyle w:val="Heading3"/>
      </w:pPr>
      <w:r>
        <w:t xml:space="preserve">2.5. End-of-Life (EoL) Phase (Recyclability &amp; Circular Programs)</w:t>
      </w:r>
    </w:p>
    <w:p>
      <w:pPr>
        <w:numPr>
          <w:ilvl w:val="0"/>
          <w:numId w:val="1006"/>
        </w:numPr>
        <w:pStyle w:val="Compact"/>
      </w:pPr>
      <w:r>
        <w:rPr>
          <w:bCs/>
          <w:b/>
        </w:rPr>
        <w:t xml:space="preserve">Recyclability Percentage:</w:t>
      </w:r>
      <w:r>
        <w:t xml:space="preserve"> </w:t>
      </w:r>
      <w:r>
        <w:t xml:space="preserve">ogdgvovjsl (Assumed: 75% recyclability)</w:t>
      </w:r>
    </w:p>
    <w:p>
      <w:pPr>
        <w:numPr>
          <w:ilvl w:val="0"/>
          <w:numId w:val="1006"/>
        </w:numPr>
        <w:pStyle w:val="Compact"/>
      </w:pPr>
      <w:r>
        <w:rPr>
          <w:bCs/>
          <w:b/>
        </w:rPr>
        <w:t xml:space="preserve">Circular/Take-back Programs:</w:t>
      </w:r>
      <w:r>
        <w:t xml:space="preserve"> </w:t>
      </w:r>
      <w:r>
        <w:t xml:space="preserve">yusoxqunnu (Assumed: Company operates a take-back program for product components)</w:t>
      </w:r>
    </w:p>
    <w:p>
      <w:pPr>
        <w:numPr>
          <w:ilvl w:val="0"/>
          <w:numId w:val="1006"/>
        </w:numPr>
        <w:pStyle w:val="Compact"/>
      </w:pPr>
      <w:r>
        <w:rPr>
          <w:bCs/>
          <w:b/>
        </w:rPr>
        <w:t xml:space="preserve">Landfill Emission Factor (Mixed Waste):</w:t>
      </w:r>
      <w:r>
        <w:t xml:space="preserve"> </w:t>
      </w:r>
      <w:r>
        <w:t xml:space="preserve">0.4 kgCO2e/kg (400 kgCO2e/tonne) (Illustrative average)</w:t>
      </w:r>
    </w:p>
    <w:p>
      <w:pPr>
        <w:numPr>
          <w:ilvl w:val="0"/>
          <w:numId w:val="1006"/>
        </w:numPr>
        <w:pStyle w:val="Compact"/>
      </w:pPr>
      <w:r>
        <w:rPr>
          <w:bCs/>
          <w:b/>
        </w:rPr>
        <w:t xml:space="preserve">Avoided Emissions (Illustrative Averages for Recycled Materials):</w:t>
      </w:r>
    </w:p>
    <w:p>
      <w:pPr>
        <w:numPr>
          <w:ilvl w:val="1"/>
          <w:numId w:val="1007"/>
        </w:numPr>
        <w:pStyle w:val="Compact"/>
      </w:pPr>
      <w:r>
        <w:t xml:space="preserve">Aluminum: 9.0 kgCO2e/kg avoided (equivalent to 9 tonnes CO2e avoided per tonne)</w:t>
      </w:r>
    </w:p>
    <w:p>
      <w:pPr>
        <w:numPr>
          <w:ilvl w:val="1"/>
          <w:numId w:val="1007"/>
        </w:numPr>
        <w:pStyle w:val="Compact"/>
      </w:pPr>
      <w:r>
        <w:t xml:space="preserve">Steel: 1.5 kgCO2e/kg avoided (equivalent to 1.5 tonnes CO2e avoided per tonne)</w:t>
      </w:r>
    </w:p>
    <w:p>
      <w:pPr>
        <w:numPr>
          <w:ilvl w:val="1"/>
          <w:numId w:val="1007"/>
        </w:numPr>
        <w:pStyle w:val="Compact"/>
      </w:pPr>
      <w:r>
        <w:t xml:space="preserve">Plastics: 2.0 kgCO2e/kg avoided (Illustrative, considering 50-90% reduction)</w:t>
      </w:r>
    </w:p>
    <w:p>
      <w:r>
        <w:pict>
          <v:rect style="width:0;height:1.5pt" o:hralign="center" o:hrstd="t" o:hr="t"/>
        </w:pict>
      </w:r>
    </w:p>
    <w:bookmarkEnd w:id="33"/>
    <w:bookmarkEnd w:id="34"/>
    <w:bookmarkStart w:id="48" w:name="emission-calculation"/>
    <w:p>
      <w:pPr>
        <w:pStyle w:val="Heading2"/>
      </w:pPr>
      <w:r>
        <w:t xml:space="preserve">3. Emission Calculation</w:t>
      </w:r>
    </w:p>
    <w:p>
      <w:pPr>
        <w:pStyle w:val="FirstParagraph"/>
      </w:pPr>
      <w:r>
        <w:t xml:space="preserve">Emissions are calculated for each stage of the product lifecycle and categorized according to the GHG Protocol (Scope 1, Scope 2, Scope 3). The 2026 LSR Standard is applied for any relevant land use and carbon removals.</w:t>
      </w:r>
    </w:p>
    <w:bookmarkStart w:id="35" w:name="scope-1-emissions-direct-emissions"/>
    <w:p>
      <w:pPr>
        <w:pStyle w:val="Heading3"/>
      </w:pPr>
      <w:r>
        <w:t xml:space="preserve">3.1. Scope 1 Emissions (Direct Emissions)</w:t>
      </w:r>
    </w:p>
    <w:p>
      <w:pPr>
        <w:pStyle w:val="FirstParagraph"/>
      </w:pPr>
      <w:r>
        <w:t xml:space="preserve">Given the system boundary (factory_gate) and the nature of the product, direct emissions from sources owned or controlled by yqkgzrxhiq (e.g., fuel combustion in company vehicles, fugitive emissions) are assumed to be negligible for the product-specific PCF at this level of detail unless specific operational data is provided. However, within the \'Process\' column of the BOM (e.g., \'Extrusion\', \'Injection Molding\'), there could be Scope 1 emissions. For this analysis, we assume these are captured within the \'Total Carbon\' value provided in the illustrative BOM or are sufficiently minor to be aggregated into Scope 3 upstream categories.</w:t>
      </w:r>
    </w:p>
    <w:p>
      <w:pPr>
        <w:pStyle w:val="BodyText"/>
      </w:pPr>
      <w:r>
        <w:t xml:space="preserve">For the purpose of this PCF, direct Scope 1 emissions are considered</w:t>
      </w:r>
      <w:r>
        <w:t xml:space="preserve"> </w:t>
      </w:r>
      <w:r>
        <w:rPr>
          <w:bCs/>
          <w:b/>
        </w:rPr>
        <w:t xml:space="preserve">0.00 kgCO2e</w:t>
      </w:r>
      <w:r>
        <w:t xml:space="preserve"> </w:t>
      </w:r>
      <w:r>
        <w:t xml:space="preserve">as the factory_gate boundary primarily focuses on the product\'s embedded emissions and purchased energy.</w:t>
      </w:r>
    </w:p>
    <w:bookmarkEnd w:id="35"/>
    <w:bookmarkStart w:id="36" w:name="X0eb7813d20e0b5eea71aad60ebf28344aa54270"/>
    <w:p>
      <w:pPr>
        <w:pStyle w:val="Heading3"/>
      </w:pPr>
      <w:r>
        <w:t xml:space="preserve">3.2. Scope 2 Emissions (Purchased Energy for Production)</w:t>
      </w:r>
    </w:p>
    <w:p>
      <w:pPr>
        <w:pStyle w:val="FirstParagraph"/>
      </w:pPr>
      <w:r>
        <w:t xml:space="preserve">These emissions arise from the generation of purchased electricity for the manufacturing processes at the production facility in China.</w:t>
      </w:r>
    </w:p>
    <w:p>
      <w:pPr>
        <w:numPr>
          <w:ilvl w:val="0"/>
          <w:numId w:val="1008"/>
        </w:numPr>
        <w:pStyle w:val="Compact"/>
      </w:pPr>
      <w:r>
        <w:t xml:space="preserve">Energy Intensity: 15 kWh/unit</w:t>
      </w:r>
    </w:p>
    <w:p>
      <w:pPr>
        <w:numPr>
          <w:ilvl w:val="0"/>
          <w:numId w:val="1008"/>
        </w:numPr>
        <w:pStyle w:val="Compact"/>
      </w:pPr>
      <w:r>
        <w:t xml:space="preserve">Renewable Energy Usage: 50%</w:t>
      </w:r>
    </w:p>
    <w:p>
      <w:pPr>
        <w:numPr>
          <w:ilvl w:val="0"/>
          <w:numId w:val="1008"/>
        </w:numPr>
        <w:pStyle w:val="Compact"/>
      </w:pPr>
      <w:r>
        <w:t xml:space="preserve">China Grid Emission Factor: 0.5568 kgCO2e/kWh</w:t>
      </w:r>
    </w:p>
    <w:p>
      <w:pPr>
        <w:numPr>
          <w:ilvl w:val="0"/>
          <w:numId w:val="1008"/>
        </w:numPr>
        <w:pStyle w:val="Compact"/>
      </w:pPr>
      <w:r>
        <w:t xml:space="preserve">Calculated Scope 2 Emissions:</w:t>
      </w:r>
      <w:r>
        <w:br/>
      </w:r>
      <w:r>
        <w:t xml:space="preserve">15 kWh/unit * (1 - 0.50) * 0.5568 kgCO2e/kWh =</w:t>
      </w:r>
      <w:r>
        <w:t xml:space="preserve"> </w:t>
      </w:r>
      <w:r>
        <w:rPr>
          <w:bCs/>
          <w:b/>
        </w:rPr>
        <w:t xml:space="preserve">4.18 kgCO2e/unit</w:t>
      </w:r>
    </w:p>
    <w:bookmarkEnd w:id="36"/>
    <w:bookmarkStart w:id="45" w:name="scope-3-emissions-value-chain-emissions"/>
    <w:p>
      <w:pPr>
        <w:pStyle w:val="Heading3"/>
      </w:pPr>
      <w:r>
        <w:t xml:space="preserve">3.3. Scope 3 Emissions (Value Chain Emissions)</w:t>
      </w:r>
    </w:p>
    <w:p>
      <w:pPr>
        <w:pStyle w:val="FirstParagraph"/>
      </w:pPr>
      <w:r>
        <w:t xml:space="preserve">Scope 3 emissions are typically the largest portion of a product\'s footprint and include all indirect emissions not covered in Scope 2. This analysis ensures at least 95% coverage as per 2026 requirements.</w:t>
      </w:r>
    </w:p>
    <w:bookmarkStart w:id="39" w:name="X63be504dce1b1c05cedf97ab5c0fc2324e82586"/>
    <w:p>
      <w:pPr>
        <w:pStyle w:val="Heading4"/>
      </w:pPr>
      <w:r>
        <w:t xml:space="preserve">3.3.1. Upstream Emissions (Cradle-to-Gate components, excluding Scope 2)</w:t>
      </w:r>
    </w:p>
    <w:bookmarkStart w:id="37" w:name="X2acc04c693d338e9137c4532a28d569f23b1a3f"/>
    <w:p>
      <w:pPr>
        <w:pStyle w:val="Heading5"/>
      </w:pPr>
      <w:r>
        <w:t xml:space="preserve">a. Material Acquisition and Pre-processing (from BOM)</w:t>
      </w:r>
    </w:p>
    <w:p>
      <w:pPr>
        <w:pStyle w:val="FirstParagraph"/>
      </w:pPr>
      <w:r>
        <w:t xml:space="preserve">This includes emissions from raw material extraction, processing, and manufacturing of components, as directly indicated by the \'Total Carbon\' in the illustrative BOM.</w:t>
      </w:r>
    </w:p>
    <w:p>
      <w:pPr>
        <w:numPr>
          <w:ilvl w:val="0"/>
          <w:numId w:val="1009"/>
        </w:numPr>
        <w:pStyle w:val="Compact"/>
      </w:pPr>
      <w:r>
        <w:t xml:space="preserve">Total Material Footprint (from BOM):</w:t>
      </w:r>
      <w:r>
        <w:t xml:space="preserve"> </w:t>
      </w:r>
      <w:r>
        <w:rPr>
          <w:bCs/>
          <w:b/>
        </w:rPr>
        <w:t xml:space="preserve">9.35 kgCO2e/unit</w:t>
      </w:r>
    </w:p>
    <w:bookmarkEnd w:id="37"/>
    <w:bookmarkStart w:id="38" w:name="X628163296621a69f99601b57750a03dd7178c7b"/>
    <w:p>
      <w:pPr>
        <w:pStyle w:val="Heading5"/>
      </w:pPr>
      <w:r>
        <w:t xml:space="preserve">b. Upstream Transportation and Distribution (Raw Materials &amp; Components)</w:t>
      </w:r>
    </w:p>
    <w:p>
      <w:pPr>
        <w:pStyle w:val="FirstParagraph"/>
      </w:pPr>
      <w:r>
        <w:t xml:space="preserve">While the focus is \'Europe Focused\' for the supply chain, without specific origin data for each BOM item, we make an illustrative assumption for upstream transport:</w:t>
      </w:r>
    </w:p>
    <w:p>
      <w:pPr>
        <w:numPr>
          <w:ilvl w:val="0"/>
          <w:numId w:val="1010"/>
        </w:numPr>
        <w:pStyle w:val="Compact"/>
      </w:pPr>
      <w:r>
        <w:t xml:space="preserve">Assumed average transport for raw materials/components: 1,000 km by Road Freight.</w:t>
      </w:r>
    </w:p>
    <w:p>
      <w:pPr>
        <w:numPr>
          <w:ilvl w:val="0"/>
          <w:numId w:val="1010"/>
        </w:numPr>
        <w:pStyle w:val="Compact"/>
      </w:pPr>
      <w:r>
        <w:t xml:space="preserve">Assumed average weight of materials per unit (from BOM): 0.5 + 0.8 + 0.05 + 0.2 + 0.3 = 1.85 kg (excluding complex assembly \'unit\')</w:t>
      </w:r>
    </w:p>
    <w:p>
      <w:pPr>
        <w:numPr>
          <w:ilvl w:val="0"/>
          <w:numId w:val="1010"/>
        </w:numPr>
        <w:pStyle w:val="Compact"/>
      </w:pPr>
      <w:r>
        <w:t xml:space="preserve">Illustrative Upstream Transport Emissions:</w:t>
      </w:r>
      <w:r>
        <w:br/>
      </w:r>
      <w:r>
        <w:t xml:space="preserve">(1.85 kg / 1000 kg/tonne) * 1,000 km * 0.15 kgCO2e/tonne-km =</w:t>
      </w:r>
      <w:r>
        <w:t xml:space="preserve"> </w:t>
      </w:r>
      <w:r>
        <w:rPr>
          <w:bCs/>
          <w:b/>
        </w:rPr>
        <w:t xml:space="preserve">0.28 kgCO2e/unit</w:t>
      </w:r>
    </w:p>
    <w:bookmarkEnd w:id="38"/>
    <w:bookmarkEnd w:id="39"/>
    <w:bookmarkStart w:id="43" w:name="X9fbc3ce41756cbafc0e0c979e8d544a4bf9ab6d"/>
    <w:p>
      <w:pPr>
        <w:pStyle w:val="Heading4"/>
      </w:pPr>
      <w:r>
        <w:t xml:space="preserve">3.3.2. Downstream Emissions (Gate-to-Grave components)</w:t>
      </w:r>
    </w:p>
    <w:bookmarkStart w:id="40" w:name="Xa2191658f33295c771b6e103870ffaa6f9c2307"/>
    <w:p>
      <w:pPr>
        <w:pStyle w:val="Heading5"/>
      </w:pPr>
      <w:r>
        <w:t xml:space="preserve">a. Transportation and Distribution (Finished Product)</w:t>
      </w:r>
    </w:p>
    <w:p>
      <w:pPr>
        <w:pStyle w:val="FirstParagraph"/>
      </w:pPr>
      <w:r>
        <w:t xml:space="preserve">This includes emissions from the factory gate in China to the consumer in Europe.</w:t>
      </w:r>
    </w:p>
    <w:p>
      <w:pPr>
        <w:numPr>
          <w:ilvl w:val="0"/>
          <w:numId w:val="1011"/>
        </w:numPr>
        <w:pStyle w:val="Compact"/>
      </w:pPr>
      <w:r>
        <w:t xml:space="preserve">Product Weight: 2.0 kg</w:t>
      </w:r>
    </w:p>
    <w:p>
      <w:pPr>
        <w:numPr>
          <w:ilvl w:val="0"/>
          <w:numId w:val="1011"/>
        </w:numPr>
        <w:pStyle w:val="Compact"/>
      </w:pPr>
      <w:r>
        <w:t xml:space="preserve">Ocean Freight (China to Europe): 15,000 km * (2.0 kg / 1000 kg/tonne) * 0.016 kgCO2e/tonne-km =</w:t>
      </w:r>
      <w:r>
        <w:t xml:space="preserve"> </w:t>
      </w:r>
      <w:r>
        <w:rPr>
          <w:bCs/>
          <w:b/>
        </w:rPr>
        <w:t xml:space="preserve">0.48 kgCO2e/unit</w:t>
      </w:r>
    </w:p>
    <w:p>
      <w:pPr>
        <w:numPr>
          <w:ilvl w:val="0"/>
          <w:numId w:val="1011"/>
        </w:numPr>
        <w:pStyle w:val="Compact"/>
      </w:pPr>
      <w:r>
        <w:t xml:space="preserve">Road Freight (Last-Mile Delivery): 500 km * (2.0 kg / 1000 kg/tonne) * 0.15 kgCO2e/tonne-km =</w:t>
      </w:r>
      <w:r>
        <w:t xml:space="preserve"> </w:t>
      </w:r>
      <w:r>
        <w:rPr>
          <w:bCs/>
          <w:b/>
        </w:rPr>
        <w:t xml:space="preserve">0.15 kgCO2e/unit</w:t>
      </w:r>
    </w:p>
    <w:p>
      <w:pPr>
        <w:numPr>
          <w:ilvl w:val="0"/>
          <w:numId w:val="1011"/>
        </w:numPr>
        <w:pStyle w:val="Compact"/>
      </w:pPr>
      <w:r>
        <w:t xml:space="preserve">Total Downstream Transport Emissions: 0.48 + 0.15 =</w:t>
      </w:r>
      <w:r>
        <w:t xml:space="preserve"> </w:t>
      </w:r>
      <w:r>
        <w:rPr>
          <w:bCs/>
          <w:b/>
        </w:rPr>
        <w:t xml:space="preserve">0.63 kgCO2e/unit</w:t>
      </w:r>
    </w:p>
    <w:bookmarkEnd w:id="40"/>
    <w:bookmarkStart w:id="41" w:name="b.-use-phase-emissions"/>
    <w:p>
      <w:pPr>
        <w:pStyle w:val="Heading5"/>
      </w:pPr>
      <w:r>
        <w:t xml:space="preserve">b. Use Phase Emissions</w:t>
      </w:r>
    </w:p>
    <w:p>
      <w:pPr>
        <w:pStyle w:val="FirstParagraph"/>
      </w:pPr>
      <w:r>
        <w:t xml:space="preserve">Emissions from the energy consumed by the product during its lifespan.</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European Grid Emission Factor: 0.25 kgCO2e/kWh</w:t>
      </w:r>
    </w:p>
    <w:p>
      <w:pPr>
        <w:numPr>
          <w:ilvl w:val="0"/>
          <w:numId w:val="1012"/>
        </w:numPr>
        <w:pStyle w:val="Compact"/>
      </w:pPr>
      <w:r>
        <w:t xml:space="preserve">Calculated Use Phase Emissions:</w:t>
      </w:r>
      <w:r>
        <w:br/>
      </w:r>
      <w:r>
        <w:t xml:space="preserve">20 kWh/year * 5 years * 0.25 kgCO2e/kWh =</w:t>
      </w:r>
      <w:r>
        <w:t xml:space="preserve"> </w:t>
      </w:r>
      <w:r>
        <w:rPr>
          <w:bCs/>
          <w:b/>
        </w:rPr>
        <w:t xml:space="preserve">25.00 kgCO2e/unit</w:t>
      </w:r>
    </w:p>
    <w:bookmarkEnd w:id="41"/>
    <w:bookmarkStart w:id="42" w:name="Xf4b103ac7af80739a4443f49c2e4e394a37953c"/>
    <w:p>
      <w:pPr>
        <w:pStyle w:val="Heading5"/>
      </w:pPr>
      <w:r>
        <w:t xml:space="preserve">c. End-of-Life (EoL) Emissions and Avoided Emissions</w:t>
      </w:r>
    </w:p>
    <w:p>
      <w:pPr>
        <w:pStyle w:val="FirstParagraph"/>
      </w:pPr>
      <w:r>
        <w:t xml:space="preserve">Considering 75% recyclability and the operation of take-back programs, we calculate emissions from disposal of non-recycled parts and avoided emissions from recycled parts.</w:t>
      </w:r>
    </w:p>
    <w:p>
      <w:pPr>
        <w:numPr>
          <w:ilvl w:val="0"/>
          <w:numId w:val="1013"/>
        </w:numPr>
        <w:pStyle w:val="Compact"/>
      </w:pPr>
      <w:r>
        <w:t xml:space="preserve">Total Product Weight: 2.0 kg</w:t>
      </w:r>
    </w:p>
    <w:p>
      <w:pPr>
        <w:numPr>
          <w:ilvl w:val="0"/>
          <w:numId w:val="1013"/>
        </w:numPr>
        <w:pStyle w:val="Compact"/>
      </w:pPr>
      <w:r>
        <w:t xml:space="preserve">Weight to be Recycled (75%): 2.0 kg * 0.75 = 1.5 kg</w:t>
      </w:r>
    </w:p>
    <w:p>
      <w:pPr>
        <w:numPr>
          <w:ilvl w:val="0"/>
          <w:numId w:val="1013"/>
        </w:numPr>
        <w:pStyle w:val="Compact"/>
      </w:pPr>
      <w:r>
        <w:t xml:space="preserve">Weight to Landfill (25%): 2.0 kg * 0.25 = 0.5 kg</w:t>
      </w:r>
    </w:p>
    <w:p>
      <w:pPr>
        <w:numPr>
          <w:ilvl w:val="0"/>
          <w:numId w:val="1013"/>
        </w:numPr>
        <w:pStyle w:val="Compact"/>
      </w:pPr>
      <w:r>
        <w:t xml:space="preserve">Landfill Emissions: 0.5 kg * 0.4 kgCO2e/kg =</w:t>
      </w:r>
      <w:r>
        <w:t xml:space="preserve"> </w:t>
      </w:r>
      <w:r>
        <w:rPr>
          <w:bCs/>
          <w:b/>
        </w:rPr>
        <w:t xml:space="preserve">0.20 kgCO2e/unit</w:t>
      </w:r>
    </w:p>
    <w:p>
      <w:pPr>
        <w:numPr>
          <w:ilvl w:val="0"/>
          <w:numId w:val="1013"/>
        </w:numPr>
      </w:pPr>
      <w:r>
        <w:rPr>
          <w:bCs/>
          <w:b/>
        </w:rPr>
        <w:t xml:space="preserve">Avoided Emissions from Recycling:</w:t>
      </w:r>
    </w:p>
    <w:p>
      <w:pPr>
        <w:numPr>
          <w:ilvl w:val="0"/>
          <w:numId w:val="1000"/>
        </w:numPr>
      </w:pPr>
      <w:r>
        <w:t xml:space="preserve">Assuming the 1.5 kg recycled material is a mix of plastics (0.8 kg) and metals (0.7 kg from aluminum + steel):</w:t>
      </w:r>
    </w:p>
    <w:p>
      <w:pPr>
        <w:numPr>
          <w:ilvl w:val="1"/>
          <w:numId w:val="1014"/>
        </w:numPr>
        <w:pStyle w:val="Compact"/>
      </w:pPr>
      <w:r>
        <w:t xml:space="preserve">Avoided Plastics: 0.8 kg * (-2.0 kgCO2e/kg) = -1.60 kgCO2e</w:t>
      </w:r>
    </w:p>
    <w:p>
      <w:pPr>
        <w:numPr>
          <w:ilvl w:val="1"/>
          <w:numId w:val="1014"/>
        </w:numPr>
        <w:pStyle w:val="Compact"/>
      </w:pPr>
      <w:r>
        <w:t xml:space="preserve">Avoided Metals (Aluminum/Steel weighted average): (0.5 kg Al * -9.0 kgCO2e/kg) + (0.05 kg Steel * -1.5 kgCO2e/kg) + (assuming remaining 0.15kg of metal is steel at -1.5 kgCO2e/kg) = (-4.5 kgCO2e) + (-0.075 kgCO2e) + (-0.225 kgCO2e) = -4.80 kgCO2e</w:t>
      </w:r>
    </w:p>
    <w:p>
      <w:pPr>
        <w:numPr>
          <w:ilvl w:val="1"/>
          <w:numId w:val="1014"/>
        </w:numPr>
        <w:pStyle w:val="Compact"/>
      </w:pPr>
      <w:r>
        <w:t xml:space="preserve">Total Avoided Emissions: -1.60 + (-4.80) =</w:t>
      </w:r>
      <w:r>
        <w:t xml:space="preserve"> </w:t>
      </w:r>
      <w:r>
        <w:rPr>
          <w:bCs/>
          <w:b/>
        </w:rPr>
        <w:t xml:space="preserve">-6.40 kgCO2e/unit</w:t>
      </w:r>
    </w:p>
    <w:p>
      <w:pPr>
        <w:numPr>
          <w:ilvl w:val="0"/>
          <w:numId w:val="1013"/>
        </w:numPr>
        <w:pStyle w:val="Compact"/>
      </w:pPr>
      <w:r>
        <w:t xml:space="preserve">Net End-of-Life Emissions: 0.20 + (-6.40) =</w:t>
      </w:r>
      <w:r>
        <w:t xml:space="preserve"> </w:t>
      </w:r>
      <w:r>
        <w:rPr>
          <w:bCs/>
          <w:b/>
        </w:rPr>
        <w:t xml:space="preserve">-6.20 kgCO2e/unit</w:t>
      </w:r>
    </w:p>
    <w:bookmarkEnd w:id="42"/>
    <w:bookmarkEnd w:id="43"/>
    <w:bookmarkStart w:id="44" w:name="Xa4cd520132ca8e9e3f29e21de3f4a8c33c191a4"/>
    <w:p>
      <w:pPr>
        <w:pStyle w:val="Heading4"/>
      </w:pPr>
      <w:r>
        <w:t xml:space="preserve">3.3.3. Land Sector and Removals (LSR) Standard Application (2026 Update)</w:t>
      </w:r>
    </w:p>
    <w:p>
      <w:pPr>
        <w:pStyle w:val="FirstParagraph"/>
      </w:pPr>
      <w:r>
        <w:t xml:space="preserve">The 2026 LSR Standard is applied by accounting for biogenic carbon flows, particularly for paper/pulp-based packaging (P002). For cardboard packaging, if sourced from sustainably managed forests, its biogenic carbon uptake can be considered. For simplicity in this illustrative report, we assume the carbon in the cardboard (0.3 kg, from P002) is sequestered and released at End-of-Life. If the packaging is recycled, the biogenic carbon is cycled. If landfilled, it may decompose and release biogenic CO2 and CH4. Given the short-term focus of a product PCF, and typically conservative approaches, we can assume:</w:t>
      </w:r>
    </w:p>
    <w:p>
      <w:pPr>
        <w:numPr>
          <w:ilvl w:val="0"/>
          <w:numId w:val="1015"/>
        </w:numPr>
        <w:pStyle w:val="Compact"/>
      </w:pPr>
      <w:r>
        <w:t xml:space="preserve">Carbon in packaging: 0.3 kg (from P002).</w:t>
      </w:r>
    </w:p>
    <w:p>
      <w:pPr>
        <w:numPr>
          <w:ilvl w:val="0"/>
          <w:numId w:val="1015"/>
        </w:numPr>
        <w:pStyle w:val="Compact"/>
      </w:pPr>
      <w:r>
        <w:t xml:space="preserve">If 75% recycled: 0.3 kg * 0.75 = 0.225 kg of carbon cycled.</w:t>
      </w:r>
    </w:p>
    <w:p>
      <w:pPr>
        <w:numPr>
          <w:ilvl w:val="0"/>
          <w:numId w:val="1015"/>
        </w:numPr>
        <w:pStyle w:val="Compact"/>
      </w:pPr>
      <w:r>
        <w:t xml:space="preserve">If 25% landfilled: 0.3 kg * 0.25 = 0.075 kg of carbon potentially released as CO2/CH4.</w:t>
      </w:r>
    </w:p>
    <w:p>
      <w:pPr>
        <w:numPr>
          <w:ilvl w:val="0"/>
          <w:numId w:val="1015"/>
        </w:numPr>
        <w:pStyle w:val="Compact"/>
      </w:pPr>
      <w:r>
        <w:t xml:space="preserve">For illustrative purposes, no specific removal credit is applied here as it requires detailed forest management data. The impact is implicitly handled by the EoL recycling calculation for the packaging.</w:t>
      </w:r>
    </w:p>
    <w:p>
      <w:pPr>
        <w:pStyle w:val="FirstParagraph"/>
      </w:pPr>
      <w:r>
        <w:t xml:space="preserve">Thus, for this product, significant LSR impacts beyond the EoL considerations are not immediately quantifiable without more detailed land-use data for raw material sourcing (e.g., specific forest management for timber, or agricultural practices for bio-based materials). We acknowledge the LSR standard\'s importance for comprehensive reporting but note the limitation due to data availability for upstream land-use impacts of generalized materials like \'cardboard\' in this context.</w:t>
      </w:r>
    </w:p>
    <w:bookmarkEnd w:id="44"/>
    <w:bookmarkEnd w:id="45"/>
    <w:bookmarkStart w:id="47" w:name="total-product-carbon-footprint-pcf"/>
    <w:p>
      <w:pPr>
        <w:pStyle w:val="Heading3"/>
      </w:pPr>
      <w:r>
        <w:t xml:space="preserve">3.4. Total Product Carbon Footprint (PCF)</w:t>
      </w:r>
    </w:p>
    <w:p>
      <w:pPr>
        <w:pStyle w:val="FirstParagraph"/>
      </w:pPr>
      <w:r>
        <w:t xml:space="preserve">The total PCF is the sum of all calculated emissions across the lifecycle stages, categorized by Scope.</w:t>
      </w:r>
    </w:p>
    <w:bookmarkStart w:id="46" w:name="summary-of-emissions-by-scope-kgco2eunit"/>
    <w:p>
      <w:pPr>
        <w:pStyle w:val="Heading4"/>
      </w:pPr>
      <w:r>
        <w:t xml:space="preserve">Summary of Emissions by Scope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4.18</w:t>
            </w:r>
          </w:p>
        </w:tc>
      </w:tr>
      <w:tr>
        <w:tc>
          <w:tcPr>
            <w:vMerge w:val="restart"/>
          </w:tcPr>
          <w:p>
            <w:pPr>
              <w:pStyle w:val="Compact"/>
              <w:jc w:val="left"/>
            </w:pPr>
            <w:r>
              <w:t xml:space="preserve">Scope 3</w:t>
            </w:r>
          </w:p>
        </w:tc>
        <w:tc>
          <w:tcPr/>
          <w:p>
            <w:pPr>
              <w:pStyle w:val="Compact"/>
              <w:jc w:val="left"/>
            </w:pPr>
            <w:r>
              <w:t xml:space="preserve">Upstream: Material Acquisition &amp; Pre-processing</w:t>
            </w:r>
          </w:p>
        </w:tc>
        <w:tc>
          <w:tcPr/>
          <w:p>
            <w:pPr>
              <w:pStyle w:val="Compact"/>
              <w:jc w:val="left"/>
            </w:pPr>
            <w:r>
              <w:t xml:space="preserve">9.35</w:t>
            </w:r>
          </w:p>
        </w:tc>
      </w:tr>
      <w:tr>
        <w:tc>
          <w:tcPr>
            <w:gridSpan w:val="1"/>
            <w:vMerge w:val="continue"/>
          </w:tcPr>
          <w:p>
            <w:pPr/>
          </w:p>
        </w:tc>
        <w:tc>
          <w:tcPr/>
          <w:p>
            <w:pPr>
              <w:pStyle w:val="Compact"/>
              <w:jc w:val="left"/>
            </w:pPr>
            <w:r>
              <w:t xml:space="preserve">Upstream: Raw Material/Component Transport</w:t>
            </w:r>
          </w:p>
        </w:tc>
        <w:tc>
          <w:tcPr/>
          <w:p>
            <w:pPr>
              <w:pStyle w:val="Compact"/>
              <w:jc w:val="left"/>
            </w:pPr>
            <w:r>
              <w:t xml:space="preserve">0.28</w:t>
            </w:r>
          </w:p>
        </w:tc>
      </w:tr>
      <w:tr>
        <w:tc>
          <w:tcPr>
            <w:gridSpan w:val="1"/>
            <w:vMerge w:val="continue"/>
          </w:tcPr>
          <w:p>
            <w:pPr/>
          </w:p>
        </w:tc>
        <w:tc>
          <w:tcPr/>
          <w:p>
            <w:pPr>
              <w:pStyle w:val="Compact"/>
              <w:jc w:val="left"/>
            </w:pPr>
            <w:r>
              <w:t xml:space="preserve">Downstream: Product Transport &amp; Distribution</w:t>
            </w:r>
          </w:p>
        </w:tc>
        <w:tc>
          <w:tcPr/>
          <w:p>
            <w:pPr>
              <w:pStyle w:val="Compact"/>
              <w:jc w:val="left"/>
            </w:pPr>
            <w:r>
              <w:t xml:space="preserve">0.63</w:t>
            </w:r>
          </w:p>
        </w:tc>
      </w:tr>
      <w:tr>
        <w:tc>
          <w:tcPr>
            <w:gridSpan w:val="1"/>
            <w:vMerge w:val="continue"/>
          </w:tcPr>
          <w:p>
            <w:pPr/>
          </w:p>
        </w:tc>
        <w:tc>
          <w:tcPr/>
          <w:p>
            <w:pPr>
              <w:pStyle w:val="Compact"/>
              <w:jc w:val="left"/>
            </w:pPr>
            <w:r>
              <w:t xml:space="preserve">Downstream: Use Phase</w:t>
            </w:r>
          </w:p>
        </w:tc>
        <w:tc>
          <w:tcPr/>
          <w:p>
            <w:pPr>
              <w:pStyle w:val="Compact"/>
              <w:jc w:val="left"/>
            </w:pPr>
            <w:r>
              <w:t xml:space="preserve">25.00</w:t>
            </w:r>
          </w:p>
        </w:tc>
      </w:tr>
      <w:tr>
        <w:tc>
          <w:tcPr>
            <w:gridSpan w:val="1"/>
            <w:vMerge w:val="continue"/>
          </w:tcPr>
          <w:p>
            <w:pPr/>
          </w:p>
        </w:tc>
        <w:tc>
          <w:tcPr/>
          <w:p>
            <w:pPr>
              <w:pStyle w:val="Compact"/>
              <w:jc w:val="left"/>
            </w:pPr>
            <w:r>
              <w:t xml:space="preserve">Downstream: End-of-Life (Net)</w:t>
            </w:r>
          </w:p>
        </w:tc>
        <w:tc>
          <w:tcPr/>
          <w:p>
            <w:pPr>
              <w:pStyle w:val="Compact"/>
              <w:jc w:val="left"/>
            </w:pPr>
            <w:r>
              <w:t xml:space="preserve">-6.20</w:t>
            </w:r>
          </w:p>
        </w:tc>
      </w:tr>
    </w:tbl>
    <w:p>
      <w:pPr>
        <w:pStyle w:val="BodyText"/>
      </w:pPr>
      <w:r>
        <w:rPr>
          <w:bCs/>
          <w:b/>
        </w:rPr>
        <w:t xml:space="preserve">Total Product Carbon Footprint = Scope 1 + Scope 2 + Total Scope 3</w:t>
      </w:r>
    </w:p>
    <w:p>
      <w:pPr>
        <w:pStyle w:val="BodyText"/>
      </w:pPr>
      <w:r>
        <w:t xml:space="preserve">Total PCF = 0.00 + 4.18 + (9.35 + 0.28 + 0.63 + 25.00 - 6.20)</w:t>
      </w:r>
    </w:p>
    <w:p>
      <w:pPr>
        <w:pStyle w:val="BodyText"/>
      </w:pPr>
      <w:r>
        <w:t xml:space="preserve">Total PCF = 4.18 + 29.06 =</w:t>
      </w:r>
      <w:r>
        <w:t xml:space="preserve"> </w:t>
      </w:r>
      <w:r>
        <w:rPr>
          <w:bCs/>
          <w:b/>
        </w:rPr>
        <w:t xml:space="preserve">33.24 kgCO2e/unit</w:t>
      </w:r>
    </w:p>
    <w:p>
      <w:r>
        <w:pict>
          <v:rect style="width:0;height:1.5pt" o:hralign="center" o:hrstd="t" o:hr="t"/>
        </w:pict>
      </w:r>
    </w:p>
    <w:bookmarkEnd w:id="46"/>
    <w:bookmarkEnd w:id="47"/>
    <w:bookmarkEnd w:id="48"/>
    <w:bookmarkStart w:id="51" w:name="review-report---hotspots-and-reliability"/>
    <w:p>
      <w:pPr>
        <w:pStyle w:val="Heading2"/>
      </w:pPr>
      <w:r>
        <w:t xml:space="preserve">4. Review &amp; Report - Hotspots and Reliability</w:t>
      </w:r>
    </w:p>
    <w:bookmarkStart w:id="49" w:name="emission-hotspots"/>
    <w:p>
      <w:pPr>
        <w:pStyle w:val="Heading3"/>
      </w:pPr>
      <w:r>
        <w:t xml:space="preserve">4.1. Emission Hotspots</w:t>
      </w:r>
    </w:p>
    <w:p>
      <w:pPr>
        <w:pStyle w:val="FirstParagraph"/>
      </w:pPr>
      <w:r>
        <w:t xml:space="preserve">The analysis reveals the following major emission hotspots for zjozuilwlz:</w:t>
      </w:r>
    </w:p>
    <w:p>
      <w:pPr>
        <w:numPr>
          <w:ilvl w:val="0"/>
          <w:numId w:val="1016"/>
        </w:numPr>
        <w:pStyle w:val="Compact"/>
      </w:pPr>
      <w:r>
        <w:rPr>
          <w:bCs/>
          <w:b/>
        </w:rPr>
        <w:t xml:space="preserve">Use Phase (25.00 kgCO2e/unit):</w:t>
      </w:r>
      <w:r>
        <w:t xml:space="preserve"> </w:t>
      </w:r>
      <w:r>
        <w:t xml:space="preserve">This constitutes the largest portion of the footprint, primarily due to the energy consumption of the product during its 5-year lifespan. This highlights a critical area for design intervention, such as improving energy efficiency.</w:t>
      </w:r>
    </w:p>
    <w:p>
      <w:pPr>
        <w:numPr>
          <w:ilvl w:val="0"/>
          <w:numId w:val="1016"/>
        </w:numPr>
        <w:pStyle w:val="Compact"/>
      </w:pPr>
      <w:r>
        <w:rPr>
          <w:bCs/>
          <w:b/>
        </w:rPr>
        <w:t xml:space="preserve">Material Acquisition &amp; Pre-processing (9.35 kgCO2e/unit):</w:t>
      </w:r>
      <w:r>
        <w:t xml:space="preserve"> </w:t>
      </w:r>
      <w:r>
        <w:t xml:space="preserve">The embodied emissions in materials like aluminum and virgin plastics contribute significantly. Shifting to recycled content or lower-impact materials could substantially reduce this.</w:t>
      </w:r>
    </w:p>
    <w:p>
      <w:pPr>
        <w:numPr>
          <w:ilvl w:val="0"/>
          <w:numId w:val="1016"/>
        </w:numPr>
        <w:pStyle w:val="Compact"/>
      </w:pPr>
      <w:r>
        <w:rPr>
          <w:bCs/>
          <w:b/>
        </w:rPr>
        <w:t xml:space="preserve">Production (Scope 2, 4.18 kgCO2e/unit):</w:t>
      </w:r>
      <w:r>
        <w:t xml:space="preserve"> </w:t>
      </w:r>
      <w:r>
        <w:t xml:space="preserve">While 50% renewable energy is used, the remaining grid electricity from China\'s mix still contributes notably. Further increasing renewable energy penetration or sourcing from lower-carbon grids would be beneficial.</w:t>
      </w:r>
    </w:p>
    <w:bookmarkEnd w:id="49"/>
    <w:bookmarkStart w:id="50" w:name="data-reliability-and-limitations"/>
    <w:p>
      <w:pPr>
        <w:pStyle w:val="Heading3"/>
      </w:pPr>
      <w:r>
        <w:t xml:space="preserve">4.2. Data Reliability and Limitations</w:t>
      </w:r>
    </w:p>
    <w:p>
      <w:pPr>
        <w:pStyle w:val="FirstParagraph"/>
      </w:pPr>
      <w:r>
        <w:t xml:space="preserve">The reliability of this PCF analysis is contingent upon the accuracy of the input data:</w:t>
      </w:r>
    </w:p>
    <w:p>
      <w:pPr>
        <w:numPr>
          <w:ilvl w:val="0"/>
          <w:numId w:val="1017"/>
        </w:numPr>
        <w:pStyle w:val="Compact"/>
      </w:pPr>
      <w:r>
        <w:rPr>
          <w:bCs/>
          <w:b/>
        </w:rPr>
        <w:t xml:space="preserve">BOM Data:</w:t>
      </w:r>
      <w:r>
        <w:t xml:space="preserve"> </w:t>
      </w:r>
      <w:r>
        <w:t xml:space="preserve">Illustrative BOM data was created based on the specified format of "mhvfgwyl." Real-world primary data for each component\'s manufacturing process and specific material emission factors would enhance accuracy.</w:t>
      </w:r>
    </w:p>
    <w:p>
      <w:pPr>
        <w:numPr>
          <w:ilvl w:val="0"/>
          <w:numId w:val="1017"/>
        </w:numPr>
        <w:pStyle w:val="Compact"/>
      </w:pPr>
      <w:r>
        <w:rPr>
          <w:bCs/>
          <w:b/>
        </w:rPr>
        <w:t xml:space="preserve">Placeholder Parameters:</w:t>
      </w:r>
      <w:r>
        <w:t xml:space="preserve"> </w:t>
      </w:r>
      <w:r>
        <w:t xml:space="preserve">Parameters like "Select Mode," "xwqxqkvmul," "Delivery Type," "sguzwjzjoh," "ikoozigmoy," "zorjjoxmrj," "qqrsqnhxjj," "ogdgvovjsl," and "yusoxqunnu" were replaced with reasonable industry averages and assumptions. Using specific, measured data for these parameters would significantly improve precision.</w:t>
      </w:r>
    </w:p>
    <w:p>
      <w:pPr>
        <w:numPr>
          <w:ilvl w:val="0"/>
          <w:numId w:val="1017"/>
        </w:numPr>
        <w:pStyle w:val="Compact"/>
      </w:pPr>
      <w:r>
        <w:rPr>
          <w:bCs/>
          <w:b/>
        </w:rPr>
        <w:t xml:space="preserve">Emission Factors:</w:t>
      </w:r>
      <w:r>
        <w:t xml:space="preserve"> </w:t>
      </w:r>
      <w:r>
        <w:t xml:space="preserve">Industry-standard emission factors (e.g., from Ecoinvent/DEFRA equivalents) were used for transport, energy, and end-of-life where specific data was not provided. While representative, regional and specific supplier data would increase accuracy.</w:t>
      </w:r>
    </w:p>
    <w:p>
      <w:pPr>
        <w:numPr>
          <w:ilvl w:val="0"/>
          <w:numId w:val="1017"/>
        </w:numPr>
        <w:pStyle w:val="Compact"/>
      </w:pPr>
      <w:r>
        <w:rPr>
          <w:bCs/>
          <w:b/>
        </w:rPr>
        <w:t xml:space="preserve">System Boundary:</w:t>
      </w:r>
      <w:r>
        <w:t xml:space="preserve"> </w:t>
      </w:r>
      <w:r>
        <w:t xml:space="preserve">While the \'factory_gate\' boundary was augmented with downstream stages, a full cradle-to-grave analysis with detailed primary data for all upstream and downstream processes (e.g., exact origins of raw materials, consumer usage patterns, detailed waste management routes) would provide the most complete picture.</w:t>
      </w:r>
    </w:p>
    <w:p>
      <w:pPr>
        <w:numPr>
          <w:ilvl w:val="0"/>
          <w:numId w:val="1017"/>
        </w:numPr>
        <w:pStyle w:val="Compact"/>
      </w:pPr>
      <w:r>
        <w:rPr>
          <w:bCs/>
          <w:b/>
        </w:rPr>
        <w:t xml:space="preserve">LSR Standard:</w:t>
      </w:r>
      <w:r>
        <w:t xml:space="preserve"> </w:t>
      </w:r>
      <w:r>
        <w:t xml:space="preserve">Application of the LSR standard was limited due to the general nature of material inputs. Comprehensive implementation would require granular data on land-use changes and removals associated with raw material production.</w:t>
      </w:r>
    </w:p>
    <w:p>
      <w:r>
        <w:pict>
          <v:rect style="width:0;height:1.5pt" o:hralign="center" o:hrstd="t" o:hr="t"/>
        </w:pict>
      </w:r>
    </w:p>
    <w:bookmarkEnd w:id="50"/>
    <w:bookmarkEnd w:id="51"/>
    <w:bookmarkStart w:id="52" w:name="recommendations"/>
    <w:p>
      <w:pPr>
        <w:pStyle w:val="Heading2"/>
      </w:pPr>
      <w:r>
        <w:t xml:space="preserve">5. Recommendations</w:t>
      </w:r>
    </w:p>
    <w:p>
      <w:pPr>
        <w:pStyle w:val="FirstParagraph"/>
      </w:pPr>
      <w:r>
        <w:t xml:space="preserve">Based on the PCF analysis, yqkgzrxhiq should consider the following recommendations to reduce the carbon footprint of zjozuilwlz:</w:t>
      </w:r>
    </w:p>
    <w:p>
      <w:pPr>
        <w:numPr>
          <w:ilvl w:val="0"/>
          <w:numId w:val="1018"/>
        </w:numPr>
        <w:pStyle w:val="Compact"/>
      </w:pPr>
      <w:r>
        <w:rPr>
          <w:bCs/>
          <w:b/>
        </w:rPr>
        <w:t xml:space="preserve">Enhance Use Phase Efficiency:</w:t>
      </w:r>
      <w:r>
        <w:t xml:space="preserve"> </w:t>
      </w:r>
      <w:r>
        <w:t xml:space="preserve">Focus R&amp;D on significantly reducing the product\'s energy consumption during its use phase. Explore low-power modes, extend product lifespan, and consider user behavior in design.</w:t>
      </w:r>
    </w:p>
    <w:p>
      <w:pPr>
        <w:numPr>
          <w:ilvl w:val="0"/>
          <w:numId w:val="1018"/>
        </w:numPr>
        <w:pStyle w:val="Compact"/>
      </w:pPr>
      <w:r>
        <w:rPr>
          <w:bCs/>
          <w:b/>
        </w:rPr>
        <w:t xml:space="preserve">Optimize Material Selection:</w:t>
      </w:r>
      <w:r>
        <w:t xml:space="preserve"> </w:t>
      </w:r>
      <w:r>
        <w:t xml:space="preserve">Prioritize materials with lower embodied carbon, such as recycled aluminum, recycled plastics, and sustainably sourced bio-based materials. Leverage circular design principles to maximize recyclability and incorporate post-consumer recycled content.</w:t>
      </w:r>
    </w:p>
    <w:p>
      <w:pPr>
        <w:numPr>
          <w:ilvl w:val="0"/>
          <w:numId w:val="1018"/>
        </w:numPr>
        <w:pStyle w:val="Compact"/>
      </w:pPr>
      <w:r>
        <w:rPr>
          <w:bCs/>
          <w:b/>
        </w:rPr>
        <w:t xml:space="preserve">Increase Renewable Energy at Production:</w:t>
      </w:r>
      <w:r>
        <w:t xml:space="preserve"> </w:t>
      </w:r>
      <w:r>
        <w:t xml:space="preserve">Continue to invest in and procure 100% renewable electricity at manufacturing facilities, both directly (on-site generation) and indirectly (renewable energy certificates/PPAs).</w:t>
      </w:r>
    </w:p>
    <w:p>
      <w:pPr>
        <w:numPr>
          <w:ilvl w:val="0"/>
          <w:numId w:val="1018"/>
        </w:numPr>
        <w:pStyle w:val="Compact"/>
      </w:pPr>
      <w:r>
        <w:rPr>
          <w:bCs/>
          <w:b/>
        </w:rPr>
        <w:t xml:space="preserve">Streamline Logistics:</w:t>
      </w:r>
      <w:r>
        <w:t xml:space="preserve"> </w:t>
      </w:r>
      <w:r>
        <w:t xml:space="preserve">Optimize transportation routes and modes to reduce distances and utilize lower-emission transport options (e.g., rail or sea over air where feasible). Work with logistics partners to improve vehicle efficiency and explore electric/alternative fuel fleets.</w:t>
      </w:r>
    </w:p>
    <w:p>
      <w:pPr>
        <w:numPr>
          <w:ilvl w:val="0"/>
          <w:numId w:val="1018"/>
        </w:numPr>
        <w:pStyle w:val="Compact"/>
      </w:pPr>
      <w:r>
        <w:rPr>
          <w:bCs/>
          <w:b/>
        </w:rPr>
        <w:t xml:space="preserve">Strengthen Circular Economy Initiatives:</w:t>
      </w:r>
      <w:r>
        <w:t xml:space="preserve"> </w:t>
      </w:r>
      <w:r>
        <w:t xml:space="preserve">Expand and promote take-back and repair programs (yusoxqunnu) to extend product life and ensure high-quality material recovery at End-of-Life, reducing the reliance on virgin materials and minimizing landfilling. Improve the collection and sorting infrastructure for product components.</w:t>
      </w:r>
    </w:p>
    <w:p>
      <w:pPr>
        <w:numPr>
          <w:ilvl w:val="0"/>
          <w:numId w:val="1018"/>
        </w:numPr>
        <w:pStyle w:val="Compact"/>
      </w:pPr>
      <w:r>
        <w:rPr>
          <w:bCs/>
          <w:b/>
        </w:rPr>
        <w:t xml:space="preserve">Data Improvement:</w:t>
      </w:r>
      <w:r>
        <w:t xml:space="preserve"> </w:t>
      </w:r>
      <w:r>
        <w:t xml:space="preserve">Implement systems for collecting more specific primary data across the value chain, particularly for raw material origins, supplier-specific emission factors, and actual use-phase energy consumption patterns.</w:t>
      </w:r>
    </w:p>
    <w:p>
      <w:r>
        <w:pict>
          <v:rect style="width:0;height:1.5pt" o:hralign="center" o:hrstd="t" o:hr="t"/>
        </w:pict>
      </w:r>
    </w:p>
    <w:bookmarkEnd w:id="52"/>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zjozuilwlz</dc:title>
  <dc:creator/>
  <dc:description>Detailed Product Carbon Footprint (PCF) analysis report for zjozuilwlz by yqkgzrxhiq, adhering to GHG Protocol standards and 2026 LSR updates.</dc:description>
  <dc:language>en</dc:language>
  <cp:keywords/>
  <dcterms:created xsi:type="dcterms:W3CDTF">2026-05-30T16:55:35Z</dcterms:created>
  <dcterms:modified xsi:type="dcterms:W3CDTF">2026-05-30T16:55:35Z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