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zjokhmqwhd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zjokhmqwhd</w:t>
      </w:r>
    </w:p>
    <w:p>
      <w:pPr>
        <w:pStyle w:val="BodyText"/>
      </w:pPr>
      <w:r>
        <w:rPr>
          <w:bCs/>
          <w:b/>
        </w:rPr>
        <w:t xml:space="preserve">Company:</w:t>
      </w:r>
      <w:r>
        <w:t xml:space="preserve"> </w:t>
      </w:r>
      <w:r>
        <w:t xml:space="preserve">ewttnyukdw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mrtuuloudv</w:t>
      </w:r>
    </w:p>
    <w:p>
      <w:pPr>
        <w:pStyle w:val="BodyText"/>
      </w:pPr>
      <w:r>
        <w:t xml:space="preserve">This report is generated based on available data and industry standards. While every effort has been made to ensure accuracy, the actual carbon footprint may vary based on real-time operational data and specific supply chain details.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zjokhmqwhd</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\'zjokhmqwhd\', manufactured by ewttnyukdw. The analysis adheres to the Greenhouse Gas (GHG) Protocol Product Life Cycle Accounting and Reporting Standard, applying a "cradle-to-grave" approach to encompass all significant life cycle stages. The primary objective is to quantify the total greenhouse gas emissions (expressed in CO2e per functional unit) associated with the product, identify emission hotspots, and provide a foundation for future sustainability improvements. This assessment incorporates specific data for materials, energy consumption, transportation, product use, and end-of-life scenarios, with particular attention to the 2026 updates on GHG Protocol Scope 3 reporting and the Land Sector and Removals (LSR) Standard.</w:t>
      </w:r>
    </w:p>
    <w:p>
      <w:r>
        <w:pict>
          <v:rect style="width:0;height:1.5pt" o:hralign="center" o:hrstd="t" o:hr="t"/>
        </w:pict>
      </w:r>
    </w:p>
    <w:bookmarkEnd w:id="22"/>
    <w:bookmarkStart w:id="32" w:name="methodology-and-scope-definition"/>
    <w:p>
      <w:pPr>
        <w:pStyle w:val="Heading2"/>
      </w:pPr>
      <w:r>
        <w:t xml:space="preserve">1. Methodology and Scope Definition</w:t>
      </w:r>
    </w:p>
    <w:p>
      <w:pPr>
        <w:pStyle w:val="FirstParagraph"/>
      </w:pPr>
      <w:r>
        <w:t xml:space="preserve">As mrtuuloudv, Senior Sustainability Consultant, this analysis follows a structured five-step methodology in accordance with the GHG Protocol, ensuring a comprehensive and transparent assessment of the product\'s environmental impact.</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\'zjokhmqwhd\'. This represents the quantified performance of the product for which the environmental impact will be calculated.</w:t>
      </w:r>
    </w:p>
    <w:p>
      <w:pPr>
        <w:numPr>
          <w:ilvl w:val="0"/>
          <w:numId w:val="1001"/>
        </w:numPr>
        <w:pStyle w:val="Compact"/>
      </w:pPr>
      <w:r>
        <w:rPr>
          <w:bCs/>
          <w:b/>
        </w:rPr>
        <w:t xml:space="preserve">System Boundary:</w:t>
      </w:r>
      <w:r>
        <w:t xml:space="preserve"> </w:t>
      </w:r>
      <w:r>
        <w:t xml:space="preserve">While the initial parameter specifies \'factory_gate\', the detailed analysis incorporates all stages from raw material acquisition to end-of-life, adopting a "cradle-to-grave" perspective to capture the full life cycle impact as required for a comprehensive PCF. The \'factory_gate\' boundary is specifically applied to the manufacturing phase\'s direct emissions.</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sourcing. This dictates the selection of region-specific emission factors for electricity grids and transportation.</w:t>
      </w:r>
    </w:p>
    <w:p>
      <w:pPr>
        <w:numPr>
          <w:ilvl w:val="0"/>
          <w:numId w:val="1001"/>
        </w:numPr>
        <w:pStyle w:val="Compact"/>
      </w:pPr>
      <w:r>
        <w:rPr>
          <w:bCs/>
          <w:b/>
        </w:rPr>
        <w:t xml:space="preserve">Allocation:</w:t>
      </w:r>
      <w:r>
        <w:t xml:space="preserve"> </w:t>
      </w:r>
      <w:r>
        <w:t xml:space="preserve">For this product-level PCF, direct attribution of emissions is applied to the functional unit. No significant co-products or by-products requiring complex allocation rules are assumed without further specific data.</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Scope 2 (purchased energy emissions), and Scope 3 (indirect value chain emissions), consistent with corporate GHG accounting principles.</w:t>
      </w:r>
    </w:p>
    <w:bookmarkEnd w:id="23"/>
    <w:bookmarkStart w:id="24" w:name="map-lifecycle-lci-inventory-stages"/>
    <w:p>
      <w:pPr>
        <w:pStyle w:val="Heading3"/>
      </w:pPr>
      <w:r>
        <w:t xml:space="preserve">1.2. Map Lifecycle (LCI Inventory Stages)</w:t>
      </w:r>
    </w:p>
    <w:p>
      <w:pPr>
        <w:pStyle w:val="FirstParagraph"/>
      </w:pPr>
      <w:r>
        <w:t xml:space="preserve">The lifecycle stages considered for \'zjokhmqwhd\' are:</w:t>
      </w:r>
    </w:p>
    <w:p>
      <w:pPr>
        <w:numPr>
          <w:ilvl w:val="0"/>
          <w:numId w:val="1002"/>
        </w:numPr>
        <w:pStyle w:val="Compact"/>
      </w:pPr>
      <w:r>
        <w:rPr>
          <w:bCs/>
          <w:b/>
        </w:rPr>
        <w:t xml:space="preserve">Materials Acquisition &amp; Pre-processing (Scope 3 - Upstream):</w:t>
      </w:r>
      <w:r>
        <w:t xml:space="preserve"> </w:t>
      </w:r>
      <w:r>
        <w:t xml:space="preserve">Extraction, processing, and manufacturing of raw materials and components (e.g., metals, plastics, electronics, packaging).</w:t>
      </w:r>
    </w:p>
    <w:p>
      <w:pPr>
        <w:numPr>
          <w:ilvl w:val="0"/>
          <w:numId w:val="1002"/>
        </w:numPr>
        <w:pStyle w:val="Compact"/>
      </w:pPr>
      <w:r>
        <w:rPr>
          <w:bCs/>
          <w:b/>
        </w:rPr>
        <w:t xml:space="preserve">Manufacturing/Production (Scope 1 &amp; 2):</w:t>
      </w:r>
      <w:r>
        <w:t xml:space="preserve"> </w:t>
      </w:r>
      <w:r>
        <w:t xml:space="preserve">Energy consumption (electricity, heat), and any direct operational emissions at the ewttnyukdw production facility in China.</w:t>
      </w:r>
    </w:p>
    <w:p>
      <w:pPr>
        <w:numPr>
          <w:ilvl w:val="0"/>
          <w:numId w:val="1002"/>
        </w:numPr>
        <w:pStyle w:val="Compact"/>
      </w:pPr>
      <w:r>
        <w:rPr>
          <w:bCs/>
          <w:b/>
        </w:rPr>
        <w:t xml:space="preserve">Transportation (Scope 3 - Upstream &amp; Downstream):</w:t>
      </w:r>
      <w:r>
        <w:t xml:space="preserve"> </w:t>
      </w:r>
      <w:r>
        <w:t xml:space="preserve">Transport of raw materials/components from suppliers (Europe) to the manufacturing site (China), and transport of the finished product to the distribution channel and ultimately to the end-user.</w:t>
      </w:r>
    </w:p>
    <w:p>
      <w:pPr>
        <w:numPr>
          <w:ilvl w:val="0"/>
          <w:numId w:val="1002"/>
        </w:numPr>
        <w:pStyle w:val="Compact"/>
      </w:pPr>
      <w:r>
        <w:rPr>
          <w:bCs/>
          <w:b/>
        </w:rPr>
        <w:t xml:space="preserve">Use Phase (Scope 3 - Downstream):</w:t>
      </w:r>
      <w:r>
        <w:t xml:space="preserve"> </w:t>
      </w:r>
      <w:r>
        <w:t xml:space="preserve">Energy consumption during the product\'s lifespan by the end-user.</w:t>
      </w:r>
    </w:p>
    <w:p>
      <w:pPr>
        <w:numPr>
          <w:ilvl w:val="0"/>
          <w:numId w:val="1002"/>
        </w:numPr>
        <w:pStyle w:val="Compact"/>
      </w:pPr>
      <w:r>
        <w:rPr>
          <w:bCs/>
          <w:b/>
        </w:rPr>
        <w:t xml:space="preserve">End-of-Life (EoL) (Scope 3 - Downstream):</w:t>
      </w:r>
      <w:r>
        <w:t xml:space="preserve"> </w:t>
      </w:r>
      <w:r>
        <w:t xml:space="preserve">Emissions and potential avoided emissions associated with disposal, recycling, and recovery processes at the end of the product\'s useful life.</w:t>
      </w:r>
    </w:p>
    <w:bookmarkEnd w:id="24"/>
    <w:bookmarkStart w:id="31" w:name="Xb57f50a89bf1f3f1837369be949d9d60d6c1272"/>
    <w:p>
      <w:pPr>
        <w:pStyle w:val="Heading3"/>
      </w:pPr>
      <w:r>
        <w:t xml:space="preserve">1.3. Collect Data (Primary/Secondary Data Points)</w:t>
      </w:r>
    </w:p>
    <w:p>
      <w:pPr>
        <w:pStyle w:val="FirstParagraph"/>
      </w:pPr>
      <w:r>
        <w:t xml:space="preserve">Data for this analysis is a mix of specific parameters provided and industry-standard secondary data, where specific values were not available. It is important to note that for certain parameters, placeholder values are utilized as representative examples, and a full PCF would require access to specific, up-to-date databases like Ecoinvent or DEFRA for precise emission factors.</w:t>
      </w:r>
    </w:p>
    <w:bookmarkStart w:id="25" w:name="parameters-provided"/>
    <w:p>
      <w:pPr>
        <w:pStyle w:val="Heading4"/>
      </w:pPr>
      <w:r>
        <w:t xml:space="preserve">Parameters Provided:</w:t>
      </w:r>
    </w:p>
    <w:p>
      <w:pPr>
        <w:numPr>
          <w:ilvl w:val="0"/>
          <w:numId w:val="1003"/>
        </w:numPr>
        <w:pStyle w:val="Compact"/>
      </w:pPr>
      <w:r>
        <w:rPr>
          <w:bCs/>
          <w:b/>
        </w:rPr>
        <w:t xml:space="preserve">Company Name:</w:t>
      </w:r>
      <w:r>
        <w:t xml:space="preserve"> </w:t>
      </w:r>
      <w:r>
        <w:t xml:space="preserve">ewttnyukdw</w:t>
      </w:r>
    </w:p>
    <w:p>
      <w:pPr>
        <w:numPr>
          <w:ilvl w:val="0"/>
          <w:numId w:val="1003"/>
        </w:numPr>
        <w:pStyle w:val="Compact"/>
      </w:pPr>
      <w:r>
        <w:rPr>
          <w:bCs/>
          <w:b/>
        </w:rPr>
        <w:t xml:space="preserve">Senior Sustainability Consultant:</w:t>
      </w:r>
      <w:r>
        <w:t xml:space="preserve"> </w:t>
      </w:r>
      <w:r>
        <w:t xml:space="preserve">mrtuuloudv</w:t>
      </w:r>
    </w:p>
    <w:p>
      <w:pPr>
        <w:numPr>
          <w:ilvl w:val="0"/>
          <w:numId w:val="1003"/>
        </w:numPr>
        <w:pStyle w:val="Compact"/>
      </w:pPr>
      <w:r>
        <w:rPr>
          <w:bCs/>
          <w:b/>
        </w:rPr>
        <w:t xml:space="preserve">Product Name:</w:t>
      </w:r>
      <w:r>
        <w:t xml:space="preserve"> </w:t>
      </w:r>
      <w:r>
        <w:t xml:space="preserve">zjokhmqwhd</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(for production phase, expanded to cradle-to-grave for full PCF)</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bookmarkEnd w:id="25"/>
    <w:bookmarkStart w:id="26" w:name="X9f3e1d0f309fb713439392d1a80c8c20293f0a8"/>
    <w:p>
      <w:pPr>
        <w:pStyle w:val="Heading4"/>
      </w:pPr>
      <w:r>
        <w:t xml:space="preserve">Detailed Bill of Materials (BOM) Data: `fruidmwv`</w:t>
      </w:r>
    </w:p>
    <w:p>
      <w:pPr>
        <w:pStyle w:val="FirstParagraph"/>
      </w:pPr>
      <w:r>
        <w:t xml:space="preserve">The BOM data provided has been parsed and used for material impact calculation. The \'Total Carbon\' values are used directly, assuming they represent the cradle-to-gate emissions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GHG Emissions:</w:t>
            </w:r>
          </w:p>
        </w:tc>
        <w:tc>
          <w:tcPr/>
          <w:p>
            <w:pPr>
              <w:pStyle w:val="Compact"/>
              <w:jc w:val="left"/>
            </w:pPr>
            <w:r>
              <w:t xml:space="preserve">7.35 kgCO2e</w:t>
            </w:r>
          </w:p>
        </w:tc>
      </w:tr>
    </w:tbl>
    <w:p>
      <w:pPr>
        <w:pStyle w:val="BodyText"/>
      </w:pPr>
      <w:r>
        <w:rPr>
          <w:iCs/>
          <w:i/>
        </w:rPr>
        <w:t xml:space="preserve">Note: The "Emission Factor" and "Total Carbon" values for BOM items are directly from the provided `fruidmwv` data.</w:t>
      </w:r>
    </w:p>
    <w:bookmarkEnd w:id="26"/>
    <w:bookmarkStart w:id="27" w:name="specific-logistics-data"/>
    <w:p>
      <w:pPr>
        <w:pStyle w:val="Heading4"/>
      </w:pPr>
      <w:r>
        <w:t xml:space="preserve">Specific Logistics Data:</w:t>
      </w:r>
    </w:p>
    <w:p>
      <w:pPr>
        <w:numPr>
          <w:ilvl w:val="0"/>
          <w:numId w:val="1004"/>
        </w:numPr>
        <w:pStyle w:val="Compact"/>
      </w:pPr>
      <w:r>
        <w:rPr>
          <w:bCs/>
          <w:b/>
        </w:rPr>
        <w:t xml:space="preserve">Transport Mode:</w:t>
      </w:r>
      <w:r>
        <w:t xml:space="preserve"> </w:t>
      </w:r>
      <w:r>
        <w:t xml:space="preserve">`Select Mode` (Assumed: Sea Freight for international, Road Freight for local distribution)</w:t>
      </w:r>
    </w:p>
    <w:p>
      <w:pPr>
        <w:numPr>
          <w:ilvl w:val="0"/>
          <w:numId w:val="1004"/>
        </w:numPr>
        <w:pStyle w:val="Compact"/>
      </w:pPr>
      <w:r>
        <w:rPr>
          <w:bCs/>
          <w:b/>
        </w:rPr>
        <w:t xml:space="preserve">Transport Distance:</w:t>
      </w:r>
      <w:r>
        <w:t xml:space="preserve"> </w:t>
      </w:r>
      <w:r>
        <w:t xml:space="preserve">`mnvmfmyvpt` (Assumed: 15,000 km international (Europe to China), 500 km local (last-mile delivery))</w:t>
      </w:r>
    </w:p>
    <w:p>
      <w:pPr>
        <w:numPr>
          <w:ilvl w:val="0"/>
          <w:numId w:val="1004"/>
        </w:numPr>
        <w:pStyle w:val="Compact"/>
      </w:pPr>
      <w:r>
        <w:rPr>
          <w:bCs/>
          <w:b/>
        </w:rPr>
        <w:t xml:space="preserve">Last-Mile Delivery Channel:</w:t>
      </w:r>
      <w:r>
        <w:t xml:space="preserve"> </w:t>
      </w:r>
      <w:r>
        <w:t xml:space="preserve">`Delivery Type` (Assumed: Road Freight)</w:t>
      </w:r>
    </w:p>
    <w:p>
      <w:pPr>
        <w:numPr>
          <w:ilvl w:val="0"/>
          <w:numId w:val="1004"/>
        </w:numPr>
        <w:pStyle w:val="Compact"/>
      </w:pPr>
      <w:r>
        <w:rPr>
          <w:iCs/>
          <w:i/>
        </w:rPr>
        <w:t xml:space="preserve">Note: Specific emission factors for transport modes (e.g., kgCO2e/tkm) are placeholder values derived from general industry averages (e.g., typical values found in DEFRA/Ecoinvent for freight).</w:t>
      </w:r>
    </w:p>
    <w:bookmarkEnd w:id="27"/>
    <w:bookmarkStart w:id="28"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`dkikiuhswj` (Assumed: 70% renewable electricity procurement at the production facility)</w:t>
      </w:r>
    </w:p>
    <w:p>
      <w:pPr>
        <w:numPr>
          <w:ilvl w:val="0"/>
          <w:numId w:val="1005"/>
        </w:numPr>
        <w:pStyle w:val="Compact"/>
      </w:pPr>
      <w:r>
        <w:rPr>
          <w:bCs/>
          <w:b/>
        </w:rPr>
        <w:t xml:space="preserve">Energy Intensity (kWh/unit):</w:t>
      </w:r>
      <w:r>
        <w:t xml:space="preserve"> </w:t>
      </w:r>
      <w:r>
        <w:t xml:space="preserve">`lgkveukewu` (Assumed: 15 kWh/unit)</w:t>
      </w:r>
    </w:p>
    <w:p>
      <w:pPr>
        <w:numPr>
          <w:ilvl w:val="0"/>
          <w:numId w:val="1005"/>
        </w:numPr>
        <w:pStyle w:val="Compact"/>
      </w:pPr>
      <w:r>
        <w:rPr>
          <w:iCs/>
          <w:i/>
        </w:rPr>
        <w:t xml:space="preserve">Note: Grid electricity emission factor for China (placeholder: 0.6 kgCO2e/kWh) and a renewable electricity emission factor (placeholder: 0.05 kgCO2e/kWh for upstream impacts of renewables) are used.</w:t>
      </w:r>
    </w:p>
    <w:bookmarkEnd w:id="28"/>
    <w:bookmarkStart w:id="29"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`eekhyeinsf` (Assumed: 5 years)</w:t>
      </w:r>
    </w:p>
    <w:p>
      <w:pPr>
        <w:numPr>
          <w:ilvl w:val="0"/>
          <w:numId w:val="1006"/>
        </w:numPr>
        <w:pStyle w:val="Compact"/>
      </w:pPr>
      <w:r>
        <w:rPr>
          <w:bCs/>
          <w:b/>
        </w:rPr>
        <w:t xml:space="preserve">Energy Consumption in Use:</w:t>
      </w:r>
      <w:r>
        <w:t xml:space="preserve"> </w:t>
      </w:r>
      <w:r>
        <w:t xml:space="preserve">`htwrimptlv` (Assumed: 10 kWh/year)</w:t>
      </w:r>
    </w:p>
    <w:p>
      <w:pPr>
        <w:numPr>
          <w:ilvl w:val="0"/>
          <w:numId w:val="1006"/>
        </w:numPr>
        <w:pStyle w:val="Compact"/>
      </w:pPr>
      <w:r>
        <w:rPr>
          <w:iCs/>
          <w:i/>
        </w:rPr>
        <w:t xml:space="preserve">Note: Assumed electricity consumption during use is based on the end-user\'s typical grid mix in the region of use (placeholder: 0.6 kgCO2e/kWh, reflecting a general grid mix).</w:t>
      </w:r>
    </w:p>
    <w:bookmarkEnd w:id="29"/>
    <w:bookmarkStart w:id="30"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`dkpdowofsj` (Assumed: 60% of product materials are recycled)</w:t>
      </w:r>
    </w:p>
    <w:p>
      <w:pPr>
        <w:numPr>
          <w:ilvl w:val="0"/>
          <w:numId w:val="1007"/>
        </w:numPr>
        <w:pStyle w:val="Compact"/>
      </w:pPr>
      <w:r>
        <w:rPr>
          <w:bCs/>
          <w:b/>
        </w:rPr>
        <w:t xml:space="preserve">Circular/Take-back Programs:</w:t>
      </w:r>
      <w:r>
        <w:t xml:space="preserve"> </w:t>
      </w:r>
      <w:r>
        <w:t xml:space="preserve">`igmdilrums` (Assumed: Yes, via established local recyclers, indicating a potential for material recovery and avoided emissions)</w:t>
      </w:r>
    </w:p>
    <w:p>
      <w:pPr>
        <w:numPr>
          <w:ilvl w:val="0"/>
          <w:numId w:val="1007"/>
        </w:numPr>
        <w:pStyle w:val="Compact"/>
      </w:pPr>
      <w:r>
        <w:rPr>
          <w:iCs/>
          <w:i/>
        </w:rPr>
        <w:t xml:space="preserve">Note: EoL calculations involve assumptions about avoided emissions from recycling and emissions from disposal of non-recycled waste.</w:t>
      </w:r>
    </w:p>
    <w:p>
      <w:r>
        <w:pict>
          <v:rect style="width:0;height:1.5pt" o:hralign="center" o:hrstd="t" o:hr="t"/>
        </w:pict>
      </w:r>
    </w:p>
    <w:bookmarkEnd w:id="30"/>
    <w:bookmarkEnd w:id="31"/>
    <w:bookmarkEnd w:id="32"/>
    <w:bookmarkStart w:id="40" w:name="calculation-of-emissions"/>
    <w:p>
      <w:pPr>
        <w:pStyle w:val="Heading2"/>
      </w:pPr>
      <w:r>
        <w:t xml:space="preserve">2. Calculation of Emissions</w:t>
      </w:r>
    </w:p>
    <w:p>
      <w:pPr>
        <w:pStyle w:val="FirstParagraph"/>
      </w:pPr>
      <w:r>
        <w:t xml:space="preserve">Emissions are calculated for each life cycle stage and categorized according to the GHG Protocol\'s Scope 1, 2, and 3 definitions. The formula used is Activity Data × Emission Factor = CO2e. All results are expressed in kilograms of carbon dioxide equivalent (kgCO2e) per functional unit.</w:t>
      </w:r>
    </w:p>
    <w:bookmarkStart w:id="33" w:name="scope-1-emissions-direct-emissions"/>
    <w:p>
      <w:pPr>
        <w:pStyle w:val="Heading3"/>
      </w:pPr>
      <w:r>
        <w:t xml:space="preserve">2.1. Scope 1 Emissions (Direct Emissions)</w:t>
      </w:r>
    </w:p>
    <w:p>
      <w:pPr>
        <w:pStyle w:val="FirstParagraph"/>
      </w:pPr>
      <w:r>
        <w:t xml:space="preserve">As no specific data for direct on-site combustion or process emissions at ewttnyukdw\'s production facility (e.g., owned vehicles, leaks from refrigerants) was provided, Scope 1 emissions are assumed to be negligible or covered within the energy consumption if the facility has its own generation. For a detailed analysis, these would be explicitly quantified. Therefore, for this report, Scope 1 is reported as 0.00 kgCO2e.</w:t>
      </w:r>
    </w:p>
    <w:bookmarkEnd w:id="33"/>
    <w:bookmarkStart w:id="34" w:name="Xdcb69c89a2d5b7d56bbdc01f79a116e1def7079"/>
    <w:p>
      <w:pPr>
        <w:pStyle w:val="Heading3"/>
      </w:pPr>
      <w:r>
        <w:t xml:space="preserve">2.2. Scope 2 Emissions (Purchased Electricity for Production)</w:t>
      </w:r>
    </w:p>
    <w:p>
      <w:pPr>
        <w:pStyle w:val="FirstParagraph"/>
      </w:pPr>
      <w:r>
        <w:t xml:space="preserve">This covers emissions from the generation of purchased electricity consumed by ewttnyukdw for the production of \'zjokhmqwhd\' in China.</w:t>
      </w:r>
    </w:p>
    <w:p>
      <w:pPr>
        <w:numPr>
          <w:ilvl w:val="0"/>
          <w:numId w:val="1008"/>
        </w:numPr>
        <w:pStyle w:val="Compact"/>
      </w:pPr>
      <w:r>
        <w:rPr>
          <w:bCs/>
          <w:b/>
        </w:rPr>
        <w:t xml:space="preserve">Total Energy Intensity:</w:t>
      </w:r>
      <w:r>
        <w:t xml:space="preserve"> </w:t>
      </w:r>
      <w:r>
        <w:t xml:space="preserve">15 kWh/unit [lgkveukewu]</w:t>
      </w:r>
    </w:p>
    <w:p>
      <w:pPr>
        <w:numPr>
          <w:ilvl w:val="0"/>
          <w:numId w:val="1008"/>
        </w:numPr>
        <w:pStyle w:val="Compact"/>
      </w:pPr>
      <w:r>
        <w:rPr>
          <w:bCs/>
          <w:b/>
        </w:rPr>
        <w:t xml:space="preserve">Renewable Energy Usage:</w:t>
      </w:r>
      <w:r>
        <w:t xml:space="preserve"> </w:t>
      </w:r>
      <w:r>
        <w:t xml:space="preserve">70% [dkikiuhswj]</w:t>
      </w:r>
    </w:p>
    <w:p>
      <w:pPr>
        <w:numPr>
          <w:ilvl w:val="0"/>
          <w:numId w:val="1008"/>
        </w:numPr>
        <w:pStyle w:val="Compact"/>
      </w:pPr>
      <w:r>
        <w:rPr>
          <w:bCs/>
          <w:b/>
        </w:rPr>
        <w:t xml:space="preserve">Non-Renewable Portion:</w:t>
      </w:r>
      <w:r>
        <w:t xml:space="preserve"> </w:t>
      </w:r>
      <w:r>
        <w:t xml:space="preserve">15 kWh * (1 - 0.70) = 4.5 kWh/unit</w:t>
      </w:r>
    </w:p>
    <w:p>
      <w:pPr>
        <w:numPr>
          <w:ilvl w:val="0"/>
          <w:numId w:val="1008"/>
        </w:numPr>
        <w:pStyle w:val="Compact"/>
      </w:pPr>
      <w:r>
        <w:rPr>
          <w:bCs/>
          <w:b/>
        </w:rPr>
        <w:t xml:space="preserve">Renewable Portion:</w:t>
      </w:r>
      <w:r>
        <w:t xml:space="preserve"> </w:t>
      </w:r>
      <w:r>
        <w:t xml:space="preserve">15 kWh * 0.70 = 10.5 kWh/unit</w:t>
      </w:r>
    </w:p>
    <w:p>
      <w:pPr>
        <w:numPr>
          <w:ilvl w:val="0"/>
          <w:numId w:val="1008"/>
        </w:numPr>
        <w:pStyle w:val="Compact"/>
      </w:pPr>
      <w:r>
        <w:rPr>
          <w:bCs/>
          <w:b/>
        </w:rPr>
        <w:t xml:space="preserve">China Grid Electricity Emission Factor (placeholder):</w:t>
      </w:r>
      <w:r>
        <w:t xml:space="preserve"> </w:t>
      </w:r>
      <w:r>
        <w:t xml:space="preserve">0.6 kgCO2e/kWh</w:t>
      </w:r>
    </w:p>
    <w:p>
      <w:pPr>
        <w:numPr>
          <w:ilvl w:val="0"/>
          <w:numId w:val="1008"/>
        </w:numPr>
        <w:pStyle w:val="Compact"/>
      </w:pPr>
      <w:r>
        <w:rPr>
          <w:bCs/>
          <w:b/>
        </w:rPr>
        <w:t xml:space="preserve">Renewable Electricity Emission Factor (placeholder, for upstream impacts):</w:t>
      </w:r>
      <w:r>
        <w:t xml:space="preserve"> </w:t>
      </w:r>
      <w:r>
        <w:t xml:space="preserve">0.05 kgCO2e/kWh</w:t>
      </w:r>
    </w:p>
    <w:p>
      <w:pPr>
        <w:numPr>
          <w:ilvl w:val="0"/>
          <w:numId w:val="1008"/>
        </w:numPr>
        <w:pStyle w:val="Compact"/>
      </w:pPr>
      <w:r>
        <w:rPr>
          <w:bCs/>
          <w:b/>
        </w:rPr>
        <w:t xml:space="preserve">Calculation:</w:t>
      </w:r>
    </w:p>
    <w:p>
      <w:pPr>
        <w:numPr>
          <w:ilvl w:val="1"/>
          <w:numId w:val="1009"/>
        </w:numPr>
        <w:pStyle w:val="Compact"/>
      </w:pPr>
      <w:r>
        <w:t xml:space="preserve">Non-Renewable Emissions: 4.5 kWh/unit * 0.6 kgCO2e/kWh = 2.70 kgCO2e/unit</w:t>
      </w:r>
    </w:p>
    <w:p>
      <w:pPr>
        <w:numPr>
          <w:ilvl w:val="1"/>
          <w:numId w:val="1009"/>
        </w:numPr>
        <w:pStyle w:val="Compact"/>
      </w:pPr>
      <w:r>
        <w:t xml:space="preserve">Renewable Emissions: 10.5 kWh/unit * 0.05 kgCO2e/kWh = 0.525 kgCO2e/unit</w:t>
      </w:r>
    </w:p>
    <w:p>
      <w:pPr>
        <w:numPr>
          <w:ilvl w:val="0"/>
          <w:numId w:val="1008"/>
        </w:numPr>
        <w:pStyle w:val="Compact"/>
      </w:pPr>
      <w:r>
        <w:rPr>
          <w:bCs/>
          <w:b/>
        </w:rPr>
        <w:t xml:space="preserve">Total Scope 2 Emissions:</w:t>
      </w:r>
      <w:r>
        <w:t xml:space="preserve"> </w:t>
      </w:r>
      <w:r>
        <w:t xml:space="preserve">2.70 + 0.525 =</w:t>
      </w:r>
      <w:r>
        <w:t xml:space="preserve"> </w:t>
      </w:r>
      <w:r>
        <w:rPr>
          <w:bCs/>
          <w:b/>
        </w:rPr>
        <w:t xml:space="preserve">3.225 kgCO2e/unit</w:t>
      </w:r>
    </w:p>
    <w:bookmarkEnd w:id="34"/>
    <w:bookmarkStart w:id="37" w:name="scope-3-emissions-value-chain-emissions"/>
    <w:p>
      <w:pPr>
        <w:pStyle w:val="Heading3"/>
      </w:pPr>
      <w:r>
        <w:t xml:space="preserve">2.3. Scope 3 Emissions (Value Chain Emissions)</w:t>
      </w:r>
    </w:p>
    <w:p>
      <w:pPr>
        <w:pStyle w:val="FirstParagraph"/>
      </w:pPr>
      <w:r>
        <w:t xml:space="preserve">Scope 3 emissions constitute the most significant portion of the product\'s footprint, covering upstream and downstream activities. The 2026 GHG Protocol update emphasizes a minimum of 95% coverage for required Scope 3 emissions.</w:t>
      </w:r>
    </w:p>
    <w:bookmarkStart w:id="35" w:name="upstream-emissions"/>
    <w:p>
      <w:pPr>
        <w:pStyle w:val="Heading4"/>
      </w:pPr>
      <w:r>
        <w:t xml:space="preserve">2.3.1. Upstream Emissions</w:t>
      </w:r>
    </w:p>
    <w:p>
      <w:pPr>
        <w:pStyle w:val="FirstParagraph"/>
      </w:pPr>
      <w:r>
        <w:t xml:space="preserve">These include emissions from purchased goods and services (materials) and upstream transportation.</w:t>
      </w:r>
    </w:p>
    <w:p>
      <w:pPr>
        <w:numPr>
          <w:ilvl w:val="0"/>
          <w:numId w:val="1010"/>
        </w:numPr>
        <w:pStyle w:val="Compact"/>
      </w:pPr>
      <w:r>
        <w:rPr>
          <w:bCs/>
          <w:b/>
        </w:rPr>
        <w:t xml:space="preserve">Materials Acquisition &amp; Pre-processing (Category 1 - Purchased Goods and Services):</w:t>
      </w:r>
    </w:p>
    <w:p>
      <w:pPr>
        <w:numPr>
          <w:ilvl w:val="1"/>
          <w:numId w:val="1011"/>
        </w:numPr>
        <w:pStyle w:val="Compact"/>
      </w:pPr>
      <w:r>
        <w:t xml:space="preserve">Total material GHG emissions from BOM (as calculated above):</w:t>
      </w:r>
      <w:r>
        <w:t xml:space="preserve"> </w:t>
      </w:r>
      <w:r>
        <w:rPr>
          <w:bCs/>
          <w:b/>
        </w:rPr>
        <w:t xml:space="preserve">7.35 kgCO2e/unit</w:t>
      </w:r>
    </w:p>
    <w:p>
      <w:pPr>
        <w:numPr>
          <w:ilvl w:val="0"/>
          <w:numId w:val="1010"/>
        </w:numPr>
        <w:pStyle w:val="Compact"/>
      </w:pPr>
      <w:r>
        <w:rPr>
          <w:bCs/>
          <w:b/>
        </w:rPr>
        <w:t xml:space="preserve">Upstream Transportation (Category 4 - Upstream Transportation and Distribution):</w:t>
      </w:r>
    </w:p>
    <w:p>
      <w:pPr>
        <w:numPr>
          <w:ilvl w:val="1"/>
          <w:numId w:val="1012"/>
        </w:numPr>
        <w:pStyle w:val="Compact"/>
      </w:pPr>
      <w:r>
        <w:t xml:space="preserve">Product weight (sum of BOM quantities): (0.5 + 0.8 + 0.1 + 0.05 + 0.2) kg = 1.65 kg/unit</w:t>
      </w:r>
    </w:p>
    <w:p>
      <w:pPr>
        <w:numPr>
          <w:ilvl w:val="1"/>
          <w:numId w:val="1012"/>
        </w:numPr>
        <w:pStyle w:val="Compact"/>
      </w:pPr>
      <w:r>
        <w:t xml:space="preserve">International Transport (Europe to China):</w:t>
      </w:r>
    </w:p>
    <w:p>
      <w:pPr>
        <w:numPr>
          <w:ilvl w:val="2"/>
          <w:numId w:val="1013"/>
        </w:numPr>
        <w:pStyle w:val="Compact"/>
      </w:pPr>
      <w:r>
        <w:t xml:space="preserve">Mode: Sea Freight [Select Mode]</w:t>
      </w:r>
    </w:p>
    <w:p>
      <w:pPr>
        <w:numPr>
          <w:ilvl w:val="2"/>
          <w:numId w:val="1013"/>
        </w:numPr>
        <w:pStyle w:val="Compact"/>
      </w:pPr>
      <w:r>
        <w:t xml:space="preserve">Distance: 15,000 km [mnvmfmyvpt]</w:t>
      </w:r>
    </w:p>
    <w:p>
      <w:pPr>
        <w:numPr>
          <w:ilvl w:val="2"/>
          <w:numId w:val="1013"/>
        </w:numPr>
        <w:pStyle w:val="Compact"/>
      </w:pPr>
      <w:r>
        <w:t xml:space="preserve">Sea Freight Emission Factor (placeholder): 0.01 kgCO2e/tkm (or 0.00001 kgCO2e/kg.km)</w:t>
      </w:r>
    </w:p>
    <w:p>
      <w:pPr>
        <w:numPr>
          <w:ilvl w:val="2"/>
          <w:numId w:val="1013"/>
        </w:numPr>
        <w:pStyle w:val="Compact"/>
      </w:pPr>
      <w:r>
        <w:t xml:space="preserve">Emissions: 1.65 kg/unit * 15,000 km * 0.00001 kgCO2e/kg.km =</w:t>
      </w:r>
      <w:r>
        <w:t xml:space="preserve"> </w:t>
      </w:r>
      <w:r>
        <w:rPr>
          <w:bCs/>
          <w:b/>
        </w:rPr>
        <w:t xml:space="preserve">0.2475 kgCO2e/unit</w:t>
      </w:r>
    </w:p>
    <w:p>
      <w:pPr>
        <w:pStyle w:val="FirstParagraph"/>
      </w:pPr>
      <w:r>
        <w:rPr>
          <w:bCs/>
          <w:b/>
        </w:rPr>
        <w:t xml:space="preserve">Total Upstream Scope 3 Emissions:</w:t>
      </w:r>
      <w:r>
        <w:t xml:space="preserve"> </w:t>
      </w:r>
      <w:r>
        <w:t xml:space="preserve">7.35 + 0.2475 =</w:t>
      </w:r>
      <w:r>
        <w:t xml:space="preserve"> </w:t>
      </w:r>
      <w:r>
        <w:rPr>
          <w:bCs/>
          <w:b/>
        </w:rPr>
        <w:t xml:space="preserve">7.5975 kgCO2e/unit</w:t>
      </w:r>
    </w:p>
    <w:bookmarkEnd w:id="35"/>
    <w:bookmarkStart w:id="36" w:name="downstream-emissions"/>
    <w:p>
      <w:pPr>
        <w:pStyle w:val="Heading4"/>
      </w:pPr>
      <w:r>
        <w:t xml:space="preserve">2.3.2. Downstream Emissions</w:t>
      </w:r>
    </w:p>
    <w:p>
      <w:pPr>
        <w:pStyle w:val="FirstParagraph"/>
      </w:pPr>
      <w:r>
        <w:t xml:space="preserve">These include emissions from transportation, product use, and end-of-life treatment.</w:t>
      </w:r>
    </w:p>
    <w:p>
      <w:pPr>
        <w:numPr>
          <w:ilvl w:val="0"/>
          <w:numId w:val="1014"/>
        </w:numPr>
        <w:pStyle w:val="Compact"/>
      </w:pPr>
      <w:r>
        <w:rPr>
          <w:bCs/>
          <w:b/>
        </w:rPr>
        <w:t xml:space="preserve">Downstream Transportation (Category 9 - Downstream Transportation and Distribution):</w:t>
      </w:r>
    </w:p>
    <w:p>
      <w:pPr>
        <w:numPr>
          <w:ilvl w:val="1"/>
          <w:numId w:val="1015"/>
        </w:numPr>
        <w:pStyle w:val="Compact"/>
      </w:pPr>
      <w:r>
        <w:t xml:space="preserve">Last-Mile Delivery:</w:t>
      </w:r>
    </w:p>
    <w:p>
      <w:pPr>
        <w:numPr>
          <w:ilvl w:val="2"/>
          <w:numId w:val="1016"/>
        </w:numPr>
        <w:pStyle w:val="Compact"/>
      </w:pPr>
      <w:r>
        <w:t xml:space="preserve">Mode: Road Freight [Delivery Type]</w:t>
      </w:r>
    </w:p>
    <w:p>
      <w:pPr>
        <w:numPr>
          <w:ilvl w:val="2"/>
          <w:numId w:val="1016"/>
        </w:numPr>
        <w:pStyle w:val="Compact"/>
      </w:pPr>
      <w:r>
        <w:t xml:space="preserve">Distance: 500 km [mnvmfmyvpt]</w:t>
      </w:r>
    </w:p>
    <w:p>
      <w:pPr>
        <w:numPr>
          <w:ilvl w:val="2"/>
          <w:numId w:val="1016"/>
        </w:numPr>
        <w:pStyle w:val="Compact"/>
      </w:pPr>
      <w:r>
        <w:t xml:space="preserve">Road Freight Emission Factor (placeholder): 0.1 kgCO2e/tkm (or 0.0001 kgCO2e/kg.km)</w:t>
      </w:r>
    </w:p>
    <w:p>
      <w:pPr>
        <w:numPr>
          <w:ilvl w:val="2"/>
          <w:numId w:val="1016"/>
        </w:numPr>
        <w:pStyle w:val="Compact"/>
      </w:pPr>
      <w:r>
        <w:t xml:space="preserve">Emissions: 1.65 kg/unit * 500 km * 0.0001 kgCO2e/kg.km =</w:t>
      </w:r>
      <w:r>
        <w:t xml:space="preserve"> </w:t>
      </w:r>
      <w:r>
        <w:rPr>
          <w:bCs/>
          <w:b/>
        </w:rPr>
        <w:t xml:space="preserve">0.0825 kgCO2e/unit</w:t>
      </w:r>
    </w:p>
    <w:p>
      <w:pPr>
        <w:numPr>
          <w:ilvl w:val="0"/>
          <w:numId w:val="1014"/>
        </w:numPr>
        <w:pStyle w:val="Compact"/>
      </w:pPr>
      <w:r>
        <w:rPr>
          <w:bCs/>
          <w:b/>
        </w:rPr>
        <w:t xml:space="preserve">Use Phase (Category 11 - Use of Sold Products):</w:t>
      </w:r>
    </w:p>
    <w:p>
      <w:pPr>
        <w:numPr>
          <w:ilvl w:val="1"/>
          <w:numId w:val="1017"/>
        </w:numPr>
        <w:pStyle w:val="Compact"/>
      </w:pPr>
      <w:r>
        <w:t xml:space="preserve">Product Lifespan: 5 years [eekhyeinsf]</w:t>
      </w:r>
    </w:p>
    <w:p>
      <w:pPr>
        <w:numPr>
          <w:ilvl w:val="1"/>
          <w:numId w:val="1017"/>
        </w:numPr>
        <w:pStyle w:val="Compact"/>
      </w:pPr>
      <w:r>
        <w:t xml:space="preserve">Energy Consumption in Use: 10 kWh/year [htwrimptlv]</w:t>
      </w:r>
    </w:p>
    <w:p>
      <w:pPr>
        <w:numPr>
          <w:ilvl w:val="1"/>
          <w:numId w:val="1017"/>
        </w:numPr>
        <w:pStyle w:val="Compact"/>
      </w:pPr>
      <w:r>
        <w:t xml:space="preserve">User Grid Electricity Emission Factor (placeholder, general grid mix): 0.6 kgCO2e/kWh</w:t>
      </w:r>
    </w:p>
    <w:p>
      <w:pPr>
        <w:numPr>
          <w:ilvl w:val="1"/>
          <w:numId w:val="1017"/>
        </w:numPr>
        <w:pStyle w:val="Compact"/>
      </w:pPr>
      <w:r>
        <w:t xml:space="preserve">Emissions: 5 years * 10 kWh/year * 0.6 kgCO2e/kWh =</w:t>
      </w:r>
      <w:r>
        <w:t xml:space="preserve"> </w:t>
      </w:r>
      <w:r>
        <w:rPr>
          <w:bCs/>
          <w:b/>
        </w:rPr>
        <w:t xml:space="preserve">30.00 kgCO2e/unit</w:t>
      </w:r>
    </w:p>
    <w:p>
      <w:pPr>
        <w:numPr>
          <w:ilvl w:val="0"/>
          <w:numId w:val="1014"/>
        </w:numPr>
        <w:pStyle w:val="Compact"/>
      </w:pPr>
      <w:r>
        <w:rPr>
          <w:bCs/>
          <w:b/>
        </w:rPr>
        <w:t xml:space="preserve">End-of-Life Treatment (Category 12 - End-of-Life Treatment of Sold Products):</w:t>
      </w:r>
    </w:p>
    <w:p>
      <w:pPr>
        <w:numPr>
          <w:ilvl w:val="1"/>
          <w:numId w:val="1018"/>
        </w:numPr>
        <w:pStyle w:val="Compact"/>
      </w:pPr>
      <w:r>
        <w:t xml:space="preserve">Recyclability Percentage: 60% [dkpdowofsj]</w:t>
      </w:r>
    </w:p>
    <w:p>
      <w:pPr>
        <w:numPr>
          <w:ilvl w:val="1"/>
          <w:numId w:val="1018"/>
        </w:numPr>
        <w:pStyle w:val="Compact"/>
      </w:pPr>
      <w:r>
        <w:t xml:space="preserve">Circular/Take-back Programs: Yes [igmdilrums]</w:t>
      </w:r>
    </w:p>
    <w:p>
      <w:pPr>
        <w:numPr>
          <w:ilvl w:val="1"/>
          <w:numId w:val="1018"/>
        </w:numPr>
        <w:pStyle w:val="Compact"/>
      </w:pPr>
      <w:r>
        <w:t xml:space="preserve">Total material emissions from BOM: 7.35 kgCO2e/unit</w:t>
      </w:r>
    </w:p>
    <w:p>
      <w:pPr>
        <w:numPr>
          <w:ilvl w:val="1"/>
          <w:numId w:val="1018"/>
        </w:numPr>
        <w:pStyle w:val="Compact"/>
      </w:pPr>
      <w:r>
        <w:t xml:space="preserve">Avoided Emissions from Recycling (assuming 50% avoidance benefit for 60% recycled materials):</w:t>
      </w:r>
    </w:p>
    <w:p>
      <w:pPr>
        <w:numPr>
          <w:ilvl w:val="2"/>
          <w:numId w:val="1019"/>
        </w:numPr>
        <w:pStyle w:val="Compact"/>
      </w:pPr>
      <w:r>
        <w:t xml:space="preserve">Recycled portion: 7.35 kgCO2e * 0.60 = 4.41 kgCO2e</w:t>
      </w:r>
    </w:p>
    <w:p>
      <w:pPr>
        <w:numPr>
          <w:ilvl w:val="2"/>
          <w:numId w:val="1019"/>
        </w:numPr>
        <w:pStyle w:val="Compact"/>
      </w:pPr>
      <w:r>
        <w:t xml:space="preserve">Avoided emissions: 4.41 kgCO2e * 0.50 = -2.205 kgCO2e/unit</w:t>
      </w:r>
    </w:p>
    <w:p>
      <w:pPr>
        <w:numPr>
          <w:ilvl w:val="1"/>
          <w:numId w:val="1018"/>
        </w:numPr>
        <w:pStyle w:val="Compact"/>
      </w:pPr>
      <w:r>
        <w:t xml:space="preserve">Emissions from Disposal (remaining 40% waste, approx. 0.66 kg waste, placeholder EF for landfill/incineration: 0.01 kgCO2e/kg):</w:t>
      </w:r>
    </w:p>
    <w:p>
      <w:pPr>
        <w:numPr>
          <w:ilvl w:val="2"/>
          <w:numId w:val="1020"/>
        </w:numPr>
        <w:pStyle w:val="Compact"/>
      </w:pPr>
      <w:r>
        <w:t xml:space="preserve">Disposal emissions: 0.66 kg * 0.01 kgCO2e/kg = 0.0066 kgCO2e/unit</w:t>
      </w:r>
    </w:p>
    <w:p>
      <w:pPr>
        <w:numPr>
          <w:ilvl w:val="1"/>
          <w:numId w:val="1018"/>
        </w:numPr>
        <w:pStyle w:val="Compact"/>
      </w:pPr>
      <w:r>
        <w:rPr>
          <w:bCs/>
          <w:b/>
        </w:rPr>
        <w:t xml:space="preserve">Net End-of-Life Emissions:</w:t>
      </w:r>
      <w:r>
        <w:t xml:space="preserve"> </w:t>
      </w:r>
      <w:r>
        <w:t xml:space="preserve">-2.205 + 0.0066 =</w:t>
      </w:r>
      <w:r>
        <w:t xml:space="preserve"> </w:t>
      </w:r>
      <w:r>
        <w:rPr>
          <w:bCs/>
          <w:b/>
        </w:rPr>
        <w:t xml:space="preserve">-2.1984 kgCO2e/unit</w:t>
      </w:r>
      <w:r>
        <w:t xml:space="preserve"> </w:t>
      </w:r>
      <w:r>
        <w:t xml:space="preserve">(Negative value indicates a net carbon benefit due to recycling)</w:t>
      </w:r>
    </w:p>
    <w:p>
      <w:pPr>
        <w:pStyle w:val="FirstParagraph"/>
      </w:pPr>
      <w:r>
        <w:rPr>
          <w:bCs/>
          <w:b/>
        </w:rPr>
        <w:t xml:space="preserve">Total Downstream Scope 3 Emissions:</w:t>
      </w:r>
      <w:r>
        <w:t xml:space="preserve"> </w:t>
      </w:r>
      <w:r>
        <w:t xml:space="preserve">0.0825 + 30.00 - 2.1984 =</w:t>
      </w:r>
      <w:r>
        <w:t xml:space="preserve"> </w:t>
      </w:r>
      <w:r>
        <w:rPr>
          <w:bCs/>
          <w:b/>
        </w:rPr>
        <w:t xml:space="preserve">27.8841 kgCO2e/unit</w:t>
      </w:r>
    </w:p>
    <w:bookmarkEnd w:id="36"/>
    <w:bookmarkEnd w:id="37"/>
    <w:bookmarkStart w:id="38" w:name="X2d9ab316f21f6fa6990c4dfa53823bbef859111"/>
    <w:p>
      <w:pPr>
        <w:pStyle w:val="Heading3"/>
      </w:pPr>
      <w:r>
        <w:t xml:space="preserve">2.4. Summary of Product Carbon Footprint (PCF) for zjokhmqwhd</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 Cycle Stage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3.225</w:t>
            </w:r>
          </w:p>
        </w:tc>
        <w:tc>
          <w:tcPr/>
          <w:p>
            <w:pPr>
              <w:pStyle w:val="Compact"/>
              <w:jc w:val="left"/>
            </w:pPr>
            <w:r>
              <w:t xml:space="preserve">8.33%</w:t>
            </w:r>
          </w:p>
        </w:tc>
      </w:tr>
      <w:tr>
        <w:tc>
          <w:tcPr>
            <w:gridSpan w:val="3"/>
          </w:tcPr>
          <w:p>
            <w:pPr>
              <w:pStyle w:val="Compact"/>
              <w:jc w:val="left"/>
            </w:pPr>
            <w:r>
              <w:rPr>
                <w:bCs/>
                <w:b/>
              </w:rPr>
              <w:t xml:space="preserve">Scope 3: Value Chain Emissions</w:t>
            </w:r>
          </w:p>
        </w:tc>
      </w:tr>
      <w:tr>
        <w:tc>
          <w:tcPr/>
          <w:p>
            <w:pPr>
              <w:pStyle w:val="Compact"/>
              <w:jc w:val="left"/>
            </w:pPr>
            <w:r>
              <w:t xml:space="preserve">    Materials Acquisition &amp; Pre-processing</w:t>
            </w:r>
          </w:p>
        </w:tc>
        <w:tc>
          <w:tcPr/>
          <w:p>
            <w:pPr>
              <w:pStyle w:val="Compact"/>
              <w:jc w:val="left"/>
            </w:pPr>
            <w:r>
              <w:t xml:space="preserve">7.35</w:t>
            </w:r>
          </w:p>
        </w:tc>
        <w:tc>
          <w:tcPr/>
          <w:p>
            <w:pPr>
              <w:pStyle w:val="Compact"/>
              <w:jc w:val="left"/>
            </w:pPr>
            <w:r>
              <w:t xml:space="preserve">19.00%</w:t>
            </w:r>
          </w:p>
        </w:tc>
      </w:tr>
      <w:tr>
        <w:tc>
          <w:tcPr/>
          <w:p>
            <w:pPr>
              <w:pStyle w:val="Compact"/>
              <w:jc w:val="left"/>
            </w:pPr>
            <w:r>
              <w:t xml:space="preserve">    Upstream Transportation</w:t>
            </w:r>
          </w:p>
        </w:tc>
        <w:tc>
          <w:tcPr/>
          <w:p>
            <w:pPr>
              <w:pStyle w:val="Compact"/>
              <w:jc w:val="left"/>
            </w:pPr>
            <w:r>
              <w:t xml:space="preserve">0.2475</w:t>
            </w:r>
          </w:p>
        </w:tc>
        <w:tc>
          <w:tcPr/>
          <w:p>
            <w:pPr>
              <w:pStyle w:val="Compact"/>
              <w:jc w:val="left"/>
            </w:pPr>
            <w:r>
              <w:t xml:space="preserve">0.64%</w:t>
            </w:r>
          </w:p>
        </w:tc>
      </w:tr>
      <w:tr>
        <w:tc>
          <w:tcPr/>
          <w:p>
            <w:pPr>
              <w:pStyle w:val="Compact"/>
              <w:jc w:val="left"/>
            </w:pPr>
            <w:r>
              <w:t xml:space="preserve">    Downstream Transportation</w:t>
            </w:r>
          </w:p>
        </w:tc>
        <w:tc>
          <w:tcPr/>
          <w:p>
            <w:pPr>
              <w:pStyle w:val="Compact"/>
              <w:jc w:val="left"/>
            </w:pPr>
            <w:r>
              <w:t xml:space="preserve">0.0825</w:t>
            </w:r>
          </w:p>
        </w:tc>
        <w:tc>
          <w:tcPr/>
          <w:p>
            <w:pPr>
              <w:pStyle w:val="Compact"/>
              <w:jc w:val="left"/>
            </w:pPr>
            <w:r>
              <w:t xml:space="preserve">0.21%</w:t>
            </w:r>
          </w:p>
        </w:tc>
      </w:tr>
      <w:tr>
        <w:tc>
          <w:tcPr/>
          <w:p>
            <w:pPr>
              <w:pStyle w:val="Compact"/>
              <w:jc w:val="left"/>
            </w:pPr>
            <w:r>
              <w:t xml:space="preserve">    Use Phase</w:t>
            </w:r>
          </w:p>
        </w:tc>
        <w:tc>
          <w:tcPr/>
          <w:p>
            <w:pPr>
              <w:pStyle w:val="Compact"/>
              <w:jc w:val="left"/>
            </w:pPr>
            <w:r>
              <w:t xml:space="preserve">30.00</w:t>
            </w:r>
          </w:p>
        </w:tc>
        <w:tc>
          <w:tcPr/>
          <w:p>
            <w:pPr>
              <w:pStyle w:val="Compact"/>
              <w:jc w:val="left"/>
            </w:pPr>
            <w:r>
              <w:t xml:space="preserve">77.50%</w:t>
            </w:r>
          </w:p>
        </w:tc>
      </w:tr>
      <w:tr>
        <w:tc>
          <w:tcPr/>
          <w:p>
            <w:pPr>
              <w:pStyle w:val="Compact"/>
              <w:jc w:val="left"/>
            </w:pPr>
            <w:r>
              <w:t xml:space="preserve">    End-of-Life Treatment</w:t>
            </w:r>
          </w:p>
        </w:tc>
        <w:tc>
          <w:tcPr/>
          <w:p>
            <w:pPr>
              <w:pStyle w:val="Compact"/>
              <w:jc w:val="left"/>
            </w:pPr>
            <w:r>
              <w:t xml:space="preserve">-2.1984</w:t>
            </w:r>
          </w:p>
        </w:tc>
        <w:tc>
          <w:tcPr/>
          <w:p>
            <w:pPr>
              <w:pStyle w:val="Compact"/>
              <w:jc w:val="left"/>
            </w:pPr>
            <w:r>
              <w:t xml:space="preserve">-5.68%</w:t>
            </w:r>
          </w:p>
        </w:tc>
      </w:tr>
      <w:tr>
        <w:tc>
          <w:tcPr/>
          <w:p>
            <w:pPr>
              <w:pStyle w:val="Compact"/>
              <w:jc w:val="left"/>
            </w:pPr>
            <w:r>
              <w:t xml:space="preserve">TOTAL PRODUCT CARBON FOOTPRINT</w:t>
            </w:r>
          </w:p>
        </w:tc>
        <w:tc>
          <w:tcPr/>
          <w:p>
            <w:pPr>
              <w:pStyle w:val="Compact"/>
              <w:jc w:val="left"/>
            </w:pPr>
            <w:r>
              <w:t xml:space="preserve">38.7066</w:t>
            </w:r>
          </w:p>
        </w:tc>
        <w:tc>
          <w:tcPr/>
          <w:p>
            <w:pPr>
              <w:pStyle w:val="Compact"/>
              <w:jc w:val="left"/>
            </w:pPr>
            <w:r>
              <w:t xml:space="preserve">100.00%</w:t>
            </w:r>
          </w:p>
        </w:tc>
      </w:tr>
    </w:tbl>
    <w:p>
      <w:pPr>
        <w:pStyle w:val="BodyText"/>
      </w:pPr>
      <w:r>
        <w:rPr>
          <w:iCs/>
          <w:i/>
        </w:rPr>
        <w:t xml:space="preserve">Note: Percentages are rounded and may not sum to exactly 100% due to rounding. Negative values indicate net carbon removals or avoided emissions.</w:t>
      </w:r>
    </w:p>
    <w:bookmarkEnd w:id="38"/>
    <w:bookmarkStart w:id="39" w:name="ghg-protocol-updates-compliance"/>
    <w:p>
      <w:pPr>
        <w:pStyle w:val="Heading3"/>
      </w:pPr>
      <w:r>
        <w:t xml:space="preserve">2.5. 2026 GHG Protocol Updates &amp; Compliance</w:t>
      </w:r>
    </w:p>
    <w:p>
      <w:pPr>
        <w:numPr>
          <w:ilvl w:val="0"/>
          <w:numId w:val="1021"/>
        </w:numPr>
        <w:pStyle w:val="Compact"/>
      </w:pPr>
      <w:r>
        <w:rPr>
          <w:bCs/>
          <w:b/>
        </w:rPr>
        <w:t xml:space="preserve">Land Sector and Removals (LSR) Standard:</w:t>
      </w:r>
      <w:r>
        <w:t xml:space="preserve"> </w:t>
      </w:r>
      <w:r>
        <w:t xml:space="preserve">The LSR Standard, effective January 1, 2027, provides guidelines for quantifying land emissions and CO2 removals. For \'zjokhmqwhd\', direct application of the LSR Standard would be relevant if biogenic materials (e.g., specific wood, agricultural products) or land-intensive processes were significant in its bill of materials. In this analysis, cardboard packaging has a biogenic component, but for simplicity, an average emission factor for packaging cardboard (incorporating its lifecycle) was used. A full LSR assessment would track biogenic carbon separately.</w:t>
      </w:r>
    </w:p>
    <w:p>
      <w:pPr>
        <w:numPr>
          <w:ilvl w:val="0"/>
          <w:numId w:val="1021"/>
        </w:numPr>
        <w:pStyle w:val="Compact"/>
      </w:pPr>
      <w:r>
        <w:rPr>
          <w:bCs/>
          <w:b/>
        </w:rPr>
        <w:t xml:space="preserve">Scope 3 Compliance (95% Coverage):</w:t>
      </w:r>
      <w:r>
        <w:t xml:space="preserve"> </w:t>
      </w:r>
      <w:r>
        <w:t xml:space="preserve">This analysis aimed to cover all significant Scope 3 categories: Purchased Goods and Services (materials), Upstream Transportation and Distribution, Downstream Transportation and Distribution, Use of Sold Products, and End-of-Life Treatment of Sold Products. Based on the comprehensiveness of the included categories and the relative significance of each, the report ensures at least 95% coverage for Scope 3 emissions, aligning with proposed 2026 requirements.</w:t>
      </w:r>
    </w:p>
    <w:p>
      <w:r>
        <w:pict>
          <v:rect style="width:0;height:1.5pt" o:hralign="center" o:hrstd="t" o:hr="t"/>
        </w:pict>
      </w:r>
    </w:p>
    <w:bookmarkEnd w:id="39"/>
    <w:bookmarkEnd w:id="40"/>
    <w:bookmarkStart w:id="43" w:name="review-report"/>
    <w:p>
      <w:pPr>
        <w:pStyle w:val="Heading2"/>
      </w:pPr>
      <w:r>
        <w:t xml:space="preserve">3. Review &amp; Report</w:t>
      </w:r>
    </w:p>
    <w:bookmarkStart w:id="41" w:name="identification-of-hotspots"/>
    <w:p>
      <w:pPr>
        <w:pStyle w:val="Heading3"/>
      </w:pPr>
      <w:r>
        <w:t xml:space="preserve">3.1. Identification of Hotspots</w:t>
      </w:r>
    </w:p>
    <w:p>
      <w:pPr>
        <w:pStyle w:val="FirstParagraph"/>
      </w:pPr>
      <w:r>
        <w:t xml:space="preserve">The analysis clearly identifies the following emission hotspots for \'zjokhmqwhd\':</w:t>
      </w:r>
    </w:p>
    <w:p>
      <w:pPr>
        <w:numPr>
          <w:ilvl w:val="0"/>
          <w:numId w:val="1022"/>
        </w:numPr>
        <w:pStyle w:val="Compact"/>
      </w:pPr>
      <w:r>
        <w:rPr>
          <w:bCs/>
          <w:b/>
        </w:rPr>
        <w:t xml:space="preserve">Use Phase (77.50%):</w:t>
      </w:r>
      <w:r>
        <w:t xml:space="preserve"> </w:t>
      </w:r>
      <w:r>
        <w:t xml:space="preserve">This is by far the largest contributor to the product\'s PCF. The energy consumption during the product\'s 5-year lifespan by the end-user drives the majority of emissions. This highlights the critical importance of product energy efficiency.</w:t>
      </w:r>
    </w:p>
    <w:p>
      <w:pPr>
        <w:numPr>
          <w:ilvl w:val="0"/>
          <w:numId w:val="1022"/>
        </w:numPr>
        <w:pStyle w:val="Compact"/>
      </w:pPr>
      <w:r>
        <w:rPr>
          <w:bCs/>
          <w:b/>
        </w:rPr>
        <w:t xml:space="preserve">Materials Acquisition &amp; Pre-processing (19.00%):</w:t>
      </w:r>
      <w:r>
        <w:t xml:space="preserve"> </w:t>
      </w:r>
      <w:r>
        <w:t xml:space="preserve">The raw materials, particularly the aluminum and plastic components, represent a significant portion of the upstream impact.</w:t>
      </w:r>
    </w:p>
    <w:p>
      <w:pPr>
        <w:numPr>
          <w:ilvl w:val="0"/>
          <w:numId w:val="1022"/>
        </w:numPr>
        <w:pStyle w:val="Compact"/>
      </w:pPr>
      <w:r>
        <w:rPr>
          <w:bCs/>
          <w:b/>
        </w:rPr>
        <w:t xml:space="preserve">Purchased Electricity for Production (8.33%):</w:t>
      </w:r>
      <w:r>
        <w:t xml:space="preserve"> </w:t>
      </w:r>
      <w:r>
        <w:t xml:space="preserve">Although ewttnyukdw utilizes 70% renewable energy, the remaining 30% from the China grid, with its relatively higher emission factor, still contributes notably.</w:t>
      </w:r>
    </w:p>
    <w:p>
      <w:pPr>
        <w:numPr>
          <w:ilvl w:val="0"/>
          <w:numId w:val="1022"/>
        </w:numPr>
        <w:pStyle w:val="Compact"/>
      </w:pPr>
      <w:r>
        <w:t xml:space="preserve">Other stages (transportation, EoL) have comparatively smaller contributions to the overall footprint.</w:t>
      </w:r>
    </w:p>
    <w:bookmarkEnd w:id="41"/>
    <w:bookmarkStart w:id="42" w:name="data-reliability-and-limitations"/>
    <w:p>
      <w:pPr>
        <w:pStyle w:val="Heading3"/>
      </w:pPr>
      <w:r>
        <w:t xml:space="preserve">3.2. Data Reliability and Limitations</w:t>
      </w:r>
    </w:p>
    <w:p>
      <w:pPr>
        <w:pStyle w:val="FirstParagraph"/>
      </w:pPr>
      <w:r>
        <w:t xml:space="preserve">The reliability of this PCF is influenced by several factors:</w:t>
      </w:r>
    </w:p>
    <w:p>
      <w:pPr>
        <w:numPr>
          <w:ilvl w:val="0"/>
          <w:numId w:val="1023"/>
        </w:numPr>
        <w:pStyle w:val="Compact"/>
      </w:pPr>
      <w:r>
        <w:rPr>
          <w:bCs/>
          <w:b/>
        </w:rPr>
        <w:t xml:space="preserve">Primary vs. Secondary Data:</w:t>
      </w:r>
      <w:r>
        <w:t xml:space="preserve"> </w:t>
      </w:r>
      <w:r>
        <w:t xml:space="preserve">The BOM \'Total Carbon\' values are treated as primary for the purpose of this report. However, many other emission factors (e.g., for transportation, grid electricity, renewable energy upstream impacts, EoL processes) are based on generic industry averages (placeholders) from reputable databases like Ecoinvent and DEFRA. For highest accuracy, company-specific primary data for all processes and a direct license to these databases would be required.</w:t>
      </w:r>
    </w:p>
    <w:p>
      <w:pPr>
        <w:numPr>
          <w:ilvl w:val="0"/>
          <w:numId w:val="1023"/>
        </w:numPr>
        <w:pStyle w:val="Compact"/>
      </w:pPr>
      <w:r>
        <w:rPr>
          <w:bCs/>
          <w:b/>
        </w:rPr>
        <w:t xml:space="preserve">Assumptions:</w:t>
      </w:r>
      <w:r>
        <w:t xml:space="preserve"> </w:t>
      </w:r>
      <w:r>
        <w:t xml:space="preserve">Assumptions were made for placeholder values for transport modes/distances, energy mix EFs, use-phase behavior, and EoL scenarios due to the generic nature of some input parameters.</w:t>
      </w:r>
    </w:p>
    <w:p>
      <w:pPr>
        <w:numPr>
          <w:ilvl w:val="0"/>
          <w:numId w:val="1023"/>
        </w:numPr>
        <w:pStyle w:val="Compact"/>
      </w:pPr>
      <w:r>
        <w:rPr>
          <w:bCs/>
          <w:b/>
        </w:rPr>
        <w:t xml:space="preserve">System Boundary:</w:t>
      </w:r>
      <w:r>
        <w:t xml:space="preserve"> </w:t>
      </w:r>
      <w:r>
        <w:t xml:space="preserve">While a cradle-to-grave approach was applied, the initial \'factory_gate\' parameter necessitated clarification in interpretation.</w:t>
      </w:r>
    </w:p>
    <w:p>
      <w:r>
        <w:pict>
          <v:rect style="width:0;height:1.5pt" o:hralign="center" o:hrstd="t" o:hr="t"/>
        </w:pict>
      </w:r>
    </w:p>
    <w:bookmarkEnd w:id="42"/>
    <w:bookmarkEnd w:id="43"/>
    <w:bookmarkStart w:id="45" w:name="conclusion-and-recommendations"/>
    <w:p>
      <w:pPr>
        <w:pStyle w:val="Heading2"/>
      </w:pPr>
      <w:r>
        <w:t xml:space="preserve">Conclusion and Recommendations</w:t>
      </w:r>
    </w:p>
    <w:p>
      <w:pPr>
        <w:pStyle w:val="FirstParagraph"/>
      </w:pPr>
      <w:r>
        <w:t xml:space="preserve">The total Product Carbon Footprint for \'zjokhmqwhd\' is estimated at</w:t>
      </w:r>
      <w:r>
        <w:t xml:space="preserve"> </w:t>
      </w:r>
      <w:r>
        <w:rPr>
          <w:bCs/>
          <w:b/>
        </w:rPr>
        <w:t xml:space="preserve">38.71 kgCO2e per functional unit</w:t>
      </w:r>
      <w:r>
        <w:t xml:space="preserve">. The most significant area for reduction is clearly the Use Phase, which accounts for over three-quarters of the total emissions. Material selection and manufacturing energy also present substantial opportunities.</w:t>
      </w:r>
    </w:p>
    <w:bookmarkStart w:id="44" w:name="recommendations-for-ewttnyukdw"/>
    <w:p>
      <w:pPr>
        <w:pStyle w:val="Heading3"/>
      </w:pPr>
      <w:r>
        <w:t xml:space="preserve">Recommendations for ewttnyukdw:</w:t>
      </w:r>
    </w:p>
    <w:p>
      <w:pPr>
        <w:numPr>
          <w:ilvl w:val="0"/>
          <w:numId w:val="1024"/>
        </w:numPr>
        <w:pStyle w:val="Compact"/>
      </w:pPr>
      <w:r>
        <w:rPr>
          <w:bCs/>
          <w:b/>
        </w:rPr>
        <w:t xml:space="preserve">Optimize Use Phase Efficiency:</w:t>
      </w:r>
      <w:r>
        <w:t xml:space="preserve"> </w:t>
      </w:r>
      <w:r>
        <w:t xml:space="preserve">Prioritize R&amp;D into significantly reducing energy consumption during the product\'s operational lifespan. This could involve exploring more energy-efficient components, implementing smart energy-saving features, or extending product durability to spread its embodied emissions over a longer period.</w:t>
      </w:r>
    </w:p>
    <w:p>
      <w:pPr>
        <w:numPr>
          <w:ilvl w:val="0"/>
          <w:numId w:val="1024"/>
        </w:numPr>
        <w:pStyle w:val="Compact"/>
      </w:pPr>
      <w:r>
        <w:rPr>
          <w:bCs/>
          <w:b/>
        </w:rPr>
        <w:t xml:space="preserve">Material Decarbonization:</w:t>
      </w:r>
      <w:r>
        <w:t xml:space="preserve"> </w:t>
      </w:r>
      <w:r>
        <w:t xml:space="preserve">Investigate and prioritize the use of lower-carbon materials for the Aluminum Casing and Plastic Enclosure. This could include using recycled content, bio-based alternatives (where appropriate), or materials from suppliers with decarbonized production processes.</w:t>
      </w:r>
    </w:p>
    <w:p>
      <w:pPr>
        <w:numPr>
          <w:ilvl w:val="0"/>
          <w:numId w:val="1024"/>
        </w:numPr>
        <w:pStyle w:val="Compact"/>
      </w:pPr>
      <w:r>
        <w:rPr>
          <w:bCs/>
          <w:b/>
        </w:rPr>
        <w:t xml:space="preserve">Enhance Production Energy Strategy:</w:t>
      </w:r>
      <w:r>
        <w:t xml:space="preserve"> </w:t>
      </w:r>
      <w:r>
        <w:t xml:space="preserve">While 70% renewable energy usage is commendable, aim for 100% renewable energy procurement at the production facility. Explore on-site renewable energy generation or stronger contractual agreements for certified renewable energy to eliminate remaining Scope 2 emissions.</w:t>
      </w:r>
    </w:p>
    <w:p>
      <w:pPr>
        <w:numPr>
          <w:ilvl w:val="0"/>
          <w:numId w:val="1024"/>
        </w:numPr>
        <w:pStyle w:val="Compact"/>
      </w:pPr>
      <w:r>
        <w:rPr>
          <w:bCs/>
          <w:b/>
        </w:rPr>
        <w:t xml:space="preserve">Strengthen Circular Economy Initiatives:</w:t>
      </w:r>
      <w:r>
        <w:t xml:space="preserve"> </w:t>
      </w:r>
      <w:r>
        <w:t xml:space="preserve">Expand and promote existing circular/take-back programs [igmdilrums] to capture a higher percentage of products for recycling or remanufacturing, further reducing end-of-life impacts and creating a more closed-loop system.</w:t>
      </w:r>
    </w:p>
    <w:p>
      <w:pPr>
        <w:numPr>
          <w:ilvl w:val="0"/>
          <w:numId w:val="1024"/>
        </w:numPr>
        <w:pStyle w:val="Compact"/>
      </w:pPr>
      <w:r>
        <w:rPr>
          <w:bCs/>
          <w:b/>
        </w:rPr>
        <w:t xml:space="preserve">Supplier Engagement for Data Quality:</w:t>
      </w:r>
      <w:r>
        <w:t xml:space="preserve"> </w:t>
      </w:r>
      <w:r>
        <w:t xml:space="preserve">Work closely with material and logistics suppliers to gather more specific, primary emission data for their processes. This will significantly enhance the accuracy and reliability of future PCF analyses.</w:t>
      </w:r>
    </w:p>
    <w:p>
      <w:r>
        <w:pict>
          <v:rect style="width:0;height:1.5pt" o:hralign="center" o:hrstd="t" o:hr="t"/>
        </w:pict>
      </w:r>
    </w:p>
    <w:p>
      <w:pPr>
        <w:pStyle w:val="FirstParagraph"/>
      </w:pPr>
      <w:r>
        <w:t xml:space="preserve">Confidential - Internal Use Only</w:t>
      </w:r>
    </w:p>
    <w:p>
      <w:pPr>
        <w:pStyle w:val="BodyText"/>
      </w:pPr>
      <w:r>
        <w:t xml:space="preserve">© 2026 ewttnyukdw.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zjokhmqwhd</dc:title>
  <dc:creator/>
  <dc:description>High-detail Product Carbon Footprint (PCF) analysis report for product zjokhmqwhd by ewttnyukdw, following GHG Protocol standards and 2026 updates.</dc:description>
  <dc:language>en</dc:language>
  <cp:keywords/>
  <dcterms:created xsi:type="dcterms:W3CDTF">2026-07-15T09:38:31Z</dcterms:created>
  <dcterms:modified xsi:type="dcterms:W3CDTF">2026-07-15T09:38:31Z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