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zigmkjhrod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zigmkjhrod"/>
    <w:p>
      <w:pPr>
        <w:pStyle w:val="Heading2"/>
      </w:pPr>
      <w:r>
        <w:t xml:space="preserve">Product: zigmkjhrod</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vxinleewoh</w:t>
      </w:r>
    </w:p>
    <w:p>
      <w:pPr>
        <w:pStyle w:val="BodyText"/>
      </w:pPr>
      <w:r>
        <w:rPr>
          <w:bCs/>
          <w:b/>
        </w:rPr>
        <w:t xml:space="preserve">Senior Sustainability Consultant:</w:t>
      </w:r>
      <w:r>
        <w:t xml:space="preserve"> </w:t>
      </w:r>
      <w:r>
        <w:t xml:space="preserve">tofyisfgxe</w:t>
      </w:r>
    </w:p>
    <w:p>
      <w:pPr>
        <w:pStyle w:val="BodyText"/>
      </w:pPr>
      <w:r>
        <w:t xml:space="preserve">Disclaimer: This report is generated based on available data and industry standards, providing an estimate of the product\'s carbon footprint. While best efforts have been made to ensure accuracy, the actual environmental impact may vary based on real-world conditions and data availability.</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zigmkjhrod</w:t>
      </w:r>
    </w:p>
    <w:p>
      <w:pPr>
        <w:pStyle w:val="BodyText"/>
      </w:pPr>
      <w:r>
        <w:rPr>
          <w:bCs/>
          <w:b/>
        </w:rPr>
        <w:t xml:space="preserve">Company:</w:t>
      </w:r>
      <w:r>
        <w:t xml:space="preserve"> </w:t>
      </w:r>
      <w:r>
        <w:t xml:space="preserve">vxinleewoh</w:t>
      </w:r>
    </w:p>
    <w:p>
      <w:pPr>
        <w:pStyle w:val="BodyText"/>
      </w:pPr>
      <w:r>
        <w:rPr>
          <w:bCs/>
          <w:b/>
        </w:rPr>
        <w:t xml:space="preserve">Senior Sustainability Consultant:</w:t>
      </w:r>
      <w:r>
        <w:t xml:space="preserve"> </w:t>
      </w:r>
      <w:r>
        <w:t xml:space="preserve">tofyisfgxe</w:t>
      </w:r>
    </w:p>
    <w:p>
      <w:pPr>
        <w:pStyle w:val="BodyText"/>
      </w:pPr>
      <w:r>
        <w:rPr>
          <w:bCs/>
          <w:b/>
        </w:rPr>
        <w:t xml:space="preserve">Generated Date:</w:t>
      </w:r>
      <w:r>
        <w:t xml:space="preserve"> </w:t>
      </w:r>
      <w:r>
        <w:t xml:space="preserve">May 27,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zigmkjhrod</w:t>
      </w:r>
      <w:r>
        <w:t xml:space="preserve">, manufactured by</w:t>
      </w:r>
      <w:r>
        <w:t xml:space="preserve"> </w:t>
      </w:r>
      <w:r>
        <w:rPr>
          <w:bCs/>
          <w:b/>
        </w:rPr>
        <w:t xml:space="preserve">vxinleewoh</w:t>
      </w:r>
      <w:r>
        <w:t xml:space="preserve">. The analysis was conducted by Senior Sustainability Consultant</w:t>
      </w:r>
      <w:r>
        <w:t xml:space="preserve"> </w:t>
      </w:r>
      <w:r>
        <w:rPr>
          <w:bCs/>
          <w:b/>
        </w:rPr>
        <w:t xml:space="preserve">tofyisfgxe</w:t>
      </w:r>
      <w:r>
        <w:t xml:space="preserve">, adhering strictly to the GHG Protocol and incorporating the 2026 Land Sector and Removals (LSR) Standard. The assessment covers a cradle-to-grave system boundary, with a primary focus on upstream and core production processes up to the factory gate in China, alongside a Europe-focused supply chain and end-of-life scenarios.</w:t>
      </w:r>
    </w:p>
    <w:p>
      <w:pPr>
        <w:pStyle w:val="BodyText"/>
      </w:pPr>
      <w:r>
        <w:t xml:space="preserve">The primary objective is to identify key emission hotspots across the product\'s lifecycle, categorize emissions according to GHG Protocol Scopes, and provide actionable insights for emission reduction strategies. The report ensures at least 95% coverage for Scope 3 emissions, aligning with anticipated 2026 requirements.</w:t>
      </w:r>
    </w:p>
    <w:p>
      <w:r>
        <w:pict>
          <v:rect style="width:0;height:1.5pt" o:hralign="center" o:hrstd="t" o:hr="t"/>
        </w:pict>
      </w:r>
    </w:p>
    <w:bookmarkEnd w:id="23"/>
    <w:bookmarkStart w:id="29" w:name="methodology"/>
    <w:p>
      <w:pPr>
        <w:pStyle w:val="Heading2"/>
      </w:pPr>
      <w:r>
        <w:t xml:space="preserve">2. Methodology</w:t>
      </w:r>
    </w:p>
    <w:p>
      <w:pPr>
        <w:pStyle w:val="FirstParagraph"/>
      </w:pPr>
      <w:r>
        <w:t xml:space="preserve">The Product Carbon Footprint (PCF) analysis for</w:t>
      </w:r>
      <w:r>
        <w:t xml:space="preserve"> </w:t>
      </w:r>
      <w:r>
        <w:rPr>
          <w:bCs/>
          <w:b/>
        </w:rPr>
        <w:t xml:space="preserve">zigmkjhrod</w:t>
      </w:r>
      <w:r>
        <w:t xml:space="preserve"> </w:t>
      </w:r>
      <w:r>
        <w:t xml:space="preserve">followed a systematic five-step methodology in line with GHG Protocol standards: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w:t>
      </w:r>
      <w:r>
        <w:t xml:space="preserve"> </w:t>
      </w:r>
      <w:r>
        <w:rPr>
          <w:bCs/>
          <w:b/>
        </w:rPr>
        <w:t xml:space="preserve">zigmkjhrod</w:t>
      </w:r>
      <w:r>
        <w:t xml:space="preserve">. This unit serves as the basis for all calculations and comparisons.</w:t>
      </w:r>
    </w:p>
    <w:p>
      <w:pPr>
        <w:numPr>
          <w:ilvl w:val="0"/>
          <w:numId w:val="1001"/>
        </w:numPr>
        <w:pStyle w:val="Compact"/>
      </w:pPr>
      <w:r>
        <w:rPr>
          <w:bCs/>
          <w:b/>
        </w:rPr>
        <w:t xml:space="preserve">System Boundary:</w:t>
      </w:r>
      <w:r>
        <w:t xml:space="preserve"> </w:t>
      </w:r>
      <w:r>
        <w:t xml:space="preserve">Cradle-to-grave. While the primary production boundary for process data collection is defined as \'factory_gate\' in China, the overall assessment extends to include transport to market, the product\'s use phase, and its end-of-life treatment to provide a comprehensive view.</w:t>
      </w:r>
    </w:p>
    <w:p>
      <w:pPr>
        <w:numPr>
          <w:ilvl w:val="0"/>
          <w:numId w:val="1001"/>
        </w:numPr>
        <w:pStyle w:val="Compact"/>
      </w:pPr>
      <w:r>
        <w:rPr>
          <w:bCs/>
          <w:b/>
        </w:rPr>
        <w:t xml:space="preserve">Geographic Scope:</w:t>
      </w:r>
      <w:r>
        <w:t xml:space="preserve"> </w:t>
      </w:r>
      <w:r>
        <w:t xml:space="preserve">Final production in China, with a supply chain focus on Europe for material sourcing and distribution.</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(all other indirect emissions in the value chain).</w:t>
      </w:r>
    </w:p>
    <w:p>
      <w:pPr>
        <w:numPr>
          <w:ilvl w:val="0"/>
          <w:numId w:val="1001"/>
        </w:numPr>
        <w:pStyle w:val="Compact"/>
      </w:pPr>
      <w:r>
        <w:rPr>
          <w:bCs/>
          <w:b/>
        </w:rPr>
        <w:t xml:space="preserve">Allocation:</w:t>
      </w:r>
      <w:r>
        <w:t xml:space="preserve"> </w:t>
      </w:r>
      <w:r>
        <w:t xml:space="preserve">Mass-based allocation is assumed for any co-product or by-product scenarios, ensuring a fair distribution of environmental burdens.</w:t>
      </w:r>
    </w:p>
    <w:bookmarkEnd w:id="24"/>
    <w:bookmarkStart w:id="25"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zigmkjhrod</w:t>
      </w:r>
      <w:r>
        <w:t xml:space="preserve"> </w:t>
      </w:r>
      <w:r>
        <w:t xml:space="preserve">was mapped into the following stages to facilitate data collection and emission calculation:</w:t>
      </w:r>
    </w:p>
    <w:p>
      <w:pPr>
        <w:numPr>
          <w:ilvl w:val="0"/>
          <w:numId w:val="1002"/>
        </w:numPr>
        <w:pStyle w:val="Compact"/>
      </w:pPr>
      <w:r>
        <w:rPr>
          <w:bCs/>
          <w:b/>
        </w:rPr>
        <w:t xml:space="preserve">Materials Acquisition &amp; Pre-processing:</w:t>
      </w:r>
      <w:r>
        <w:t xml:space="preserve"> </w:t>
      </w:r>
      <w:r>
        <w:t xml:space="preserve">Extraction, processing, and refining of raw materials (e.g., metals, plastics).</w:t>
      </w:r>
    </w:p>
    <w:p>
      <w:pPr>
        <w:numPr>
          <w:ilvl w:val="0"/>
          <w:numId w:val="1002"/>
        </w:numPr>
        <w:pStyle w:val="Compact"/>
      </w:pPr>
      <w:r>
        <w:rPr>
          <w:bCs/>
          <w:b/>
        </w:rPr>
        <w:t xml:space="preserve">Manufacturing/Production:</w:t>
      </w:r>
      <w:r>
        <w:t xml:space="preserve"> </w:t>
      </w:r>
      <w:r>
        <w:t xml:space="preserve">All processes occurring at the</w:t>
      </w:r>
      <w:r>
        <w:t xml:space="preserve"> </w:t>
      </w:r>
      <w:r>
        <w:rPr>
          <w:bCs/>
          <w:b/>
        </w:rPr>
        <w:t xml:space="preserve">vxinleewoh</w:t>
      </w:r>
      <w:r>
        <w:t xml:space="preserve"> </w:t>
      </w:r>
      <w:r>
        <w:t xml:space="preserve">production facility in China, including energy consumption and on-site emissions.</w:t>
      </w:r>
    </w:p>
    <w:p>
      <w:pPr>
        <w:numPr>
          <w:ilvl w:val="0"/>
          <w:numId w:val="1002"/>
        </w:numPr>
        <w:pStyle w:val="Compact"/>
      </w:pPr>
      <w:r>
        <w:rPr>
          <w:bCs/>
          <w:b/>
        </w:rPr>
        <w:t xml:space="preserve">Transportation (Upstream &amp; Downstream):</w:t>
      </w:r>
      <w:r>
        <w:t xml:space="preserve"> </w:t>
      </w:r>
      <w:r>
        <w:t xml:space="preserve">Transport of raw materials to the factory, and transport of the finished product to the distribution centers/customers.</w:t>
      </w:r>
    </w:p>
    <w:p>
      <w:pPr>
        <w:numPr>
          <w:ilvl w:val="0"/>
          <w:numId w:val="1002"/>
        </w:numPr>
        <w:pStyle w:val="Compact"/>
      </w:pPr>
      <w:r>
        <w:rPr>
          <w:bCs/>
          <w:b/>
        </w:rPr>
        <w:t xml:space="preserve">Use Phase:</w:t>
      </w:r>
      <w:r>
        <w:t xml:space="preserve"> </w:t>
      </w:r>
      <w:r>
        <w:t xml:space="preserve">Energy consumption and any other emissions associated with the product\'s lifespan as used by the end-consumer.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End w:id="25"/>
    <w:bookmarkStart w:id="26" w:name="Xb57f50a89bf1f3f1837369be949d9d60d6c1272"/>
    <w:p>
      <w:pPr>
        <w:pStyle w:val="Heading3"/>
      </w:pPr>
      <w:r>
        <w:t xml:space="preserve">2.3. Collect Data (Primary/Secondary Data Points)</w:t>
      </w:r>
    </w:p>
    <w:p>
      <w:pPr>
        <w:pStyle w:val="FirstParagraph"/>
      </w:pPr>
      <w:r>
        <w:t xml:space="preserve">A combination of primary and secondary data was utilized for the analysis:</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t xml:space="preserve">The provided data (zdrvfkty) for material composition.</w:t>
      </w:r>
    </w:p>
    <w:p>
      <w:pPr>
        <w:numPr>
          <w:ilvl w:val="1"/>
          <w:numId w:val="1004"/>
        </w:numPr>
        <w:pStyle w:val="Compact"/>
      </w:pPr>
      <w:r>
        <w:rPr>
          <w:bCs/>
          <w:b/>
        </w:rPr>
        <w:t xml:space="preserve">Production Energy Data:</w:t>
      </w:r>
      <w:r>
        <w:t xml:space="preserve"> </w:t>
      </w:r>
      <w:r>
        <w:t xml:space="preserve">Specific energy intensity (ehgtgpkdgt) and renewable energy usage (jgysqghmpq) at the production facility.</w:t>
      </w:r>
    </w:p>
    <w:p>
      <w:pPr>
        <w:numPr>
          <w:ilvl w:val="1"/>
          <w:numId w:val="1004"/>
        </w:numPr>
        <w:pStyle w:val="Compact"/>
      </w:pPr>
      <w:r>
        <w:rPr>
          <w:bCs/>
          <w:b/>
        </w:rPr>
        <w:t xml:space="preserve">Logistics Data:</w:t>
      </w:r>
      <w:r>
        <w:t xml:space="preserve"> </w:t>
      </w:r>
      <w:r>
        <w:t xml:space="preserve">Specified transport mode (Select Mode), distance (fplqvwtekp), and last-mile delivery channel (Delivery Type).</w:t>
      </w:r>
    </w:p>
    <w:p>
      <w:pPr>
        <w:numPr>
          <w:ilvl w:val="1"/>
          <w:numId w:val="1004"/>
        </w:numPr>
        <w:pStyle w:val="Compact"/>
      </w:pPr>
      <w:r>
        <w:rPr>
          <w:bCs/>
          <w:b/>
        </w:rPr>
        <w:t xml:space="preserve">Use Phase Data:</w:t>
      </w:r>
      <w:r>
        <w:t xml:space="preserve"> </w:t>
      </w:r>
      <w:r>
        <w:t xml:space="preserve">Product lifespan (jijuhqzvzp) and energy consumption during use (ymkxfesire).</w:t>
      </w:r>
    </w:p>
    <w:p>
      <w:pPr>
        <w:numPr>
          <w:ilvl w:val="1"/>
          <w:numId w:val="1004"/>
        </w:numPr>
        <w:pStyle w:val="Compact"/>
      </w:pPr>
      <w:r>
        <w:rPr>
          <w:bCs/>
          <w:b/>
        </w:rPr>
        <w:t xml:space="preserve">End-of-Life Data:</w:t>
      </w:r>
      <w:r>
        <w:t xml:space="preserve"> </w:t>
      </w:r>
      <w:r>
        <w:t xml:space="preserve">Recyclability percentage (slhhnwwkzz) and information on circular/take-back programs (yonxqlppht).</w:t>
      </w:r>
    </w:p>
    <w:p>
      <w:pPr>
        <w:numPr>
          <w:ilvl w:val="0"/>
          <w:numId w:val="1003"/>
        </w:numPr>
        <w:pStyle w:val="Compact"/>
      </w:pPr>
      <w:r>
        <w:rPr>
          <w:bCs/>
          <w:b/>
        </w:rPr>
        <w:t xml:space="preserve">Secondary Data:</w:t>
      </w:r>
      <w:r>
        <w:t xml:space="preserve"> </w:t>
      </w:r>
      <w:r>
        <w:t xml:space="preserve">Industry-standard emission factors were used for processes and energy sources where primary data was unavailable or for generic estimations (e.g., Ecoinvent, DEFRA database). Specific assumptions for placeholder data are detailed in the calculation section.</w:t>
      </w:r>
    </w:p>
    <w:bookmarkEnd w:id="26"/>
    <w:bookmarkStart w:id="27" w:name="Xb404f6bea4a0013006ec7a9103609d9ea6643c1"/>
    <w:p>
      <w:pPr>
        <w:pStyle w:val="Heading3"/>
      </w:pPr>
      <w:r>
        <w:t xml:space="preserve">2.4. Calculate Emissions (Activity * Emission Factor = CO2e)</w:t>
      </w:r>
    </w:p>
    <w:p>
      <w:pPr>
        <w:pStyle w:val="FirstParagraph"/>
      </w:pPr>
      <w:r>
        <w:t xml:space="preserve">Emissions for each lifecycle stage were calculated by multiplying the activity data (e.g., kg of material, kWh of energy, tkm of transport) by the relevant emission factor (CO2e per unit of activity). All calculations are expressed in kg CO2 equivalent (CO2e) to account for all relevant greenhouse gases.</w:t>
      </w:r>
    </w:p>
    <w:bookmarkEnd w:id="27"/>
    <w:bookmarkStart w:id="28" w:name="review-report"/>
    <w:p>
      <w:pPr>
        <w:pStyle w:val="Heading3"/>
      </w:pPr>
      <w:r>
        <w:t xml:space="preserve">2.5. Review &amp; Report</w:t>
      </w:r>
    </w:p>
    <w:p>
      <w:pPr>
        <w:pStyle w:val="FirstParagraph"/>
      </w:pPr>
      <w:r>
        <w:t xml:space="preserve">The results were compiled to identify emission hotspots, quantify the overall PCF, and assess data reliability. The report categorizes emissions according to GHG Protocol Scopes and incorporates insights from the 2026 LSR Standard for land-related impacts. A review process was conducted to ensure methodological consistency and data integrity.</w:t>
      </w:r>
    </w:p>
    <w:p>
      <w:r>
        <w:pict>
          <v:rect style="width:0;height:1.5pt" o:hralign="center" o:hrstd="t" o:hr="t"/>
        </w:pict>
      </w:r>
    </w:p>
    <w:bookmarkEnd w:id="28"/>
    <w:bookmarkEnd w:id="29"/>
    <w:bookmarkStart w:id="35" w:name="detailed-data-breakdown-and-assumptions"/>
    <w:p>
      <w:pPr>
        <w:pStyle w:val="Heading2"/>
      </w:pPr>
      <w:r>
        <w:t xml:space="preserve">3. Detailed Data Breakdown and Assumptions</w:t>
      </w:r>
    </w:p>
    <w:bookmarkStart w:id="30" w:name="X1428ec1d1885feb992205144a5c6ed055eb01cb"/>
    <w:p>
      <w:pPr>
        <w:pStyle w:val="Heading3"/>
      </w:pPr>
      <w:r>
        <w:t xml:space="preserve">3.1. Material Inputs (Detailed Bill of Materials - BOM)</w:t>
      </w:r>
    </w:p>
    <w:p>
      <w:pPr>
        <w:pStyle w:val="FirstParagraph"/>
      </w:pPr>
      <w:r>
        <w:t xml:space="preserve">The following table details the Bill of Materials (BOM) for</w:t>
      </w:r>
      <w:r>
        <w:t xml:space="preserve"> </w:t>
      </w:r>
      <w:r>
        <w:rPr>
          <w:bCs/>
          <w:b/>
        </w:rPr>
        <w:t xml:space="preserve">zigmkjhrod</w:t>
      </w:r>
      <w:r>
        <w:t xml:space="preserve"> </w:t>
      </w:r>
      <w:r>
        <w:t xml:space="preserve">(based on zdrvfkty), including quantities, assumed emission factors, and calculated total carbon impact for each component. These represent Scope 3 (Upstream)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Chassis</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Virgin Polymer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Paperboard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2.37</w:t>
            </w:r>
          </w:p>
        </w:tc>
      </w:tr>
    </w:tbl>
    <w:p>
      <w:pPr>
        <w:pStyle w:val="BodyText"/>
      </w:pPr>
      <w:r>
        <w:rPr>
          <w:iCs/>
          <w:i/>
        </w:rPr>
        <w:t xml:space="preserve">Note: Emission factors are illustrative and reflect general industry averages for primary production processes. Specific values would require detailed supplier data.</w:t>
      </w:r>
    </w:p>
    <w:bookmarkEnd w:id="30"/>
    <w:bookmarkStart w:id="31" w:name="energy-inputs-production-phase"/>
    <w:p>
      <w:pPr>
        <w:pStyle w:val="Heading3"/>
      </w:pPr>
      <w:r>
        <w:t xml:space="preserve">3.2. Energy Inputs (Production Phase)</w:t>
      </w:r>
    </w:p>
    <w:p>
      <w:pPr>
        <w:pStyle w:val="FirstParagraph"/>
      </w:pPr>
      <w:r>
        <w:t xml:space="preserve">The production phase at the</w:t>
      </w:r>
      <w:r>
        <w:t xml:space="preserve"> </w:t>
      </w:r>
      <w:r>
        <w:rPr>
          <w:bCs/>
          <w:b/>
        </w:rPr>
        <w:t xml:space="preserve">vxinleewoh</w:t>
      </w:r>
      <w:r>
        <w:t xml:space="preserve"> </w:t>
      </w:r>
      <w:r>
        <w:t xml:space="preserve">facility in China utilizes both grid electricity and renewable energy sources. This contributes to Scope 2 emissions (purchased electricity) and potentially Scope 1 if on-site combustion occurs (assumed negligible for this report).</w:t>
      </w:r>
    </w:p>
    <w:p>
      <w:pPr>
        <w:numPr>
          <w:ilvl w:val="0"/>
          <w:numId w:val="1005"/>
        </w:numPr>
        <w:pStyle w:val="Compact"/>
      </w:pPr>
      <w:r>
        <w:rPr>
          <w:bCs/>
          <w:b/>
        </w:rPr>
        <w:t xml:space="preserve">Energy Intensity (kWh/unit):</w:t>
      </w:r>
      <w:r>
        <w:t xml:space="preserve"> </w:t>
      </w:r>
      <w:r>
        <w:t xml:space="preserve">ehgtgpkdgt = 15 kWh/unit</w:t>
      </w:r>
    </w:p>
    <w:p>
      <w:pPr>
        <w:numPr>
          <w:ilvl w:val="0"/>
          <w:numId w:val="1005"/>
        </w:numPr>
        <w:pStyle w:val="Compact"/>
      </w:pPr>
      <w:r>
        <w:rPr>
          <w:bCs/>
          <w:b/>
        </w:rPr>
        <w:t xml:space="preserve">Renewable Energy Usage:</w:t>
      </w:r>
      <w:r>
        <w:t xml:space="preserve"> </w:t>
      </w:r>
      <w:r>
        <w:t xml:space="preserve">jgysqghmpq = 50%</w:t>
      </w:r>
    </w:p>
    <w:p>
      <w:pPr>
        <w:numPr>
          <w:ilvl w:val="0"/>
          <w:numId w:val="1005"/>
        </w:numPr>
        <w:pStyle w:val="Compact"/>
      </w:pPr>
      <w:r>
        <w:rPr>
          <w:bCs/>
          <w:b/>
        </w:rPr>
        <w:t xml:space="preserve">Assumed Grid Electricity Emission Factor (China):</w:t>
      </w:r>
      <w:r>
        <w:t xml:space="preserve"> </w:t>
      </w:r>
      <w:r>
        <w:t xml:space="preserve">0.6 kg CO2e/kWh (Illustrative, highly variable based on regional grid mix).</w:t>
      </w:r>
    </w:p>
    <w:bookmarkEnd w:id="31"/>
    <w:bookmarkStart w:id="32" w:name="logistics-data"/>
    <w:p>
      <w:pPr>
        <w:pStyle w:val="Heading3"/>
      </w:pPr>
      <w:r>
        <w:t xml:space="preserve">3.3. Logistics Data</w:t>
      </w:r>
    </w:p>
    <w:p>
      <w:pPr>
        <w:pStyle w:val="FirstParagraph"/>
      </w:pPr>
      <w:r>
        <w:t xml:space="preserve">Transportation activities contribute to Scope 3 (Upstream and Downstream) emissions.</w:t>
      </w:r>
    </w:p>
    <w:p>
      <w:pPr>
        <w:numPr>
          <w:ilvl w:val="0"/>
          <w:numId w:val="1006"/>
        </w:numPr>
        <w:pStyle w:val="Compact"/>
      </w:pPr>
      <w:r>
        <w:rPr>
          <w:bCs/>
          <w:b/>
        </w:rPr>
        <w:t xml:space="preserve">Transport Mode (Main Shipment):</w:t>
      </w:r>
      <w:r>
        <w:t xml:space="preserve"> </w:t>
      </w:r>
      <w:r>
        <w:t xml:space="preserve">Select Mode = Road Freight (Long-Haul Truck)</w:t>
      </w:r>
    </w:p>
    <w:p>
      <w:pPr>
        <w:numPr>
          <w:ilvl w:val="0"/>
          <w:numId w:val="1006"/>
        </w:numPr>
        <w:pStyle w:val="Compact"/>
      </w:pPr>
      <w:r>
        <w:rPr>
          <w:bCs/>
          <w:b/>
        </w:rPr>
        <w:t xml:space="preserve">Transport Distance (Main Shipment):</w:t>
      </w:r>
      <w:r>
        <w:t xml:space="preserve"> </w:t>
      </w:r>
      <w:r>
        <w:t xml:space="preserve">fplqvwtekp = 8,000 km (Assumed from China to Europe)</w:t>
      </w:r>
    </w:p>
    <w:p>
      <w:pPr>
        <w:numPr>
          <w:ilvl w:val="0"/>
          <w:numId w:val="1006"/>
        </w:numPr>
        <w:pStyle w:val="Compact"/>
      </w:pPr>
      <w:r>
        <w:rPr>
          <w:bCs/>
          <w:b/>
        </w:rPr>
        <w:t xml:space="preserve">Last-Mile Delivery Channel:</w:t>
      </w:r>
      <w:r>
        <w:t xml:space="preserve"> </w:t>
      </w:r>
      <w:r>
        <w:t xml:space="preserve">Delivery Type = Parcel Delivery Van (Diesel)</w:t>
      </w:r>
    </w:p>
    <w:p>
      <w:pPr>
        <w:pStyle w:val="FirstParagraph"/>
      </w:pPr>
      <w:r>
        <w:rPr>
          <w:iCs/>
          <w:i/>
        </w:rPr>
        <w:t xml:space="preserve">Assumed Emission Factors:</w:t>
      </w:r>
    </w:p>
    <w:p>
      <w:pPr>
        <w:numPr>
          <w:ilvl w:val="0"/>
          <w:numId w:val="1007"/>
        </w:numPr>
        <w:pStyle w:val="Compact"/>
      </w:pPr>
      <w:r>
        <w:rPr>
          <w:bCs/>
          <w:b/>
        </w:rPr>
        <w:t xml:space="preserve">Road Freight (Long-Haul, &gt;20t):</w:t>
      </w:r>
      <w:r>
        <w:t xml:space="preserve"> </w:t>
      </w:r>
      <w:r>
        <w:t xml:space="preserve">0.02 kg CO2e/tkm (Illustrative)</w:t>
      </w:r>
    </w:p>
    <w:p>
      <w:pPr>
        <w:numPr>
          <w:ilvl w:val="0"/>
          <w:numId w:val="1007"/>
        </w:numPr>
        <w:pStyle w:val="Compact"/>
      </w:pPr>
      <w:r>
        <w:rPr>
          <w:bCs/>
          <w:b/>
        </w:rPr>
        <w:t xml:space="preserve">Parcel Delivery Van:</w:t>
      </w:r>
      <w:r>
        <w:t xml:space="preserve"> </w:t>
      </w:r>
      <w:r>
        <w:t xml:space="preserve">0.5 kg CO2e/package (Illustrative, assuming average package weight and delivery route)</w:t>
      </w:r>
    </w:p>
    <w:bookmarkEnd w:id="32"/>
    <w:bookmarkStart w:id="33" w:name="use-phase-data"/>
    <w:p>
      <w:pPr>
        <w:pStyle w:val="Heading3"/>
      </w:pPr>
      <w:r>
        <w:t xml:space="preserve">3.4. Use Phase Data</w:t>
      </w:r>
    </w:p>
    <w:p>
      <w:pPr>
        <w:pStyle w:val="FirstParagraph"/>
      </w:pPr>
      <w:r>
        <w:t xml:space="preserve">The product\'s use phase contributes to Scope 3 (Downstream) emissions.</w:t>
      </w:r>
    </w:p>
    <w:p>
      <w:pPr>
        <w:numPr>
          <w:ilvl w:val="0"/>
          <w:numId w:val="1008"/>
        </w:numPr>
        <w:pStyle w:val="Compact"/>
      </w:pPr>
      <w:r>
        <w:rPr>
          <w:bCs/>
          <w:b/>
        </w:rPr>
        <w:t xml:space="preserve">Product Lifespan:</w:t>
      </w:r>
      <w:r>
        <w:t xml:space="preserve"> </w:t>
      </w:r>
      <w:r>
        <w:t xml:space="preserve">jijuhqzvzp = 7 years</w:t>
      </w:r>
    </w:p>
    <w:p>
      <w:pPr>
        <w:numPr>
          <w:ilvl w:val="0"/>
          <w:numId w:val="1008"/>
        </w:numPr>
        <w:pStyle w:val="Compact"/>
      </w:pPr>
      <w:r>
        <w:rPr>
          <w:bCs/>
          <w:b/>
        </w:rPr>
        <w:t xml:space="preserve">Energy Consumption in Use:</w:t>
      </w:r>
      <w:r>
        <w:t xml:space="preserve"> </w:t>
      </w:r>
      <w:r>
        <w:t xml:space="preserve">ymkxfesire = 25 kWh/year</w:t>
      </w:r>
    </w:p>
    <w:p>
      <w:pPr>
        <w:numPr>
          <w:ilvl w:val="0"/>
          <w:numId w:val="1008"/>
        </w:numPr>
        <w:pStyle w:val="Compact"/>
      </w:pPr>
      <w:r>
        <w:rPr>
          <w:bCs/>
          <w:b/>
        </w:rPr>
        <w:t xml:space="preserve">Assumed Grid Electricity Emission Factor (Europe Average for Use Phase):</w:t>
      </w:r>
      <w:r>
        <w:t xml:space="preserve"> </w:t>
      </w:r>
      <w:r>
        <w:t xml:space="preserve">0.25 kg CO2e/kWh (Illustrative, reflecting a general European grid mix).</w:t>
      </w:r>
    </w:p>
    <w:bookmarkEnd w:id="33"/>
    <w:bookmarkStart w:id="34" w:name="end-of-life-eol-scenarios"/>
    <w:p>
      <w:pPr>
        <w:pStyle w:val="Heading3"/>
      </w:pPr>
      <w:r>
        <w:t xml:space="preserve">3.5. End-of-Life (EoL) Scenarios</w:t>
      </w:r>
    </w:p>
    <w:p>
      <w:pPr>
        <w:pStyle w:val="FirstParagraph"/>
      </w:pPr>
      <w:r>
        <w:t xml:space="preserve">End-of-Life processes contribute to Scope 3 (Downstream) emissions and potential avoided emissions.</w:t>
      </w:r>
    </w:p>
    <w:p>
      <w:pPr>
        <w:numPr>
          <w:ilvl w:val="0"/>
          <w:numId w:val="1009"/>
        </w:numPr>
        <w:pStyle w:val="Compact"/>
      </w:pPr>
      <w:r>
        <w:rPr>
          <w:bCs/>
          <w:b/>
        </w:rPr>
        <w:t xml:space="preserve">Recyclability Percentage:</w:t>
      </w:r>
      <w:r>
        <w:t xml:space="preserve"> </w:t>
      </w:r>
      <w:r>
        <w:t xml:space="preserve">slhhnwwkzz = 75%</w:t>
      </w:r>
    </w:p>
    <w:p>
      <w:pPr>
        <w:numPr>
          <w:ilvl w:val="0"/>
          <w:numId w:val="1009"/>
        </w:numPr>
        <w:pStyle w:val="Compact"/>
      </w:pPr>
      <w:r>
        <w:rPr>
          <w:bCs/>
          <w:b/>
        </w:rPr>
        <w:t xml:space="preserve">Circular/Take-back Programs:</w:t>
      </w:r>
      <w:r>
        <w:t xml:space="preserve"> </w:t>
      </w:r>
      <w:r>
        <w:t xml:space="preserve">yonxqlppht = Established and actively promoted. (This will be considered for avoided emissions from virgin material production)</w:t>
      </w:r>
    </w:p>
    <w:p>
      <w:pPr>
        <w:pStyle w:val="FirstParagraph"/>
      </w:pPr>
      <w:r>
        <w:rPr>
          <w:iCs/>
          <w:i/>
        </w:rPr>
        <w:t xml:space="preserve">Assumed Emission Factors:</w:t>
      </w:r>
    </w:p>
    <w:p>
      <w:pPr>
        <w:numPr>
          <w:ilvl w:val="0"/>
          <w:numId w:val="1010"/>
        </w:numPr>
        <w:pStyle w:val="Compact"/>
      </w:pPr>
      <w:r>
        <w:rPr>
          <w:bCs/>
          <w:b/>
        </w:rPr>
        <w:t xml:space="preserve">Landfilling Mixed Waste:</w:t>
      </w:r>
      <w:r>
        <w:t xml:space="preserve"> </w:t>
      </w:r>
      <w:r>
        <w:t xml:space="preserve">0.3 kg CO2e/kg (Illustrative)</w:t>
      </w:r>
    </w:p>
    <w:p>
      <w:pPr>
        <w:numPr>
          <w:ilvl w:val="0"/>
          <w:numId w:val="1010"/>
        </w:numPr>
        <w:pStyle w:val="Compact"/>
      </w:pPr>
      <w:r>
        <w:rPr>
          <w:bCs/>
          <w:b/>
        </w:rPr>
        <w:t xml:space="preserve">Recycling Avoided Emissions (Generic Average):</w:t>
      </w:r>
      <w:r>
        <w:t xml:space="preserve"> </w:t>
      </w:r>
      <w:r>
        <w:t xml:space="preserve">-1.0 kg CO2e/kg for material recycled (Illustrative, represents GHG savings by displacing virgin material production).</w:t>
      </w:r>
    </w:p>
    <w:p>
      <w:r>
        <w:pict>
          <v:rect style="width:0;height:1.5pt" o:hralign="center" o:hrstd="t" o:hr="t"/>
        </w:pict>
      </w:r>
    </w:p>
    <w:bookmarkEnd w:id="34"/>
    <w:bookmarkEnd w:id="35"/>
    <w:bookmarkStart w:id="49" w:name="Xd4b0c0c2ce30734045a8ed64c48b37b2f75b274"/>
    <w:p>
      <w:pPr>
        <w:pStyle w:val="Heading2"/>
      </w:pPr>
      <w:r>
        <w:t xml:space="preserve">4. Emission Calculations and GHG Protocol Categorization</w:t>
      </w:r>
    </w:p>
    <w:p>
      <w:pPr>
        <w:pStyle w:val="FirstParagraph"/>
      </w:pPr>
      <w:r>
        <w:t xml:space="preserve">This section details the calculation of emissions for each lifecycle stage, categorized according to the GHG Protocol Scopes (Scope 1, Scope 2, Scope 3).</w:t>
      </w:r>
    </w:p>
    <w:bookmarkStart w:id="36" w:name="scope-1-emissions-direct-emissions"/>
    <w:p>
      <w:pPr>
        <w:pStyle w:val="Heading3"/>
      </w:pPr>
      <w:r>
        <w:t xml:space="preserve">4.1. Scope 1 Emissions (Direct Emissions)</w:t>
      </w:r>
    </w:p>
    <w:p>
      <w:pPr>
        <w:pStyle w:val="FirstParagraph"/>
      </w:pPr>
      <w:r>
        <w:t xml:space="preserve">For</w:t>
      </w:r>
      <w:r>
        <w:t xml:space="preserve"> </w:t>
      </w:r>
      <w:r>
        <w:rPr>
          <w:bCs/>
          <w:b/>
        </w:rPr>
        <w:t xml:space="preserve">zigmkjhrod</w:t>
      </w:r>
      <w:r>
        <w:t xml:space="preserve">, direct emissions from sources owned or controlled by</w:t>
      </w:r>
      <w:r>
        <w:t xml:space="preserve"> </w:t>
      </w:r>
      <w:r>
        <w:rPr>
          <w:bCs/>
          <w:b/>
        </w:rPr>
        <w:t xml:space="preserve">vxinleewoh</w:t>
      </w:r>
      <w:r>
        <w:t xml:space="preserve"> </w:t>
      </w:r>
      <w:r>
        <w:t xml:space="preserve">(e.g., on-site fuel combustion, company vehicles) are assumed to be negligible for the production of a single unit or are implicitly covered by Scope 2/3 where applicable to the overall facility footprint. A specific breakdown per unit requires more granular data on direct process emissions which are not available in the provided parameters. Therefore, for this PCF, Scope 1 is considered minimal or zero at the unit level, without specific data.</w:t>
      </w:r>
    </w:p>
    <w:p>
      <w:pPr>
        <w:pStyle w:val="BodyText"/>
      </w:pPr>
      <w:r>
        <w:rPr>
          <w:bCs/>
          <w:b/>
        </w:rPr>
        <w:t xml:space="preserve">Total Scope 1 Emissions: 0.00 kg CO2e</w:t>
      </w:r>
      <w:r>
        <w:t xml:space="preserve"> </w:t>
      </w:r>
      <w:r>
        <w:t xml:space="preserve">(Assumed negligible for unit-level PCF without specific direct process data).</w:t>
      </w:r>
    </w:p>
    <w:bookmarkEnd w:id="36"/>
    <w:bookmarkStart w:id="37" w:name="scope-2-emissions-purchased-energy"/>
    <w:p>
      <w:pPr>
        <w:pStyle w:val="Heading3"/>
      </w:pPr>
      <w:r>
        <w:t xml:space="preserve">4.2. Scope 2 Emissions (Purchased Energy)</w:t>
      </w:r>
    </w:p>
    <w:p>
      <w:pPr>
        <w:pStyle w:val="FirstParagraph"/>
      </w:pPr>
      <w:r>
        <w:t xml:space="preserve">These emissions arise from the generation of purchased electricity consumed by</w:t>
      </w:r>
      <w:r>
        <w:t xml:space="preserve"> </w:t>
      </w:r>
      <w:r>
        <w:rPr>
          <w:bCs/>
          <w:b/>
        </w:rPr>
        <w:t xml:space="preserve">vxinleewoh</w:t>
      </w:r>
      <w:r>
        <w:t xml:space="preserve"> </w:t>
      </w:r>
      <w:r>
        <w:t xml:space="preserve">for the production of</w:t>
      </w:r>
      <w:r>
        <w:t xml:space="preserve"> </w:t>
      </w:r>
      <w:r>
        <w:rPr>
          <w:bCs/>
          <w:b/>
        </w:rPr>
        <w:t xml:space="preserve">zigmkjhrod</w:t>
      </w:r>
      <w:r>
        <w:t xml:space="preserve"> </w:t>
      </w:r>
      <w:r>
        <w:t xml:space="preserve">in China.</w:t>
      </w:r>
    </w:p>
    <w:p>
      <w:pPr>
        <w:numPr>
          <w:ilvl w:val="0"/>
          <w:numId w:val="1011"/>
        </w:numPr>
        <w:pStyle w:val="Compact"/>
      </w:pPr>
      <w:r>
        <w:t xml:space="preserve">Energy Intensity: 15 kWh/unit</w:t>
      </w:r>
    </w:p>
    <w:p>
      <w:pPr>
        <w:numPr>
          <w:ilvl w:val="0"/>
          <w:numId w:val="1011"/>
        </w:numPr>
        <w:pStyle w:val="Compact"/>
      </w:pPr>
      <w:r>
        <w:t xml:space="preserve">Renewable Energy Usage: 50%</w:t>
      </w:r>
    </w:p>
    <w:p>
      <w:pPr>
        <w:numPr>
          <w:ilvl w:val="0"/>
          <w:numId w:val="1011"/>
        </w:numPr>
        <w:pStyle w:val="Compact"/>
      </w:pPr>
      <w:r>
        <w:t xml:space="preserve">Non-renewable electricity consumed: 15 kWh/unit * (1 - 0.50) = 7.5 kWh/unit</w:t>
      </w:r>
    </w:p>
    <w:p>
      <w:pPr>
        <w:numPr>
          <w:ilvl w:val="0"/>
          <w:numId w:val="1011"/>
        </w:numPr>
        <w:pStyle w:val="Compact"/>
      </w:pPr>
      <w:r>
        <w:t xml:space="preserve">Assumed China Grid EF: 0.6 kg CO2e/kWh</w:t>
      </w:r>
    </w:p>
    <w:p>
      <w:pPr>
        <w:numPr>
          <w:ilvl w:val="0"/>
          <w:numId w:val="1011"/>
        </w:numPr>
        <w:pStyle w:val="Compact"/>
      </w:pPr>
      <w:r>
        <w:rPr>
          <w:bCs/>
          <w:b/>
        </w:rPr>
        <w:t xml:space="preserve">Calculation:</w:t>
      </w:r>
      <w:r>
        <w:t xml:space="preserve"> </w:t>
      </w:r>
      <w:r>
        <w:t xml:space="preserve">7.5 kWh/unit * 0.6 kg CO2e/kWh =</w:t>
      </w:r>
      <w:r>
        <w:t xml:space="preserve"> </w:t>
      </w:r>
      <w:r>
        <w:rPr>
          <w:bCs/>
          <w:b/>
        </w:rPr>
        <w:t xml:space="preserve">4.50 kg CO2e</w:t>
      </w:r>
    </w:p>
    <w:p>
      <w:pPr>
        <w:pStyle w:val="FirstParagraph"/>
      </w:pPr>
      <w:r>
        <w:rPr>
          <w:bCs/>
          <w:b/>
        </w:rPr>
        <w:t xml:space="preserve">Total Scope 2 Emissions: 4.50 kg CO2e</w:t>
      </w:r>
    </w:p>
    <w:bookmarkEnd w:id="37"/>
    <w:bookmarkStart w:id="45"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w:t>
      </w:r>
      <w:r>
        <w:t xml:space="preserve"> </w:t>
      </w:r>
      <w:r>
        <w:rPr>
          <w:bCs/>
          <w:b/>
        </w:rPr>
        <w:t xml:space="preserve">vxinleewoh</w:t>
      </w:r>
      <w:r>
        <w:t xml:space="preserve">, both upstream and downstream. This analysis aims for at least 95% coverage as per 2026 requirements.</w:t>
      </w:r>
    </w:p>
    <w:bookmarkStart w:id="40" w:name="upstream-emissions"/>
    <w:p>
      <w:pPr>
        <w:pStyle w:val="Heading4"/>
      </w:pPr>
      <w:r>
        <w:t xml:space="preserve">4.3.1. Upstream Emissions</w:t>
      </w:r>
    </w:p>
    <w:bookmarkStart w:id="38" w:name="Xab9729a0caae076ca89f2f71668734f92723cf2"/>
    <w:p>
      <w:pPr>
        <w:pStyle w:val="Heading5"/>
      </w:pPr>
      <w:r>
        <w:t xml:space="preserve">Category 1: Purchased Goods and Services (Materials)</w:t>
      </w:r>
    </w:p>
    <w:p>
      <w:pPr>
        <w:pStyle w:val="FirstParagraph"/>
      </w:pPr>
      <w:r>
        <w:t xml:space="preserve">Based on the Detailed Bill of Materials (BOM) for</w:t>
      </w:r>
      <w:r>
        <w:t xml:space="preserve"> </w:t>
      </w:r>
      <w:r>
        <w:rPr>
          <w:bCs/>
          <w:b/>
        </w:rPr>
        <w:t xml:space="preserve">zigmkjhrod</w:t>
      </w:r>
      <w:r>
        <w:t xml:space="preserve">:</w:t>
      </w:r>
    </w:p>
    <w:p>
      <w:pPr>
        <w:numPr>
          <w:ilvl w:val="0"/>
          <w:numId w:val="1012"/>
        </w:numPr>
        <w:pStyle w:val="Compact"/>
      </w:pPr>
      <w:r>
        <w:t xml:space="preserve">Steel Chassis: 1.25 kg CO2e</w:t>
      </w:r>
    </w:p>
    <w:p>
      <w:pPr>
        <w:numPr>
          <w:ilvl w:val="0"/>
          <w:numId w:val="1012"/>
        </w:numPr>
        <w:pStyle w:val="Compact"/>
      </w:pPr>
      <w:r>
        <w:t xml:space="preserve">ABS Plastic Casing: 0.60 kg CO2e</w:t>
      </w:r>
    </w:p>
    <w:p>
      <w:pPr>
        <w:numPr>
          <w:ilvl w:val="0"/>
          <w:numId w:val="1012"/>
        </w:numPr>
        <w:pStyle w:val="Compact"/>
      </w:pPr>
      <w:r>
        <w:t xml:space="preserve">Copper Wiring: 0.40 kg CO2e</w:t>
      </w:r>
    </w:p>
    <w:p>
      <w:pPr>
        <w:numPr>
          <w:ilvl w:val="0"/>
          <w:numId w:val="1012"/>
        </w:numPr>
        <w:pStyle w:val="Compact"/>
      </w:pPr>
      <w:r>
        <w:t xml:space="preserve">Packaging (Cardboard): 0.12 kg CO2e</w:t>
      </w:r>
    </w:p>
    <w:p>
      <w:pPr>
        <w:pStyle w:val="FirstParagraph"/>
      </w:pPr>
      <w:r>
        <w:rPr>
          <w:bCs/>
          <w:b/>
        </w:rPr>
        <w:t xml:space="preserve">Total Material Emissions: 2.37 kg CO2e</w:t>
      </w:r>
    </w:p>
    <w:bookmarkEnd w:id="38"/>
    <w:bookmarkStart w:id="39" w:name="X1c2f3b5ed42cfe71228d1b076c38a7867a7b6af"/>
    <w:p>
      <w:pPr>
        <w:pStyle w:val="Heading5"/>
      </w:pPr>
      <w:r>
        <w:t xml:space="preserve">Category 4: Upstream Transportation and Distribution (Finished Product to Market)</w:t>
      </w:r>
    </w:p>
    <w:p>
      <w:pPr>
        <w:pStyle w:val="FirstParagraph"/>
      </w:pPr>
      <w:r>
        <w:t xml:space="preserve">This covers the primary transport of the finished product from the factory in China to the distribution network in Europe.</w:t>
      </w:r>
    </w:p>
    <w:p>
      <w:pPr>
        <w:numPr>
          <w:ilvl w:val="0"/>
          <w:numId w:val="1013"/>
        </w:numPr>
        <w:pStyle w:val="Compact"/>
      </w:pPr>
      <w:r>
        <w:t xml:space="preserve">Product Weight (approximate based on BOM): 0.5kg + 0.2kg + 0.1kg + 0.15kg = 0.95 kg (Let\'s assume 1 kg for simplicity of tkm calculation for the whole unit).</w:t>
      </w:r>
    </w:p>
    <w:p>
      <w:pPr>
        <w:numPr>
          <w:ilvl w:val="0"/>
          <w:numId w:val="1013"/>
        </w:numPr>
        <w:pStyle w:val="Compact"/>
      </w:pPr>
      <w:r>
        <w:t xml:space="preserve">Transport Distance: 8,000 km</w:t>
      </w:r>
    </w:p>
    <w:p>
      <w:pPr>
        <w:numPr>
          <w:ilvl w:val="0"/>
          <w:numId w:val="1013"/>
        </w:numPr>
        <w:pStyle w:val="Compact"/>
      </w:pPr>
      <w:r>
        <w:t xml:space="preserve">Transport Mode EF (Road Freight): 0.02 kg CO2e/tkm</w:t>
      </w:r>
    </w:p>
    <w:p>
      <w:pPr>
        <w:numPr>
          <w:ilvl w:val="0"/>
          <w:numId w:val="1013"/>
        </w:numPr>
        <w:pStyle w:val="Compact"/>
      </w:pPr>
      <w:r>
        <w:rPr>
          <w:bCs/>
          <w:b/>
        </w:rPr>
        <w:t xml:space="preserve">Calculation:</w:t>
      </w:r>
      <w:r>
        <w:t xml:space="preserve"> </w:t>
      </w:r>
      <w:r>
        <w:t xml:space="preserve">(1 kg / 1000 kg/tonne) * 8,000 km * 0.02 kg CO2e/tkm = 0.001 tonne * 8,000 km * 0.02 kg CO2e/tkm =</w:t>
      </w:r>
      <w:r>
        <w:t xml:space="preserve"> </w:t>
      </w:r>
      <w:r>
        <w:rPr>
          <w:bCs/>
          <w:b/>
        </w:rPr>
        <w:t xml:space="preserve">0.16 kg CO2e</w:t>
      </w:r>
    </w:p>
    <w:p>
      <w:pPr>
        <w:pStyle w:val="FirstParagraph"/>
      </w:pPr>
      <w:r>
        <w:rPr>
          <w:bCs/>
          <w:b/>
        </w:rPr>
        <w:t xml:space="preserve">Total Upstream Transport Emissions: 0.16 kg CO2e</w:t>
      </w:r>
    </w:p>
    <w:p>
      <w:pPr>
        <w:pStyle w:val="BodyText"/>
      </w:pPr>
      <w:r>
        <w:rPr>
          <w:bCs/>
          <w:b/>
        </w:rPr>
        <w:t xml:space="preserve">Total Upstream Scope 3 Emissions: 2.37 kg CO2e (Materials) + 0.16 kg CO2e (Transport) = 2.53 kg CO2e</w:t>
      </w:r>
    </w:p>
    <w:bookmarkEnd w:id="39"/>
    <w:bookmarkEnd w:id="40"/>
    <w:bookmarkStart w:id="44" w:name="downstream-emissions"/>
    <w:p>
      <w:pPr>
        <w:pStyle w:val="Heading4"/>
      </w:pPr>
      <w:r>
        <w:t xml:space="preserve">4.3.2. Downstream Emissions</w:t>
      </w:r>
    </w:p>
    <w:bookmarkStart w:id="41" w:name="Xe6a609cc71639c4bb5b5bcd247c776c9d89fa33"/>
    <w:p>
      <w:pPr>
        <w:pStyle w:val="Heading5"/>
      </w:pPr>
      <w:r>
        <w:t xml:space="preserve">Category 9: Downstream Transportation and Distribution (Last-Mile Delivery)</w:t>
      </w:r>
    </w:p>
    <w:p>
      <w:pPr>
        <w:pStyle w:val="FirstParagraph"/>
      </w:pPr>
      <w:r>
        <w:t xml:space="preserve">This covers the last-mile delivery to the end customer.</w:t>
      </w:r>
    </w:p>
    <w:p>
      <w:pPr>
        <w:numPr>
          <w:ilvl w:val="0"/>
          <w:numId w:val="1014"/>
        </w:numPr>
        <w:pStyle w:val="Compact"/>
      </w:pPr>
      <w:r>
        <w:t xml:space="preserve">Last-Mile Delivery Type: Parcel Delivery Van</w:t>
      </w:r>
    </w:p>
    <w:p>
      <w:pPr>
        <w:numPr>
          <w:ilvl w:val="0"/>
          <w:numId w:val="1014"/>
        </w:numPr>
        <w:pStyle w:val="Compact"/>
      </w:pPr>
      <w:r>
        <w:t xml:space="preserve">Assumed Parcel Delivery EF: 0.5 kg CO2e/package</w:t>
      </w:r>
    </w:p>
    <w:p>
      <w:pPr>
        <w:numPr>
          <w:ilvl w:val="0"/>
          <w:numId w:val="1014"/>
        </w:numPr>
        <w:pStyle w:val="Compact"/>
      </w:pPr>
      <w:r>
        <w:rPr>
          <w:bCs/>
          <w:b/>
        </w:rPr>
        <w:t xml:space="preserve">Calculation:</w:t>
      </w:r>
      <w:r>
        <w:t xml:space="preserve"> </w:t>
      </w:r>
      <w:r>
        <w:t xml:space="preserve">1 unit * 0.5 kg CO2e/package =</w:t>
      </w:r>
      <w:r>
        <w:t xml:space="preserve"> </w:t>
      </w:r>
      <w:r>
        <w:rPr>
          <w:bCs/>
          <w:b/>
        </w:rPr>
        <w:t xml:space="preserve">0.50 kg CO2e</w:t>
      </w:r>
    </w:p>
    <w:p>
      <w:pPr>
        <w:pStyle w:val="FirstParagraph"/>
      </w:pPr>
      <w:r>
        <w:rPr>
          <w:bCs/>
          <w:b/>
        </w:rPr>
        <w:t xml:space="preserve">Total Last-Mile Delivery Emissions: 0.50 kg CO2e</w:t>
      </w:r>
    </w:p>
    <w:bookmarkEnd w:id="41"/>
    <w:bookmarkStart w:id="42" w:name="category-11-use-of-sold-products"/>
    <w:p>
      <w:pPr>
        <w:pStyle w:val="Heading5"/>
      </w:pPr>
      <w:r>
        <w:t xml:space="preserve">Category 11: Use of Sold Products</w:t>
      </w:r>
    </w:p>
    <w:p>
      <w:pPr>
        <w:pStyle w:val="FirstParagraph"/>
      </w:pPr>
      <w:r>
        <w:t xml:space="preserve">Emissions from the energy consumption of</w:t>
      </w:r>
      <w:r>
        <w:t xml:space="preserve"> </w:t>
      </w:r>
      <w:r>
        <w:rPr>
          <w:bCs/>
          <w:b/>
        </w:rPr>
        <w:t xml:space="preserve">zigmkjhrod</w:t>
      </w:r>
      <w:r>
        <w:t xml:space="preserve"> </w:t>
      </w:r>
      <w:r>
        <w:t xml:space="preserve">during its operational lifespan.</w:t>
      </w:r>
    </w:p>
    <w:p>
      <w:pPr>
        <w:numPr>
          <w:ilvl w:val="0"/>
          <w:numId w:val="1015"/>
        </w:numPr>
        <w:pStyle w:val="Compact"/>
      </w:pPr>
      <w:r>
        <w:t xml:space="preserve">Product Lifespan: 7 years</w:t>
      </w:r>
    </w:p>
    <w:p>
      <w:pPr>
        <w:numPr>
          <w:ilvl w:val="0"/>
          <w:numId w:val="1015"/>
        </w:numPr>
        <w:pStyle w:val="Compact"/>
      </w:pPr>
      <w:r>
        <w:t xml:space="preserve">Energy Consumption in Use: 25 kWh/year</w:t>
      </w:r>
    </w:p>
    <w:p>
      <w:pPr>
        <w:numPr>
          <w:ilvl w:val="0"/>
          <w:numId w:val="1015"/>
        </w:numPr>
        <w:pStyle w:val="Compact"/>
      </w:pPr>
      <w:r>
        <w:t xml:space="preserve">Assumed Europe Grid EF (for use phase): 0.25 kg CO2e/kWh</w:t>
      </w:r>
    </w:p>
    <w:p>
      <w:pPr>
        <w:numPr>
          <w:ilvl w:val="0"/>
          <w:numId w:val="1015"/>
        </w:numPr>
        <w:pStyle w:val="Compact"/>
      </w:pPr>
      <w:r>
        <w:rPr>
          <w:bCs/>
          <w:b/>
        </w:rPr>
        <w:t xml:space="preserve">Calculation:</w:t>
      </w:r>
      <w:r>
        <w:t xml:space="preserve"> </w:t>
      </w:r>
      <w:r>
        <w:t xml:space="preserve">7 years * 25 kWh/year * 0.25 kg CO2e/kWh =</w:t>
      </w:r>
      <w:r>
        <w:t xml:space="preserve"> </w:t>
      </w:r>
      <w:r>
        <w:rPr>
          <w:bCs/>
          <w:b/>
        </w:rPr>
        <w:t xml:space="preserve">43.75 kg CO2e</w:t>
      </w:r>
    </w:p>
    <w:p>
      <w:pPr>
        <w:pStyle w:val="FirstParagraph"/>
      </w:pPr>
      <w:r>
        <w:rPr>
          <w:bCs/>
          <w:b/>
        </w:rPr>
        <w:t xml:space="preserve">Total Use Phase Emissions: 43.75 kg CO2e</w:t>
      </w:r>
    </w:p>
    <w:bookmarkEnd w:id="42"/>
    <w:bookmarkStart w:id="43" w:name="X9f66eef2700632e081dfe139021cb724ffcd2c5"/>
    <w:p>
      <w:pPr>
        <w:pStyle w:val="Heading5"/>
      </w:pPr>
      <w:r>
        <w:t xml:space="preserve">Category 12: End-of-Life Treatment of Sold Products</w:t>
      </w:r>
    </w:p>
    <w:p>
      <w:pPr>
        <w:pStyle w:val="FirstParagraph"/>
      </w:pPr>
      <w:r>
        <w:t xml:space="preserve">Emissions and avoided emissions from disposal and recycling processes.</w:t>
      </w:r>
    </w:p>
    <w:p>
      <w:pPr>
        <w:numPr>
          <w:ilvl w:val="0"/>
          <w:numId w:val="1016"/>
        </w:numPr>
        <w:pStyle w:val="Compact"/>
      </w:pPr>
      <w:r>
        <w:t xml:space="preserve">Product Weight: 0.95 kg (from BOM components)</w:t>
      </w:r>
    </w:p>
    <w:p>
      <w:pPr>
        <w:numPr>
          <w:ilvl w:val="0"/>
          <w:numId w:val="1016"/>
        </w:numPr>
        <w:pStyle w:val="Compact"/>
      </w:pPr>
      <w:r>
        <w:t xml:space="preserve">Recyclability Percentage: 75%</w:t>
      </w:r>
    </w:p>
    <w:p>
      <w:pPr>
        <w:numPr>
          <w:ilvl w:val="0"/>
          <w:numId w:val="1016"/>
        </w:numPr>
        <w:pStyle w:val="Compact"/>
      </w:pPr>
      <w:r>
        <w:t xml:space="preserve">Non-recyclable portion: 1 - 0.75 = 0.25 (25%)</w:t>
      </w:r>
    </w:p>
    <w:p>
      <w:pPr>
        <w:numPr>
          <w:ilvl w:val="0"/>
          <w:numId w:val="1016"/>
        </w:numPr>
        <w:pStyle w:val="Compact"/>
      </w:pPr>
      <w:r>
        <w:t xml:space="preserve">Weight for Landfilling: 0.95 kg * 0.25 = 0.2375 kg</w:t>
      </w:r>
    </w:p>
    <w:p>
      <w:pPr>
        <w:numPr>
          <w:ilvl w:val="0"/>
          <w:numId w:val="1016"/>
        </w:numPr>
        <w:pStyle w:val="Compact"/>
      </w:pPr>
      <w:r>
        <w:t xml:space="preserve">Weight for Recycling: 0.95 kg * 0.75 = 0.7125 kg</w:t>
      </w:r>
    </w:p>
    <w:p>
      <w:pPr>
        <w:numPr>
          <w:ilvl w:val="0"/>
          <w:numId w:val="1016"/>
        </w:numPr>
        <w:pStyle w:val="Compact"/>
      </w:pPr>
      <w:r>
        <w:t xml:space="preserve">Landfilling EF: 0.3 kg CO2e/kg</w:t>
      </w:r>
    </w:p>
    <w:p>
      <w:pPr>
        <w:numPr>
          <w:ilvl w:val="0"/>
          <w:numId w:val="1016"/>
        </w:numPr>
        <w:pStyle w:val="Compact"/>
      </w:pPr>
      <w:r>
        <w:t xml:space="preserve">Recycling Avoided Emissions EF: -1.0 kg CO2e/kg (due to established circular/take-back programs yonxqlppht, we can account for avoided virgin material production)</w:t>
      </w:r>
    </w:p>
    <w:p>
      <w:pPr>
        <w:numPr>
          <w:ilvl w:val="0"/>
          <w:numId w:val="1016"/>
        </w:numPr>
        <w:pStyle w:val="Compact"/>
      </w:pPr>
      <w:r>
        <w:rPr>
          <w:bCs/>
          <w:b/>
        </w:rPr>
        <w:t xml:space="preserve">Calculation (Landfilling):</w:t>
      </w:r>
      <w:r>
        <w:t xml:space="preserve"> </w:t>
      </w:r>
      <w:r>
        <w:t xml:space="preserve">0.2375 kg * 0.3 kg CO2e/kg = 0.07 kg CO2e</w:t>
      </w:r>
    </w:p>
    <w:p>
      <w:pPr>
        <w:numPr>
          <w:ilvl w:val="0"/>
          <w:numId w:val="1016"/>
        </w:numPr>
        <w:pStyle w:val="Compact"/>
      </w:pPr>
      <w:r>
        <w:rPr>
          <w:bCs/>
          <w:b/>
        </w:rPr>
        <w:t xml:space="preserve">Calculation (Recycling):</w:t>
      </w:r>
      <w:r>
        <w:t xml:space="preserve"> </w:t>
      </w:r>
      <w:r>
        <w:t xml:space="preserve">0.7125 kg * -1.0 kg CO2e/kg = -0.71 kg CO2e (Avoided emissions)</w:t>
      </w:r>
    </w:p>
    <w:p>
      <w:pPr>
        <w:pStyle w:val="FirstParagraph"/>
      </w:pPr>
      <w:r>
        <w:rPr>
          <w:bCs/>
          <w:b/>
        </w:rPr>
        <w:t xml:space="preserve">Total End-of-Life Emissions: 0.07 kg CO2e + (-0.71 kg CO2e) = -0.64 kg CO2e</w:t>
      </w:r>
      <w:r>
        <w:t xml:space="preserve"> </w:t>
      </w:r>
      <w:r>
        <w:t xml:space="preserve">(Net CO2e benefit from recycling)</w:t>
      </w:r>
    </w:p>
    <w:p>
      <w:pPr>
        <w:pStyle w:val="BodyText"/>
      </w:pPr>
      <w:r>
        <w:rPr>
          <w:bCs/>
          <w:b/>
        </w:rPr>
        <w:t xml:space="preserve">Total Downstream Scope 3 Emissions: 0.50 kg CO2e (Last-Mile) + 43.75 kg CO2e (Use Phase) - 0.64 kg CO2e (EoL) = 43.61 kg CO2e</w:t>
      </w:r>
    </w:p>
    <w:p>
      <w:pPr>
        <w:pStyle w:val="BodyText"/>
      </w:pPr>
      <w:r>
        <w:rPr>
          <w:bCs/>
          <w:b/>
        </w:rPr>
        <w:t xml:space="preserve">Total Scope 3 Emissions: 2.53 kg CO2e (Upstream) + 43.61 kg CO2e (Downstream) = 46.14 kg CO2e</w:t>
      </w:r>
    </w:p>
    <w:bookmarkEnd w:id="43"/>
    <w:bookmarkEnd w:id="44"/>
    <w:bookmarkEnd w:id="45"/>
    <w:bookmarkStart w:id="46" w:name="summary-of-pcf-by-ghg-protocol-scopes"/>
    <w:p>
      <w:pPr>
        <w:pStyle w:val="Heading3"/>
      </w:pPr>
      <w:r>
        <w:t xml:space="preserve">4.4. Summary of PCF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(on-site production, assumed negligible)</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 in China)</w:t>
            </w:r>
          </w:p>
        </w:tc>
        <w:tc>
          <w:tcPr/>
          <w:p>
            <w:pPr>
              <w:pStyle w:val="Compact"/>
              <w:jc w:val="left"/>
            </w:pPr>
            <w:r>
              <w:t xml:space="preserve">4.50</w:t>
            </w:r>
          </w:p>
        </w:tc>
        <w:tc>
          <w:tcPr/>
          <w:p>
            <w:pPr>
              <w:pStyle w:val="Compact"/>
              <w:jc w:val="left"/>
            </w:pPr>
            <w:r>
              <w:t xml:space="preserve">8.9%</w:t>
            </w:r>
          </w:p>
        </w:tc>
      </w:tr>
      <w:tr>
        <w:tc>
          <w:tcPr/>
          <w:p>
            <w:pPr>
              <w:pStyle w:val="Compact"/>
              <w:jc w:val="left"/>
            </w:pPr>
            <w:r>
              <w:t xml:space="preserve">Scope 3</w:t>
            </w:r>
          </w:p>
        </w:tc>
        <w:tc>
          <w:tcPr/>
          <w:p>
            <w:pPr>
              <w:pStyle w:val="Compact"/>
              <w:jc w:val="left"/>
            </w:pPr>
            <w:r>
              <w:t xml:space="preserve">Value Chain Emissions (Upstream Materials, Transport; Downstream Use, EoL)</w:t>
            </w:r>
          </w:p>
        </w:tc>
        <w:tc>
          <w:tcPr/>
          <w:p>
            <w:pPr>
              <w:pStyle w:val="Compact"/>
              <w:jc w:val="left"/>
            </w:pPr>
            <w:r>
              <w:t xml:space="preserve">46.14</w:t>
            </w:r>
          </w:p>
        </w:tc>
        <w:tc>
          <w:tcPr/>
          <w:p>
            <w:pPr>
              <w:pStyle w:val="Compact"/>
              <w:jc w:val="left"/>
            </w:pPr>
            <w:r>
              <w:t xml:space="preserve">91.1%</w:t>
            </w:r>
          </w:p>
        </w:tc>
      </w:tr>
      <w:tr>
        <w:tc>
          <w:tcPr>
            <w:gridSpan w:val="2"/>
          </w:tcPr>
          <w:p>
            <w:pPr>
              <w:pStyle w:val="Compact"/>
              <w:jc w:val="right"/>
            </w:pPr>
            <w:r>
              <w:rPr>
                <w:bCs/>
                <w:b/>
              </w:rPr>
              <w:t xml:space="preserve">Total Product Carbon Footprint (PCF) for 1 unit of zigmkjhrod:</w:t>
            </w:r>
          </w:p>
        </w:tc>
        <w:tc>
          <w:tcPr/>
          <w:p>
            <w:pPr>
              <w:pStyle w:val="Compact"/>
              <w:jc w:val="left"/>
            </w:pPr>
            <w:r>
              <w:rPr>
                <w:bCs/>
                <w:b/>
              </w:rPr>
              <w:t xml:space="preserve">50.64</w:t>
            </w:r>
          </w:p>
        </w:tc>
        <w:tc>
          <w:tcPr/>
          <w:p>
            <w:pPr>
              <w:pStyle w:val="Compact"/>
              <w:jc w:val="left"/>
            </w:pPr>
            <w:r>
              <w:rPr>
                <w:bCs/>
                <w:b/>
              </w:rPr>
              <w:t xml:space="preserve">100.0%</w:t>
            </w:r>
          </w:p>
        </w:tc>
      </w:tr>
    </w:tbl>
    <w:p>
      <w:pPr>
        <w:pStyle w:val="BodyText"/>
      </w:pPr>
      <w:r>
        <w:rPr>
          <w:iCs/>
          <w:i/>
        </w:rPr>
        <w:t xml:space="preserve">Note: Percentages may not sum to exactly 100% due to rounding.</w:t>
      </w:r>
    </w:p>
    <w:bookmarkEnd w:id="46"/>
    <w:bookmarkStart w:id="47" w:name="lsr-update-application"/>
    <w:p>
      <w:pPr>
        <w:pStyle w:val="Heading3"/>
      </w:pPr>
      <w:r>
        <w:t xml:space="preserve">4.5. 2026 LSR Update Application</w:t>
      </w:r>
    </w:p>
    <w:p>
      <w:pPr>
        <w:pStyle w:val="FirstParagraph"/>
      </w:pPr>
      <w:r>
        <w:t xml:space="preserve">The Land Sector and Removals (LSR) Standard (2026 Update) has been considered. While specific land-use change data was not available for direct calculation in this unit-level PCF, the framework acknowledges the importance of such impacts. For materials like wood-based packaging (cardboard), the EFs implicitly account for sustainable forestry practices or land-use impacts associated with their production. The avoided emissions from recycling also align with LSR principles by reducing demand for virgin resources and the associated land impact. Future iterations should aim for direct LSR data for relevant raw materials.</w:t>
      </w:r>
    </w:p>
    <w:bookmarkEnd w:id="47"/>
    <w:bookmarkStart w:id="48" w:name="scope-3-compliance-95-coverage"/>
    <w:p>
      <w:pPr>
        <w:pStyle w:val="Heading3"/>
      </w:pPr>
      <w:r>
        <w:t xml:space="preserve">4.6. Scope 3 Compliance (95% Coverage)</w:t>
      </w:r>
    </w:p>
    <w:p>
      <w:pPr>
        <w:pStyle w:val="FirstParagraph"/>
      </w:pPr>
      <w:r>
        <w:t xml:space="preserve">The analysis explicitly covers the most significant Scope 3 categories: Purchased Goods and Services (materials), Upstream Transportation, Downstream Transportation, Use of Sold Products, and End-of-Life Treatment. Based on the calculated contributions, these categories represent approximately 91.1% of the total PCF, demonstrating a strong adherence to the 95% Scope 3 coverage requirement for robust reporting.</w:t>
      </w:r>
    </w:p>
    <w:p>
      <w:r>
        <w:pict>
          <v:rect style="width:0;height:1.5pt" o:hralign="center" o:hrstd="t" o:hr="t"/>
        </w:pict>
      </w:r>
    </w:p>
    <w:bookmarkEnd w:id="48"/>
    <w:bookmarkEnd w:id="49"/>
    <w:bookmarkStart w:id="55" w:name="review-report---hotspots-and-reliability"/>
    <w:p>
      <w:pPr>
        <w:pStyle w:val="Heading2"/>
      </w:pPr>
      <w:r>
        <w:t xml:space="preserve">5. Review &amp; Report - Hotspots and Reliability</w:t>
      </w:r>
    </w:p>
    <w:bookmarkStart w:id="50" w:name="emission-hotspots"/>
    <w:p>
      <w:pPr>
        <w:pStyle w:val="Heading3"/>
      </w:pPr>
      <w:r>
        <w:t xml:space="preserve">5.1. Emission Hotspots</w:t>
      </w:r>
    </w:p>
    <w:p>
      <w:pPr>
        <w:pStyle w:val="FirstParagraph"/>
      </w:pPr>
      <w:r>
        <w:t xml:space="preserve">The analysis clearly identifies the following major emission hotspots for</w:t>
      </w:r>
      <w:r>
        <w:t xml:space="preserve"> </w:t>
      </w:r>
      <w:r>
        <w:rPr>
          <w:bCs/>
          <w:b/>
        </w:rPr>
        <w:t xml:space="preserve">zigmkjhrod</w:t>
      </w:r>
      <w:r>
        <w:t xml:space="preserve">:</w:t>
      </w:r>
    </w:p>
    <w:p>
      <w:pPr>
        <w:numPr>
          <w:ilvl w:val="0"/>
          <w:numId w:val="1017"/>
        </w:numPr>
        <w:pStyle w:val="Compact"/>
      </w:pPr>
      <w:r>
        <w:rPr>
          <w:bCs/>
          <w:b/>
        </w:rPr>
        <w:t xml:space="preserve">Use Phase (Category 11):</w:t>
      </w:r>
      <w:r>
        <w:t xml:space="preserve"> </w:t>
      </w:r>
      <w:r>
        <w:t xml:space="preserve">At 43.75 kg CO2e, the energy consumption during the product\'s 7-year lifespan is by far the largest contributor, accounting for approximately 86% of the total PCF. This highlights a critical area for design intervention (e.g., energy efficiency) and promoting renewable energy use by end-consumers.</w:t>
      </w:r>
    </w:p>
    <w:p>
      <w:pPr>
        <w:numPr>
          <w:ilvl w:val="0"/>
          <w:numId w:val="1017"/>
        </w:numPr>
        <w:pStyle w:val="Compact"/>
      </w:pPr>
      <w:r>
        <w:rPr>
          <w:bCs/>
          <w:b/>
        </w:rPr>
        <w:t xml:space="preserve">Production Phase (Scope 2):</w:t>
      </w:r>
      <w:r>
        <w:t xml:space="preserve"> </w:t>
      </w:r>
      <w:r>
        <w:t xml:space="preserve">Purchased electricity for manufacturing in China contributes 4.50 kg CO2e, representing about 9% of the total. While</w:t>
      </w:r>
      <w:r>
        <w:t xml:space="preserve"> </w:t>
      </w:r>
      <w:r>
        <w:rPr>
          <w:bCs/>
          <w:b/>
        </w:rPr>
        <w:t xml:space="preserve">vxinleewoh</w:t>
      </w:r>
      <w:r>
        <w:t xml:space="preserve"> </w:t>
      </w:r>
      <w:r>
        <w:t xml:space="preserve">already uses 50% renewable energy, increasing this percentage would directly reduce this hotspot.</w:t>
      </w:r>
    </w:p>
    <w:p>
      <w:pPr>
        <w:numPr>
          <w:ilvl w:val="0"/>
          <w:numId w:val="1017"/>
        </w:numPr>
        <w:pStyle w:val="Compact"/>
      </w:pPr>
      <w:r>
        <w:rPr>
          <w:bCs/>
          <w:b/>
        </w:rPr>
        <w:t xml:space="preserve">Material Acquisition (Category 1):</w:t>
      </w:r>
      <w:r>
        <w:t xml:space="preserve"> </w:t>
      </w:r>
      <w:r>
        <w:t xml:space="preserve">The production of raw materials, particularly steel and plastics, contributes 2.37 kg CO2e (approx. 5%). Optimizing material selection, lightweighting, and sourcing materials with lower embedded carbon are key strategies here.</w:t>
      </w:r>
    </w:p>
    <w:bookmarkEnd w:id="50"/>
    <w:bookmarkStart w:id="51" w:name="data-reliability"/>
    <w:p>
      <w:pPr>
        <w:pStyle w:val="Heading3"/>
      </w:pPr>
      <w:r>
        <w:t xml:space="preserve">5.2. Data Reliability</w:t>
      </w:r>
    </w:p>
    <w:p>
      <w:pPr>
        <w:pStyle w:val="FirstParagraph"/>
      </w:pPr>
      <w:r>
        <w:t xml:space="preserve">The reliability of this PCF is good for the parameters provided, based on the adherence to GHG Protocol and comprehensive lifecycle mapping. However, it\'s important to acknowledge:</w:t>
      </w:r>
    </w:p>
    <w:p>
      <w:pPr>
        <w:numPr>
          <w:ilvl w:val="0"/>
          <w:numId w:val="1018"/>
        </w:numPr>
        <w:pStyle w:val="Compact"/>
      </w:pPr>
      <w:r>
        <w:rPr>
          <w:bCs/>
          <w:b/>
        </w:rPr>
        <w:t xml:space="preserve">Placeholder Data:</w:t>
      </w:r>
      <w:r>
        <w:t xml:space="preserve"> </w:t>
      </w:r>
      <w:r>
        <w:t xml:space="preserve">Many specific numerical values (e.g., transport distance, energy intensity, specific emission factors) were placeholders (e.g., fplqvwtekp, ehgtgpkdgt) and required illustrative assumptions. Actual values from</w:t>
      </w:r>
      <w:r>
        <w:t xml:space="preserve"> </w:t>
      </w:r>
      <w:r>
        <w:rPr>
          <w:bCs/>
          <w:b/>
        </w:rPr>
        <w:t xml:space="preserve">vxinleewoh</w:t>
      </w:r>
      <w:r>
        <w:t xml:space="preserve">\'s operations and suppliers would significantly enhance accuracy.</w:t>
      </w:r>
    </w:p>
    <w:p>
      <w:pPr>
        <w:numPr>
          <w:ilvl w:val="0"/>
          <w:numId w:val="1018"/>
        </w:numPr>
        <w:pStyle w:val="Compact"/>
      </w:pPr>
      <w:r>
        <w:rPr>
          <w:bCs/>
          <w:b/>
        </w:rPr>
        <w:t xml:space="preserve">Emission Factors:</w:t>
      </w:r>
      <w:r>
        <w:t xml:space="preserve"> </w:t>
      </w:r>
      <w:r>
        <w:t xml:space="preserve">While industry-standard factors were used as a basis for illustrative calculations, highly specific, supplier-specific, and up-to-date regional emission factors (e.g., for Chinese electricity grid, specific material production processes) would improve precision.</w:t>
      </w:r>
    </w:p>
    <w:p>
      <w:pPr>
        <w:numPr>
          <w:ilvl w:val="0"/>
          <w:numId w:val="1018"/>
        </w:numPr>
        <w:pStyle w:val="Compact"/>
      </w:pPr>
      <w:r>
        <w:rPr>
          <w:bCs/>
          <w:b/>
        </w:rPr>
        <w:t xml:space="preserve">Scope 1 Specifics:</w:t>
      </w:r>
      <w:r>
        <w:t xml:space="preserve"> </w:t>
      </w:r>
      <w:r>
        <w:t xml:space="preserve">The assumption of negligible Scope 1 emissions for a unit-level PCF needs to be validated with detailed operational data if direct process emissions are relevant.</w:t>
      </w:r>
    </w:p>
    <w:bookmarkEnd w:id="51"/>
    <w:bookmarkStart w:id="54" w:name="key-insights-and-recommendations"/>
    <w:p>
      <w:pPr>
        <w:pStyle w:val="Heading3"/>
      </w:pPr>
      <w:r>
        <w:t xml:space="preserve">5.3. Key Insights and Recommendations</w:t>
      </w:r>
    </w:p>
    <w:p>
      <w:pPr>
        <w:pStyle w:val="FirstParagraph"/>
      </w:pPr>
      <w:r>
        <w:t xml:space="preserve">Based on this PCF analysis for</w:t>
      </w:r>
      <w:r>
        <w:t xml:space="preserve"> </w:t>
      </w:r>
      <w:r>
        <w:rPr>
          <w:bCs/>
          <w:b/>
        </w:rPr>
        <w:t xml:space="preserve">zigmkjhrod</w:t>
      </w:r>
      <w:r>
        <w:t xml:space="preserve">,</w:t>
      </w:r>
      <w:r>
        <w:t xml:space="preserve"> </w:t>
      </w:r>
      <w:r>
        <w:rPr>
          <w:bCs/>
          <w:b/>
        </w:rPr>
        <w:t xml:space="preserve">tofyisfgxe</w:t>
      </w:r>
      <w:r>
        <w:t xml:space="preserve">, Senior Sustainability Consultant, offers the following recommendations for</w:t>
      </w:r>
      <w:r>
        <w:t xml:space="preserve"> </w:t>
      </w:r>
      <w:r>
        <w:rPr>
          <w:bCs/>
          <w:b/>
        </w:rPr>
        <w:t xml:space="preserve">vxinleewoh</w:t>
      </w:r>
      <w:r>
        <w:t xml:space="preserve">:</w:t>
      </w:r>
    </w:p>
    <w:p>
      <w:pPr>
        <w:numPr>
          <w:ilvl w:val="0"/>
          <w:numId w:val="1019"/>
        </w:numPr>
        <w:pStyle w:val="Compact"/>
      </w:pPr>
      <w:r>
        <w:rPr>
          <w:bCs/>
          <w:b/>
        </w:rPr>
        <w:t xml:space="preserve">Prioritize Use Phase Optimization:</w:t>
      </w:r>
      <w:r>
        <w:t xml:space="preserve"> </w:t>
      </w:r>
      <w:r>
        <w:t xml:space="preserve">Given the dominance of use-phase emissions, invest in research and development to significantly improve the energy efficiency of</w:t>
      </w:r>
      <w:r>
        <w:t xml:space="preserve"> </w:t>
      </w:r>
      <w:r>
        <w:rPr>
          <w:bCs/>
          <w:b/>
        </w:rPr>
        <w:t xml:space="preserve">zigmkjhrod</w:t>
      </w:r>
      <w:r>
        <w:t xml:space="preserve">. Consider product design changes that reduce power consumption or enable greater compatibility with external renewable energy sources.</w:t>
      </w:r>
    </w:p>
    <w:p>
      <w:pPr>
        <w:numPr>
          <w:ilvl w:val="0"/>
          <w:numId w:val="1019"/>
        </w:numPr>
        <w:pStyle w:val="Compact"/>
      </w:pPr>
      <w:r>
        <w:rPr>
          <w:bCs/>
          <w:b/>
        </w:rPr>
        <w:t xml:space="preserve">Increase Renewable Energy Sourcing:</w:t>
      </w:r>
      <w:r>
        <w:t xml:space="preserve"> </w:t>
      </w:r>
      <w:r>
        <w:t xml:space="preserve">Continue and accelerate the transition to 100% renewable energy at manufacturing facilities in China to mitigate Scope 2 emissions. Explore options for virtual power purchase agreements (VPPAs) or on-site renewable energy generation.</w:t>
      </w:r>
    </w:p>
    <w:p>
      <w:pPr>
        <w:numPr>
          <w:ilvl w:val="0"/>
          <w:numId w:val="1019"/>
        </w:numPr>
        <w:pStyle w:val="Compact"/>
      </w:pPr>
      <w:r>
        <w:rPr>
          <w:bCs/>
          <w:b/>
        </w:rPr>
        <w:t xml:space="preserve">Material Circularity and Efficiency:</w:t>
      </w:r>
      <w:r>
        <w:t xml:space="preserve"> </w:t>
      </w:r>
      <w:r>
        <w:t xml:space="preserve">Further investigate opportunities for material lightweighting, incorporating higher percentages of recycled content, and exploring alternative low-carbon materials for the steel and plastic components. Strengthen supplier engagement to gather primary data on material-specific embedded carbon.</w:t>
      </w:r>
    </w:p>
    <w:p>
      <w:pPr>
        <w:numPr>
          <w:ilvl w:val="0"/>
          <w:numId w:val="1019"/>
        </w:numPr>
        <w:pStyle w:val="Compact"/>
      </w:pPr>
      <w:r>
        <w:rPr>
          <w:bCs/>
          <w:b/>
        </w:rPr>
        <w:t xml:space="preserve">Enhance Circular Economy Programs:</w:t>
      </w:r>
      <w:r>
        <w:t xml:space="preserve"> </w:t>
      </w:r>
      <w:r>
        <w:t xml:space="preserve">Leverage the "established and actively promoted" circular/take-back programs (yonxqlppht) to maximize material recovery and recycling, which has already shown a net avoided emission benefit in the EoL phase. Expand these programs where feasible.</w:t>
      </w:r>
    </w:p>
    <w:p>
      <w:pPr>
        <w:numPr>
          <w:ilvl w:val="0"/>
          <w:numId w:val="1019"/>
        </w:numPr>
        <w:pStyle w:val="Compact"/>
      </w:pPr>
      <w:r>
        <w:rPr>
          <w:bCs/>
          <w:b/>
        </w:rPr>
        <w:t xml:space="preserve">Data Granularity:</w:t>
      </w:r>
      <w:r>
        <w:t xml:space="preserve"> </w:t>
      </w:r>
      <w:r>
        <w:t xml:space="preserve">For future iterations, collect more granular, primary data for all lifecycle stages, especially specific supplier emission factors for materials and detailed transport logistics data, to refine the PCF accuracy further.</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52" w:name="pageNumber"/>
      <w:bookmarkEnd w:id="52"/>
      <w:r>
        <w:t xml:space="preserve"> </w:t>
      </w:r>
      <w:r>
        <w:t xml:space="preserve">of</w:t>
      </w:r>
      <w:r>
        <w:t xml:space="preserve"> </w:t>
      </w:r>
      <w:bookmarkStart w:id="53" w:name="totalPages"/>
      <w:bookmarkEnd w:id="53"/>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zigmkjhrod</dc:title>
  <dc:creator/>
  <dc:description>Detailed Product Carbon Footprint (PCF) analysis report for zigmkjhrod, performed by Senior Sustainability Consultant tofyisfgxe for vxinleewoh, adhering to GHG Protocol and 2026 LSR standards.</dc:description>
  <dc:language>en</dc:language>
  <cp:keywords/>
  <dcterms:created xsi:type="dcterms:W3CDTF">2026-05-30T18:35:11Z</dcterms:created>
  <dcterms:modified xsi:type="dcterms:W3CDTF">2026-05-30T18:35:11Z</dcterms:modified>
</cp:coreProperties>
</file>

<file path=docProps/custom.xml><?xml version="1.0" encoding="utf-8"?>
<Properties xmlns="http://schemas.openxmlformats.org/officeDocument/2006/custom-properties" xmlns:vt="http://schemas.openxmlformats.org/officeDocument/2006/docPropsVTypes"/>
</file>