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zifznhodhu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zifznhodhu</w:t>
      </w:r>
    </w:p>
    <w:p>
      <w:pPr>
        <w:pStyle w:val="BodyText"/>
      </w:pPr>
      <w:r>
        <w:rPr>
          <w:bCs/>
          <w:b/>
        </w:rPr>
        <w:t xml:space="preserve">Company Name:</w:t>
      </w:r>
      <w:r>
        <w:t xml:space="preserve"> </w:t>
      </w:r>
      <w:r>
        <w:t xml:space="preserve">jisxqmwtqe</w:t>
      </w:r>
    </w:p>
    <w:p>
      <w:pPr>
        <w:pStyle w:val="BodyText"/>
      </w:pPr>
      <w:r>
        <w:rPr>
          <w:bCs/>
          <w:b/>
        </w:rPr>
        <w:t xml:space="preserve">Senior Sustainability Consultant:</w:t>
      </w:r>
      <w:r>
        <w:t xml:space="preserve"> </w:t>
      </w:r>
      <w:r>
        <w:t xml:space="preserve">hwkylplwhd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completeness, the results represent an estimate of the product\'s carbon footprint.</w:t>
      </w:r>
    </w:p>
    <w:bookmarkEnd w:id="20"/>
    <w:p>
      <w:r>
        <w:pict>
          <v:rect style="width:0;height:1.5pt" o:hralign="center" o:hrstd="t" o:hr="t"/>
        </w:pict>
      </w:r>
    </w:p>
    <w:bookmarkStart w:id="50" w:name="X089e98d8547762568f33ceb87ba77d87068fed6"/>
    <w:p>
      <w:pPr>
        <w:pStyle w:val="Heading1"/>
      </w:pPr>
      <w:r>
        <w:t xml:space="preserve">Product Carbon Footprint Analysis for zifznhodhu</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\'zifznhodhu\', manufactured by jisxqmwtqe. As Senior Sustainability Consultant hwkylplwhd, I have conducted this assessment in strict adherence to the Greenhouse Gas (GHG) Protocol, incorporating the latest 2026 Land Sector and Removals (LSR) Standard updates and stringent Scope 3 compliance requirements. The analysis provides a comprehensive understanding of the environmental impact across the product\'s lifecycle, from raw material extraction to end-of-life, with a specific focus on identifying emission hotspots and guiding strategic decarbonization efforts.</w:t>
      </w:r>
    </w:p>
    <w:p>
      <w:r>
        <w:pict>
          <v:rect style="width:0;height:1.5pt" o:hralign="center" o:hrstd="t" o:hr="t"/>
        </w:pict>
      </w:r>
    </w:p>
    <w:bookmarkEnd w:id="21"/>
    <w:bookmarkStart w:id="29" w:name="methodology-and-scope-definition"/>
    <w:p>
      <w:pPr>
        <w:pStyle w:val="Heading2"/>
      </w:pPr>
      <w:r>
        <w:t xml:space="preserve">1. Methodology and Scope Definition</w:t>
      </w:r>
    </w:p>
    <w:p>
      <w:pPr>
        <w:pStyle w:val="FirstParagraph"/>
      </w:pPr>
      <w:r>
        <w:t xml:space="preserve">The Product Carbon Footprint (PCF) for \'zifznhodhu\' has been calculated following the five-step methodology prescribed by the GHG Protocol Product Standard. This approach ensures a systematic and comprehensive assessment of greenhouse gas (GHG) emissions associated with the product throughout its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zifznhodhu</w:t>
      </w:r>
      <w:r>
        <w:t xml:space="preserve">, providing a consistent basis for quantifying the environmental impacts.</w:t>
      </w:r>
    </w:p>
    <w:bookmarkEnd w:id="22"/>
    <w:bookmarkStart w:id="23" w:name="system-boundaries"/>
    <w:p>
      <w:pPr>
        <w:pStyle w:val="Heading3"/>
      </w:pPr>
      <w:r>
        <w:t xml:space="preserve">1.2. System Boundaries</w:t>
      </w:r>
    </w:p>
    <w:p>
      <w:pPr>
        <w:pStyle w:val="FirstParagraph"/>
      </w:pPr>
      <w:r>
        <w:t xml:space="preserve">The system boundary for this PCF analysis is defined as</w:t>
      </w:r>
      <w:r>
        <w:t xml:space="preserve"> </w:t>
      </w:r>
      <w:r>
        <w:rPr>
          <w:bCs/>
          <w:b/>
        </w:rPr>
        <w:t xml:space="preserve">"Cradle-to-Grave"</w:t>
      </w:r>
      <w:r>
        <w:t xml:space="preserve">, encompassing all relevant life cycle stages from raw material acquisition ("cradle"), through manufacturing, transportation, use, and finally to the end-of-life ("grave") of the product. The primary calculation for this report focuses on the</w:t>
      </w:r>
      <w:r>
        <w:t xml:space="preserve"> </w:t>
      </w:r>
      <w:r>
        <w:rPr>
          <w:bCs/>
          <w:b/>
        </w:rPr>
        <w:t xml:space="preserve">"factory_gate"</w:t>
      </w:r>
      <w:r>
        <w:t xml:space="preserve"> </w:t>
      </w:r>
      <w:r>
        <w:t xml:space="preserve">for detailed material and manufacturing impact, with subsequent stages (transport, use, and end-of-life) extending the analysis to a full lifecycle perspective.</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predominantly European market for a representative scenario.</w:t>
      </w:r>
    </w:p>
    <w:bookmarkEnd w:id="24"/>
    <w:bookmarkStart w:id="25" w:name="allocation"/>
    <w:p>
      <w:pPr>
        <w:pStyle w:val="Heading3"/>
      </w:pPr>
      <w:r>
        <w:t xml:space="preserve">1.4. Allocation</w:t>
      </w:r>
    </w:p>
    <w:p>
      <w:pPr>
        <w:pStyle w:val="FirstParagraph"/>
      </w:pPr>
      <w:r>
        <w:t xml:space="preserve">Allocation of environmental impacts for co-products and waste streams is performed based on mass allocation where appropriate, and direct attribution for energy and transportation services directly consumed or utilized by the product.</w:t>
      </w:r>
    </w:p>
    <w:bookmarkEnd w:id="25"/>
    <w:bookmarkStart w:id="26" w:name="accounting-standard-ghg-protocol"/>
    <w:p>
      <w:pPr>
        <w:pStyle w:val="Heading3"/>
      </w:pPr>
      <w:r>
        <w:t xml:space="preserve">1.5. Accounting Standard: GHG Protocol</w:t>
      </w:r>
    </w:p>
    <w:p>
      <w:pPr>
        <w:pStyle w:val="FirstParagraph"/>
      </w:pPr>
      <w:r>
        <w:t xml:space="preserve">This analysis strictly adheres to the GHG Protocol Product Life Cycle Accounting and Reporting Standard. The GHG Protocol categorizes emissions into three scopes to distinguish between direct and indirect emissions:</w:t>
      </w:r>
    </w:p>
    <w:p>
      <w:pPr>
        <w:numPr>
          <w:ilvl w:val="0"/>
          <w:numId w:val="1002"/>
        </w:numPr>
        <w:pStyle w:val="Compact"/>
      </w:pPr>
      <w:r>
        <w:rPr>
          <w:bCs/>
          <w:b/>
        </w:rPr>
        <w:t xml:space="preserve">Scope 1: Direct GHG Emissions</w:t>
      </w:r>
      <w:r>
        <w:t xml:space="preserve"> </w:t>
      </w:r>
      <w:r>
        <w:t xml:space="preserve">– Emissions from sources owned or controlled by jisxqmwtqe (e.g., direct combustion in owned boilers, company vehicles). For a "factory_gate" product PCF, these would typically be process emissions or fuel combustion on-site not associated with purchased electricity.</w:t>
      </w:r>
    </w:p>
    <w:p>
      <w:pPr>
        <w:numPr>
          <w:ilvl w:val="0"/>
          <w:numId w:val="1002"/>
        </w:numPr>
        <w:pStyle w:val="Compact"/>
      </w:pPr>
      <w:r>
        <w:rPr>
          <w:bCs/>
          <w:b/>
        </w:rPr>
        <w:t xml:space="preserve">Scope 2: Indirect GHG Emissions from Purchased Energy</w:t>
      </w:r>
      <w:r>
        <w:t xml:space="preserve"> </w:t>
      </w:r>
      <w:r>
        <w:t xml:space="preserve">– Emissions from the generation of purchased electricity, heat, or steam consumed by jisxqmwtqe\'s manufacturing operations.</w:t>
      </w:r>
    </w:p>
    <w:p>
      <w:pPr>
        <w:numPr>
          <w:ilvl w:val="0"/>
          <w:numId w:val="1002"/>
        </w:numPr>
        <w:pStyle w:val="Compact"/>
      </w:pPr>
      <w:r>
        <w:rPr>
          <w:bCs/>
          <w:b/>
        </w:rPr>
        <w:t xml:space="preserve">Scope 3: Other Indirect GHG Emissions</w:t>
      </w:r>
      <w:r>
        <w:t xml:space="preserve"> </w:t>
      </w:r>
      <w:r>
        <w:t xml:space="preserve">– All other indirect emissions occurring in the value chain, both upstream and downstream, not covered in Scope 1 or 2. This includes emissions from purchased goods and services (raw materials), upstream and downstream transportation and distribution, use of sold products, and end-of-life treatment of sold products. For many companies, Scope 3 typically represents the largest portion (70-90%) of their total carbon footprint.</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Land Sector and Removals (LSR) Standard, released on January 30, 2026, provides specific requirements and guidance for companies to quantify, report, and track land emissions and carbon dioxide removals. This standard becomes effective on January 1, 2027, with accompanying guidance expected in Q2 2026. While \'zifznhodhu\' is an industrial product, potential upstream impacts related to land use for raw material production are considered within Scope 3, aligning with the principles of the LSR Standard for comprehensive value chain accounting.</w:t>
      </w:r>
    </w:p>
    <w:bookmarkEnd w:id="27"/>
    <w:bookmarkStart w:id="28" w:name="scope-3-compliance-2026-requirements"/>
    <w:p>
      <w:pPr>
        <w:pStyle w:val="Heading3"/>
      </w:pPr>
      <w:r>
        <w:t xml:space="preserve">1.7. Scope 3 Compliance (2026 Requirements)</w:t>
      </w:r>
    </w:p>
    <w:p>
      <w:pPr>
        <w:pStyle w:val="FirstParagraph"/>
      </w:pPr>
      <w:r>
        <w:t xml:space="preserve">In line with the 2026 GHG Protocol Scope 3 revisions, this analysis ensures at least 95% coverage for Scope 3 reporting. The updated requirements emphasize enhanced data transparency, mandatory disaggregation of emissions by data type (primary vs. secondary data), and stricter boundary setting to prevent selective reporting. Our approach aims for comprehensive inclusion of all material Scope 3 categories to meet this stringent threshold.</w:t>
      </w:r>
    </w:p>
    <w:p>
      <w:r>
        <w:pict>
          <v:rect style="width:0;height:1.5pt" o:hralign="center" o:hrstd="t" o:hr="t"/>
        </w:pict>
      </w:r>
    </w:p>
    <w:bookmarkEnd w:id="28"/>
    <w:bookmarkEnd w:id="29"/>
    <w:bookmarkStart w:id="35" w:name="X480c027902cc7db526e9bfea76e9a25078fd3fb"/>
    <w:p>
      <w:pPr>
        <w:pStyle w:val="Heading2"/>
      </w:pPr>
      <w:r>
        <w:t xml:space="preserve">2. Lifecycle Mapping (LCI Inventory Stages) &amp; 3. Data Collection (Primary/Secondary Data Points)</w:t>
      </w:r>
    </w:p>
    <w:p>
      <w:pPr>
        <w:pStyle w:val="FirstParagraph"/>
      </w:pPr>
      <w:r>
        <w:t xml:space="preserve">This section details the inputs and processes across the lifecycle of \'zifznhodhu\', categorizing them by relevant GHG Protocol scopes.</w:t>
      </w:r>
    </w:p>
    <w:bookmarkStart w:id="30" w:name="X39a8d30d92f2f986fdb3e504d98052294e57d7f"/>
    <w:p>
      <w:pPr>
        <w:pStyle w:val="Heading3"/>
      </w:pPr>
      <w:r>
        <w:t xml:space="preserve">2.1. Materials and Components (Scope 3 - Purchased Goods and Services)</w:t>
      </w:r>
    </w:p>
    <w:p>
      <w:pPr>
        <w:pStyle w:val="FirstParagraph"/>
      </w:pPr>
      <w:r>
        <w:t xml:space="preserve">The Detailed Bill of Materials (BOM) for \'zifznhodhu\' is utilized for high-accuracy material impact calculation. The \'Total Carbon\' values provided in the BOM are directly used to represent the cradle-to-gate emissions of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bl>
    <w:p>
      <w:pPr>
        <w:pStyle w:val="BodyText"/>
      </w:pPr>
      <w:r>
        <w:rPr>
          <w:bCs/>
          <w:b/>
        </w:rPr>
        <w:t xml:space="preserve">Total Material Emissions:</w:t>
      </w:r>
      <w:r>
        <w:t xml:space="preserve"> </w:t>
      </w:r>
      <w:r>
        <w:t xml:space="preserve">6.05 kgCO2e</w:t>
      </w:r>
    </w:p>
    <w:bookmarkEnd w:id="30"/>
    <w:bookmarkStart w:id="31" w:name="manufacturing-production-phase"/>
    <w:p>
      <w:pPr>
        <w:pStyle w:val="Heading3"/>
      </w:pPr>
      <w:r>
        <w:t xml:space="preserve">2.2. Manufacturing (Production Phase)</w:t>
      </w:r>
    </w:p>
    <w:p>
      <w:pPr>
        <w:numPr>
          <w:ilvl w:val="0"/>
          <w:numId w:val="1003"/>
        </w:numPr>
        <w:pStyle w:val="Compact"/>
      </w:pPr>
      <w:r>
        <w:rPr>
          <w:bCs/>
          <w:b/>
        </w:rPr>
        <w:t xml:space="preserve">Energy Intensity (kWh/unit):</w:t>
      </w:r>
      <w:r>
        <w:t xml:space="preserve"> </w:t>
      </w:r>
      <w:r>
        <w:t xml:space="preserve">50 kWh/unit (httxuggyuw)</w:t>
      </w:r>
    </w:p>
    <w:p>
      <w:pPr>
        <w:numPr>
          <w:ilvl w:val="0"/>
          <w:numId w:val="1003"/>
        </w:numPr>
        <w:pStyle w:val="Compact"/>
      </w:pPr>
      <w:r>
        <w:rPr>
          <w:bCs/>
          <w:b/>
        </w:rPr>
        <w:t xml:space="preserve">Renewable Energy Usage:</w:t>
      </w:r>
      <w:r>
        <w:t xml:space="preserve"> </w:t>
      </w:r>
      <w:r>
        <w:t xml:space="preserve">30% (ftinrpqord). This means 70% of electricity is drawn from the grid mix.</w:t>
      </w:r>
    </w:p>
    <w:p>
      <w:pPr>
        <w:numPr>
          <w:ilvl w:val="0"/>
          <w:numId w:val="1003"/>
        </w:numPr>
        <w:pStyle w:val="Compact"/>
      </w:pPr>
      <w:r>
        <w:rPr>
          <w:bCs/>
          <w:b/>
        </w:rPr>
        <w:t xml:space="preserve">Geographic Scope:</w:t>
      </w:r>
      <w:r>
        <w:t xml:space="preserve"> </w:t>
      </w:r>
      <w:r>
        <w:t xml:space="preserve">Final production in China.</w:t>
      </w:r>
    </w:p>
    <w:bookmarkEnd w:id="31"/>
    <w:bookmarkStart w:id="32" w:name="X981923b8cb60f0edee598a5efe02199461582eb"/>
    <w:p>
      <w:pPr>
        <w:pStyle w:val="Heading3"/>
      </w:pPr>
      <w:r>
        <w:t xml:space="preserve">2.3. Transportation (Scope 3 - Upstream &amp; Downstream)</w:t>
      </w:r>
    </w:p>
    <w:p>
      <w:pPr>
        <w:numPr>
          <w:ilvl w:val="0"/>
          <w:numId w:val="1004"/>
        </w:numPr>
        <w:pStyle w:val="Compact"/>
      </w:pPr>
      <w:r>
        <w:rPr>
          <w:bCs/>
          <w:b/>
        </w:rPr>
        <w:t xml:space="preserve">Primary Transport Mode (Supply Chain):</w:t>
      </w:r>
      <w:r>
        <w:t xml:space="preserve"> </w:t>
      </w:r>
      <w:r>
        <w:t xml:space="preserve">Ocean Freight (estimated for raw material import to China).</w:t>
      </w:r>
    </w:p>
    <w:p>
      <w:pPr>
        <w:numPr>
          <w:ilvl w:val="0"/>
          <w:numId w:val="1004"/>
        </w:numPr>
        <w:pStyle w:val="Compact"/>
      </w:pPr>
      <w:r>
        <w:rPr>
          <w:bCs/>
          <w:b/>
        </w:rPr>
        <w:t xml:space="preserve">Primary Transport Distance (Supply Chain):</w:t>
      </w:r>
      <w:r>
        <w:t xml:space="preserve"> </w:t>
      </w:r>
      <w:r>
        <w:t xml:space="preserve">10,000 km (zjlwhxstre)</w:t>
      </w:r>
    </w:p>
    <w:p>
      <w:pPr>
        <w:numPr>
          <w:ilvl w:val="0"/>
          <w:numId w:val="1004"/>
        </w:numPr>
        <w:pStyle w:val="Compact"/>
      </w:pPr>
      <w:r>
        <w:rPr>
          <w:bCs/>
          <w:b/>
        </w:rPr>
        <w:t xml:space="preserve">Secondary Transport Mode (Supply Chain within Europe):</w:t>
      </w:r>
      <w:r>
        <w:t xml:space="preserve"> </w:t>
      </w:r>
      <w:r>
        <w:t xml:space="preserve">Road Freight (Heavy Duty). Distance for this phase is integrated into the 10,000km for simplicity of modeling, assuming it covers primary product movement to a distribution hub.</w:t>
      </w:r>
    </w:p>
    <w:p>
      <w:pPr>
        <w:numPr>
          <w:ilvl w:val="0"/>
          <w:numId w:val="1004"/>
        </w:numPr>
        <w:pStyle w:val="Compact"/>
      </w:pPr>
      <w:r>
        <w:rPr>
          <w:bCs/>
          <w:b/>
        </w:rPr>
        <w:t xml:space="preserve">Last-Mile Delivery Channel:</w:t>
      </w:r>
      <w:r>
        <w:t xml:space="preserve"> </w:t>
      </w:r>
      <w:r>
        <w:t xml:space="preserve">Road Freight (Light Commercial Vehicle) (Delivery Type).</w:t>
      </w:r>
    </w:p>
    <w:p>
      <w:pPr>
        <w:numPr>
          <w:ilvl w:val="0"/>
          <w:numId w:val="1004"/>
        </w:numPr>
        <w:pStyle w:val="Compact"/>
      </w:pPr>
      <w:r>
        <w:rPr>
          <w:bCs/>
          <w:b/>
        </w:rPr>
        <w:t xml:space="preserve">Product Weight (approx.):</w:t>
      </w:r>
      <w:r>
        <w:t xml:space="preserve"> </w:t>
      </w:r>
      <w:r>
        <w:t xml:space="preserve">Sum of BOM quantities = 0.82 kg (0.00082 tonnes).</w:t>
      </w:r>
    </w:p>
    <w:bookmarkEnd w:id="32"/>
    <w:bookmarkStart w:id="33" w:name="use-phase-scope-3---use-of-sold-products"/>
    <w:p>
      <w:pPr>
        <w:pStyle w:val="Heading3"/>
      </w:pPr>
      <w:r>
        <w:t xml:space="preserve">2.4. Use Phase (Scope 3 - Use of Sold Products)</w:t>
      </w:r>
    </w:p>
    <w:p>
      <w:pPr>
        <w:numPr>
          <w:ilvl w:val="0"/>
          <w:numId w:val="1005"/>
        </w:numPr>
        <w:pStyle w:val="Compact"/>
      </w:pPr>
      <w:r>
        <w:rPr>
          <w:bCs/>
          <w:b/>
        </w:rPr>
        <w:t xml:space="preserve">Product Lifespan:</w:t>
      </w:r>
      <w:r>
        <w:t xml:space="preserve"> </w:t>
      </w:r>
      <w:r>
        <w:t xml:space="preserve">5 years (ywtmtrkzlq)</w:t>
      </w:r>
    </w:p>
    <w:p>
      <w:pPr>
        <w:numPr>
          <w:ilvl w:val="0"/>
          <w:numId w:val="1005"/>
        </w:numPr>
        <w:pStyle w:val="Compact"/>
      </w:pPr>
      <w:r>
        <w:rPr>
          <w:bCs/>
          <w:b/>
        </w:rPr>
        <w:t xml:space="preserve">Energy Consumption in Use:</w:t>
      </w:r>
      <w:r>
        <w:t xml:space="preserve"> </w:t>
      </w:r>
      <w:r>
        <w:t xml:space="preserve">10 kWh/year (irneudieuz)</w:t>
      </w:r>
    </w:p>
    <w:p>
      <w:pPr>
        <w:numPr>
          <w:ilvl w:val="0"/>
          <w:numId w:val="1005"/>
        </w:numPr>
        <w:pStyle w:val="Compact"/>
      </w:pPr>
      <w:r>
        <w:rPr>
          <w:bCs/>
          <w:b/>
        </w:rPr>
        <w:t xml:space="preserve">Geographic Scope for Use Phase:</w:t>
      </w:r>
      <w:r>
        <w:t xml:space="preserve"> </w:t>
      </w:r>
      <w:r>
        <w:t xml:space="preserve">Assumed European market average electricity mix.</w:t>
      </w:r>
    </w:p>
    <w:bookmarkEnd w:id="33"/>
    <w:bookmarkStart w:id="34" w:name="Xc3456190584f7ccba4e436ac9dec7d219320967"/>
    <w:p>
      <w:pPr>
        <w:pStyle w:val="Heading3"/>
      </w:pPr>
      <w:r>
        <w:t xml:space="preserve">2.5. End-of-Life (EoL) Scenarios (Scope 3 - End-of-Life Treatment of Sold Products)</w:t>
      </w:r>
    </w:p>
    <w:p>
      <w:pPr>
        <w:numPr>
          <w:ilvl w:val="0"/>
          <w:numId w:val="1006"/>
        </w:numPr>
        <w:pStyle w:val="Compact"/>
      </w:pPr>
      <w:r>
        <w:rPr>
          <w:bCs/>
          <w:b/>
        </w:rPr>
        <w:t xml:space="preserve">Recyclability Percentage:</w:t>
      </w:r>
      <w:r>
        <w:t xml:space="preserve"> </w:t>
      </w:r>
      <w:r>
        <w:t xml:space="preserve">70% (kgmuqpnvyw)</w:t>
      </w:r>
    </w:p>
    <w:p>
      <w:pPr>
        <w:numPr>
          <w:ilvl w:val="0"/>
          <w:numId w:val="1006"/>
        </w:numPr>
        <w:pStyle w:val="Compact"/>
      </w:pPr>
      <w:r>
        <w:rPr>
          <w:bCs/>
          <w:b/>
        </w:rPr>
        <w:t xml:space="preserve">Circular/Take-back Programs:</w:t>
      </w:r>
      <w:r>
        <w:t xml:space="preserve"> </w:t>
      </w:r>
      <w:r>
        <w:t xml:space="preserve">Yes, established national program (ztjryxzudy). This indicates a functional system for material recovery.</w:t>
      </w:r>
    </w:p>
    <w:p>
      <w:r>
        <w:pict>
          <v:rect style="width:0;height:1.5pt" o:hralign="center" o:hrstd="t" o:hr="t"/>
        </w:pict>
      </w:r>
    </w:p>
    <w:bookmarkEnd w:id="34"/>
    <w:bookmarkEnd w:id="35"/>
    <w:bookmarkStart w:id="45" w:name="X439a6e6dcb43c636bf515ffaf3f59bce0bd6490"/>
    <w:p>
      <w:pPr>
        <w:pStyle w:val="Heading2"/>
      </w:pPr>
      <w:r>
        <w:t xml:space="preserve">4. Emission Calculation (Activity * Emission Factor = CO2e)</w:t>
      </w:r>
    </w:p>
    <w:p>
      <w:pPr>
        <w:pStyle w:val="FirstParagraph"/>
      </w:pPr>
      <w:r>
        <w:t xml:space="preserve">Emissions are calculated for each lifecycle stage based on activity data and appropriate emission factors (EFs). Where specific EFs were not provided in the parameters, industry-standard EFs from sources like IEA, DEFRA, and Ecoinvent proxies have been used, clearly stating assumptions.</w:t>
      </w:r>
    </w:p>
    <w:bookmarkStart w:id="36" w:name="scope-1-emissions"/>
    <w:p>
      <w:pPr>
        <w:pStyle w:val="Heading3"/>
      </w:pPr>
      <w:r>
        <w:t xml:space="preserve">4.1. Scope 1 Emissions</w:t>
      </w:r>
    </w:p>
    <w:p>
      <w:pPr>
        <w:pStyle w:val="FirstParagraph"/>
      </w:pPr>
      <w:r>
        <w:t xml:space="preserve">Given the "factory_gate" system boundary and the nature of the product, significant direct (Scope 1) emissions are assumed to be negligible or embedded within the purchased energy (Scope 2) or material (Scope 3) footprints. No specific on-site fuel combustion or process emissions are provided, thus Scope 1 emissions are reported as 0 for this analysis, assuming operations rely primarily on purchased electricity.</w:t>
      </w:r>
    </w:p>
    <w:bookmarkEnd w:id="36"/>
    <w:bookmarkStart w:id="37" w:name="scope-2-emissions-manufacturing-energy"/>
    <w:p>
      <w:pPr>
        <w:pStyle w:val="Heading3"/>
      </w:pPr>
      <w:r>
        <w:t xml:space="preserve">4.2. Scope 2 Emissions (Manufacturing Energy)</w:t>
      </w:r>
    </w:p>
    <w:p>
      <w:pPr>
        <w:pStyle w:val="FirstParagraph"/>
      </w:pPr>
      <w:r>
        <w:t xml:space="preserve">Manufacturing takes place in China.</w:t>
      </w:r>
      <w:r>
        <w:t xml:space="preserve"> </w:t>
      </w:r>
      <w:r>
        <w:t xml:space="preserve">* Chinese Grid Emission Factor (average): 0.6 kgCO2e/kWh.</w:t>
      </w:r>
      <w:r>
        <w:t xml:space="preserve"> </w:t>
      </w:r>
      <w:r>
        <w:t xml:space="preserve">* Renewable Energy Usage: 30%.</w:t>
      </w:r>
      <w:r>
        <w:t xml:space="preserve"> </w:t>
      </w:r>
      <w:r>
        <w:t xml:space="preserve">* Grid-supplied electricity: 50 kWh/unit * (1 - 0.30) = 35 kWh/unit.</w:t>
      </w:r>
    </w:p>
    <w:p>
      <w:pPr>
        <w:pStyle w:val="BodyText"/>
      </w:pPr>
      <w:r>
        <w:rPr>
          <w:bCs/>
          <w:b/>
        </w:rPr>
        <w:t xml:space="preserve">Calculation:</w:t>
      </w:r>
      <w:r>
        <w:t xml:space="preserve"> </w:t>
      </w:r>
      <w:r>
        <w:t xml:space="preserve">35 kWh/unit * 0.6 kgCO2e/kWh = 21.0 kgCO2e/unit</w:t>
      </w:r>
    </w:p>
    <w:p>
      <w:pPr>
        <w:pStyle w:val="BodyText"/>
      </w:pPr>
      <w:r>
        <w:rPr>
          <w:bCs/>
          <w:b/>
        </w:rPr>
        <w:t xml:space="preserve">Total Scope 2 Emissions:</w:t>
      </w:r>
      <w:r>
        <w:t xml:space="preserve"> </w:t>
      </w:r>
      <w:r>
        <w:t xml:space="preserve">21.0 kgCO2e</w:t>
      </w:r>
    </w:p>
    <w:bookmarkEnd w:id="37"/>
    <w:bookmarkStart w:id="43" w:name="scope-3-emissions"/>
    <w:p>
      <w:pPr>
        <w:pStyle w:val="Heading3"/>
      </w:pPr>
      <w:r>
        <w:t xml:space="preserve">4.3. Scope 3 Emissions</w:t>
      </w:r>
    </w:p>
    <w:bookmarkStart w:id="38" w:name="X5f6140ce0fc34f99c52b87bbaa7931bb6d373a4"/>
    <w:p>
      <w:pPr>
        <w:pStyle w:val="Heading4"/>
      </w:pPr>
      <w:r>
        <w:t xml:space="preserve">4.3.1. Purchased Goods and Services (Category 1 - Raw Materials)</w:t>
      </w:r>
    </w:p>
    <w:p>
      <w:pPr>
        <w:pStyle w:val="FirstParagraph"/>
      </w:pPr>
      <w:r>
        <w:t xml:space="preserve">This is a direct summation from the provided BOM\'s "Total Carbon" column.</w:t>
      </w:r>
    </w:p>
    <w:p>
      <w:pPr>
        <w:pStyle w:val="BodyText"/>
      </w:pPr>
      <w:r>
        <w:rPr>
          <w:bCs/>
          <w:b/>
        </w:rPr>
        <w:t xml:space="preserve">Total Material Emissions:</w:t>
      </w:r>
      <w:r>
        <w:t xml:space="preserve"> </w:t>
      </w:r>
      <w:r>
        <w:t xml:space="preserve">6.05 kgCO2e</w:t>
      </w:r>
    </w:p>
    <w:bookmarkEnd w:id="38"/>
    <w:bookmarkStart w:id="39" w:name="X1ba14597aa58affb2f1bc7a69940c64f4addd9d"/>
    <w:p>
      <w:pPr>
        <w:pStyle w:val="Heading4"/>
      </w:pPr>
      <w:r>
        <w:t xml:space="preserve">4.3.2. Upstream Transportation and Distribution (Category 4)</w:t>
      </w:r>
    </w:p>
    <w:p>
      <w:pPr>
        <w:pStyle w:val="FirstParagraph"/>
      </w:pPr>
      <w:r>
        <w:t xml:space="preserve">Assumed transport of raw materials to the production facility in China.</w:t>
      </w:r>
      <w:r>
        <w:t xml:space="preserve"> </w:t>
      </w:r>
      <w:r>
        <w:t xml:space="preserve">* Product Weight (including packaging): 0.82 kg = 0.00082 tonnes.</w:t>
      </w:r>
      <w:r>
        <w:t xml:space="preserve"> </w:t>
      </w:r>
      <w:r>
        <w:t xml:space="preserve">* Ocean Freight Emission Factor: 0.01 kgCO2e/tonne-km (generic industry average).</w:t>
      </w:r>
      <w:r>
        <w:t xml:space="preserve"> </w:t>
      </w:r>
      <w:r>
        <w:t xml:space="preserve">* Distance: 10,000 km.</w:t>
      </w:r>
    </w:p>
    <w:p>
      <w:pPr>
        <w:pStyle w:val="BodyText"/>
      </w:pPr>
      <w:r>
        <w:rPr>
          <w:bCs/>
          <w:b/>
        </w:rPr>
        <w:t xml:space="preserve">Calculation:</w:t>
      </w:r>
      <w:r>
        <w:t xml:space="preserve"> </w:t>
      </w:r>
      <w:r>
        <w:t xml:space="preserve">0.00082 tonnes * 10,000 km * 0.01 kgCO2e/tonne-km = 0.082 kgCO2e</w:t>
      </w:r>
    </w:p>
    <w:p>
      <w:pPr>
        <w:pStyle w:val="BodyText"/>
      </w:pPr>
      <w:r>
        <w:rPr>
          <w:bCs/>
          <w:b/>
        </w:rPr>
        <w:t xml:space="preserve">Total Upstream Transport Emissions:</w:t>
      </w:r>
      <w:r>
        <w:t xml:space="preserve"> </w:t>
      </w:r>
      <w:r>
        <w:t xml:space="preserve">0.082 kgCO2e</w:t>
      </w:r>
    </w:p>
    <w:bookmarkEnd w:id="39"/>
    <w:bookmarkStart w:id="40" w:name="Xf99624fd397bf9c6d9f341ae6f5e42f57c50438"/>
    <w:p>
      <w:pPr>
        <w:pStyle w:val="Heading4"/>
      </w:pPr>
      <w:r>
        <w:t xml:space="preserve">4.3.3. Downstream Transportation and Distribution (Category 9 - Last-Mile Delivery)</w:t>
      </w:r>
    </w:p>
    <w:p>
      <w:pPr>
        <w:pStyle w:val="FirstParagraph"/>
      </w:pPr>
      <w:r>
        <w:t xml:space="preserve">Assumed delivery to the end customer within Europe.</w:t>
      </w:r>
      <w:r>
        <w:t xml:space="preserve"> </w:t>
      </w:r>
      <w:r>
        <w:t xml:space="preserve">* Product Weight: 0.82 kg = 0.00082 tonnes.</w:t>
      </w:r>
      <w:r>
        <w:t xml:space="preserve"> </w:t>
      </w:r>
      <w:r>
        <w:t xml:space="preserve">* Last-Mile Delivery Distance: Assumed 500 km (representative average for regional delivery).</w:t>
      </w:r>
      <w:r>
        <w:t xml:space="preserve"> </w:t>
      </w:r>
      <w:r>
        <w:t xml:space="preserve">* Road Freight (Light Commercial Vehicle) Emission Factor: 0.2 kgCO2e/tonne-km (generic industry average).</w:t>
      </w:r>
    </w:p>
    <w:p>
      <w:pPr>
        <w:pStyle w:val="BodyText"/>
      </w:pPr>
      <w:r>
        <w:rPr>
          <w:bCs/>
          <w:b/>
        </w:rPr>
        <w:t xml:space="preserve">Calculation:</w:t>
      </w:r>
      <w:r>
        <w:t xml:space="preserve"> </w:t>
      </w:r>
      <w:r>
        <w:t xml:space="preserve">0.00082 tonnes * 500 km * 0.2 kgCO2e/tonne-km = 0.082 kgCO2e</w:t>
      </w:r>
    </w:p>
    <w:p>
      <w:pPr>
        <w:pStyle w:val="BodyText"/>
      </w:pPr>
      <w:r>
        <w:rPr>
          <w:bCs/>
          <w:b/>
        </w:rPr>
        <w:t xml:space="preserve">Total Downstream Transport Emissions:</w:t>
      </w:r>
      <w:r>
        <w:t xml:space="preserve"> </w:t>
      </w:r>
      <w:r>
        <w:t xml:space="preserve">0.082 kgCO2e</w:t>
      </w:r>
    </w:p>
    <w:bookmarkEnd w:id="40"/>
    <w:bookmarkStart w:id="41" w:name="use-of-sold-products-category-11"/>
    <w:p>
      <w:pPr>
        <w:pStyle w:val="Heading4"/>
      </w:pPr>
      <w:r>
        <w:t xml:space="preserve">4.3.4. Use of Sold Products (Category 11)</w:t>
      </w:r>
    </w:p>
    <w:p>
      <w:pPr>
        <w:pStyle w:val="FirstParagraph"/>
      </w:pPr>
      <w:r>
        <w:t xml:space="preserve">Energy consumption during the product\'s lifespan.</w:t>
      </w:r>
      <w:r>
        <w:t xml:space="preserve"> </w:t>
      </w:r>
      <w:r>
        <w:t xml:space="preserve">* Product Lifespan: 5 years.</w:t>
      </w:r>
      <w:r>
        <w:t xml:space="preserve"> </w:t>
      </w:r>
      <w:r>
        <w:t xml:space="preserve">* Energy Consumption: 10 kWh/year.</w:t>
      </w:r>
      <w:r>
        <w:t xml:space="preserve"> </w:t>
      </w:r>
      <w:r>
        <w:t xml:space="preserve">* Total Use Phase Energy: 10 kWh/year * 5 years = 50 kWh.</w:t>
      </w:r>
      <w:r>
        <w:t xml:space="preserve"> </w:t>
      </w:r>
      <w:r>
        <w:t xml:space="preserve">* European Grid Emission Factor (average): 0.25 kgCO2e/kWh (generic average).</w:t>
      </w:r>
    </w:p>
    <w:p>
      <w:pPr>
        <w:pStyle w:val="BodyText"/>
      </w:pPr>
      <w:r>
        <w:rPr>
          <w:bCs/>
          <w:b/>
        </w:rPr>
        <w:t xml:space="preserve">Calculation:</w:t>
      </w:r>
      <w:r>
        <w:t xml:space="preserve"> </w:t>
      </w:r>
      <w:r>
        <w:t xml:space="preserve">50 kWh * 0.25 kgCO2e/kWh = 12.5 kgCO2e</w:t>
      </w:r>
    </w:p>
    <w:p>
      <w:pPr>
        <w:pStyle w:val="BodyText"/>
      </w:pPr>
      <w:r>
        <w:rPr>
          <w:bCs/>
          <w:b/>
        </w:rPr>
        <w:t xml:space="preserve">Total Use Phase Emissions:</w:t>
      </w:r>
      <w:r>
        <w:t xml:space="preserve"> </w:t>
      </w:r>
      <w:r>
        <w:t xml:space="preserve">12.5 kgCO2e</w:t>
      </w:r>
    </w:p>
    <w:bookmarkEnd w:id="41"/>
    <w:bookmarkStart w:id="42" w:name="X7eecd0528a4129578e12f0f82acdf78ed4201e7"/>
    <w:p>
      <w:pPr>
        <w:pStyle w:val="Heading4"/>
      </w:pPr>
      <w:r>
        <w:t xml:space="preserve">4.3.5. End-of-Life Treatment of Sold Products (Category 12)</w:t>
      </w:r>
    </w:p>
    <w:p>
      <w:pPr>
        <w:pStyle w:val="FirstParagraph"/>
      </w:pPr>
      <w:r>
        <w:t xml:space="preserve">Impacts associated with disposal and recycling.</w:t>
      </w:r>
      <w:r>
        <w:t xml:space="preserve"> </w:t>
      </w:r>
      <w:r>
        <w:t xml:space="preserve">* Product Weight: 0.82 kg.</w:t>
      </w:r>
      <w:r>
        <w:t xml:space="preserve"> </w:t>
      </w:r>
      <w:r>
        <w:t xml:space="preserve">* Recyclability Percentage: 70%.</w:t>
      </w:r>
      <w:r>
        <w:t xml:space="preserve"> </w:t>
      </w:r>
      <w:r>
        <w:t xml:space="preserve">* Non-recyclable portion: 30%.</w:t>
      </w:r>
      <w:r>
        <w:t xml:space="preserve"> </w:t>
      </w:r>
      <w:r>
        <w:t xml:space="preserve">* Assumed credit for recycled material: -1.0 kgCO2e/kg (simplified average avoided emissions).</w:t>
      </w:r>
      <w:r>
        <w:t xml:space="preserve"> </w:t>
      </w:r>
      <w:r>
        <w:t xml:space="preserve">* Assumed burden for non-recycled waste (landfill/incineration): +0.1 kgCO2e/kg (simplified average).</w:t>
      </w:r>
    </w:p>
    <w:p>
      <w:pPr>
        <w:pStyle w:val="BodyText"/>
      </w:pPr>
      <w:r>
        <w:rPr>
          <w:bCs/>
          <w:b/>
        </w:rPr>
        <w:t xml:space="preserve">Calculation:</w:t>
      </w:r>
      <w:r>
        <w:t xml:space="preserve"> </w:t>
      </w:r>
      <w:r>
        <w:t xml:space="preserve">(0.82 kg * 0.70 * -1.0 kgCO2e/kg) + (0.82 kg * 0.30 * 0.1 kgCO2e/kg)</w:t>
      </w:r>
      <w:r>
        <w:t xml:space="preserve"> </w:t>
      </w:r>
      <w:r>
        <w:t xml:space="preserve">= -0.574 kgCO2e + 0.0246 kgCO2e = -0.5494 kgCO2e</w:t>
      </w:r>
    </w:p>
    <w:p>
      <w:pPr>
        <w:pStyle w:val="BodyText"/>
      </w:pPr>
      <w:r>
        <w:rPr>
          <w:bCs/>
          <w:b/>
        </w:rPr>
        <w:t xml:space="preserve">Total End-of-Life Emissions:</w:t>
      </w:r>
      <w:r>
        <w:t xml:space="preserve"> </w:t>
      </w:r>
      <w:r>
        <w:t xml:space="preserve">-0.5494 kgCO2e (Net credit due to high recyclability and circular programs)</w:t>
      </w:r>
    </w:p>
    <w:bookmarkEnd w:id="42"/>
    <w:bookmarkEnd w:id="43"/>
    <w:bookmarkStart w:id="44" w:name="summary-of-product-carbon-footprint"/>
    <w:p>
      <w:pPr>
        <w:pStyle w:val="Heading3"/>
      </w:pPr>
      <w:r>
        <w:t xml:space="preserve">4.4. Summary of Product Carbon Footprint</w:t>
      </w:r>
    </w:p>
    <w:p>
      <w:pPr>
        <w:pStyle w:val="FirstParagraph"/>
      </w:pPr>
      <w:r>
        <w:rPr>
          <w:bCs/>
          <w:b/>
        </w:rPr>
        <w:t xml:space="preserve">Total PCF for zifznhodhu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Materials (Purchased Goods &amp; Services)</w:t>
            </w:r>
          </w:p>
        </w:tc>
        <w:tc>
          <w:tcPr/>
          <w:p>
            <w:pPr>
              <w:pStyle w:val="Compact"/>
              <w:jc w:val="left"/>
            </w:pPr>
            <w:r>
              <w:t xml:space="preserve">Scope 3</w:t>
            </w:r>
          </w:p>
        </w:tc>
        <w:tc>
          <w:tcPr/>
          <w:p>
            <w:pPr>
              <w:pStyle w:val="Compact"/>
              <w:jc w:val="left"/>
            </w:pPr>
            <w:r>
              <w:t xml:space="preserve">6.05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21.00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0.082</w:t>
            </w:r>
          </w:p>
        </w:tc>
      </w:tr>
      <w:tr>
        <w:tc>
          <w:tcPr/>
          <w:p>
            <w:pPr>
              <w:pStyle w:val="Compact"/>
              <w:jc w:val="left"/>
            </w:pPr>
            <w:r>
              <w:t xml:space="preserve">Downstream Transportation (Last-Mile)</w:t>
            </w:r>
          </w:p>
        </w:tc>
        <w:tc>
          <w:tcPr/>
          <w:p>
            <w:pPr>
              <w:pStyle w:val="Compact"/>
              <w:jc w:val="left"/>
            </w:pPr>
            <w:r>
              <w:t xml:space="preserve">Scope 3</w:t>
            </w:r>
          </w:p>
        </w:tc>
        <w:tc>
          <w:tcPr/>
          <w:p>
            <w:pPr>
              <w:pStyle w:val="Compact"/>
              <w:jc w:val="left"/>
            </w:pPr>
            <w:r>
              <w:t xml:space="preserve">0.082</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-0.5494</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39.1646</w:t>
            </w:r>
          </w:p>
        </w:tc>
      </w:tr>
    </w:tbl>
    <w:p>
      <w:pPr>
        <w:pStyle w:val="BodyText"/>
      </w:pPr>
      <w:r>
        <w:rPr>
          <w:bCs/>
          <w:b/>
        </w:rPr>
        <w:t xml:space="preserve">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21.00</w:t>
            </w:r>
          </w:p>
        </w:tc>
        <w:tc>
          <w:tcPr/>
          <w:p>
            <w:pPr>
              <w:pStyle w:val="Compact"/>
              <w:jc w:val="left"/>
            </w:pPr>
            <w:r>
              <w:t xml:space="preserve">53.62%</w:t>
            </w:r>
          </w:p>
        </w:tc>
      </w:tr>
      <w:tr>
        <w:tc>
          <w:tcPr/>
          <w:p>
            <w:pPr>
              <w:pStyle w:val="Compact"/>
              <w:jc w:val="left"/>
            </w:pPr>
            <w:r>
              <w:t xml:space="preserve">Scope 3 (Value Chain Emissions)</w:t>
            </w:r>
          </w:p>
        </w:tc>
        <w:tc>
          <w:tcPr/>
          <w:p>
            <w:pPr>
              <w:pStyle w:val="Compact"/>
              <w:jc w:val="left"/>
            </w:pPr>
            <w:r>
              <w:t xml:space="preserve">18.1646</w:t>
            </w:r>
          </w:p>
        </w:tc>
        <w:tc>
          <w:tcPr/>
          <w:p>
            <w:pPr>
              <w:pStyle w:val="Compact"/>
              <w:jc w:val="left"/>
            </w:pPr>
            <w:r>
              <w:t xml:space="preserve">46.38%</w:t>
            </w:r>
          </w:p>
        </w:tc>
      </w:tr>
      <w:tr>
        <w:tc>
          <w:tcPr/>
          <w:p>
            <w:pPr>
              <w:pStyle w:val="Compact"/>
              <w:jc w:val="left"/>
            </w:pPr>
            <w:r>
              <w:rPr>
                <w:bCs/>
                <w:b/>
              </w:rPr>
              <w:t xml:space="preserve">TOTAL</w:t>
            </w:r>
          </w:p>
        </w:tc>
        <w:tc>
          <w:tcPr/>
          <w:p>
            <w:pPr>
              <w:pStyle w:val="Compact"/>
              <w:jc w:val="left"/>
            </w:pPr>
            <w:r>
              <w:rPr>
                <w:bCs/>
                <w:b/>
              </w:rPr>
              <w:t xml:space="preserve">39.1646</w:t>
            </w:r>
          </w:p>
        </w:tc>
        <w:tc>
          <w:tcPr/>
          <w:p>
            <w:pPr>
              <w:pStyle w:val="Compact"/>
              <w:jc w:val="left"/>
            </w:pPr>
            <w:r>
              <w:rPr>
                <w:bCs/>
                <w:b/>
              </w:rPr>
              <w:t xml:space="preserve">100.00%</w:t>
            </w:r>
          </w:p>
        </w:tc>
      </w:tr>
    </w:tbl>
    <w:p>
      <w:pPr>
        <w:pStyle w:val="BodyText"/>
      </w:pPr>
      <w:r>
        <w:rPr>
          <w:iCs/>
          <w:i/>
        </w:rPr>
        <w:t xml:space="preserve">Note: Scope 3 emissions calculated as: (Raw Materials + Upstream Transport + Downstream Transport + Use Phase + End-of-Life).</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analysis"/>
    <w:p>
      <w:pPr>
        <w:pStyle w:val="Heading3"/>
      </w:pPr>
      <w:r>
        <w:t xml:space="preserve">5.1. Hotspots Analysis</w:t>
      </w:r>
    </w:p>
    <w:p>
      <w:pPr>
        <w:pStyle w:val="FirstParagraph"/>
      </w:pPr>
      <w:r>
        <w:t xml:space="preserve">The PCF analysis reveals the following emission hotspots for \'zifznhodhu\':</w:t>
      </w:r>
    </w:p>
    <w:p>
      <w:pPr>
        <w:numPr>
          <w:ilvl w:val="0"/>
          <w:numId w:val="1007"/>
        </w:numPr>
        <w:pStyle w:val="Compact"/>
      </w:pPr>
      <w:r>
        <w:rPr>
          <w:bCs/>
          <w:b/>
        </w:rPr>
        <w:t xml:space="preserve">Manufacturing (Scope 2):</w:t>
      </w:r>
      <w:r>
        <w:t xml:space="preserve"> </w:t>
      </w:r>
      <w:r>
        <w:t xml:space="preserve">At 21.0 kgCO2e, the production phase, driven by purchased electricity in China, represents the largest single contributor to the product\'s carbon footprint (approximately 53.62%). This highlights the significant impact of the energy mix in the manufacturing region, despite 30% renewable energy usage. The average carbon footprint of electricity in China is higher than many other regions.</w:t>
      </w:r>
    </w:p>
    <w:p>
      <w:pPr>
        <w:numPr>
          <w:ilvl w:val="0"/>
          <w:numId w:val="1007"/>
        </w:numPr>
        <w:pStyle w:val="Compact"/>
      </w:pPr>
      <w:r>
        <w:rPr>
          <w:bCs/>
          <w:b/>
        </w:rPr>
        <w:t xml:space="preserve">Use Phase (Scope 3):</w:t>
      </w:r>
      <w:r>
        <w:t xml:space="preserve"> </w:t>
      </w:r>
      <w:r>
        <w:t xml:space="preserve">The energy consumed during the product\'s 5-year lifespan contributes 12.5 kgCO2e (approximately 31.92%). This indicates that consumer energy usage is a substantial factor, even with a relatively modest energy consumption per year.</w:t>
      </w:r>
    </w:p>
    <w:p>
      <w:pPr>
        <w:numPr>
          <w:ilvl w:val="0"/>
          <w:numId w:val="1007"/>
        </w:numPr>
        <w:pStyle w:val="Compact"/>
      </w:pPr>
      <w:r>
        <w:rPr>
          <w:bCs/>
          <w:b/>
        </w:rPr>
        <w:t xml:space="preserve">Raw Materials (Scope 3):</w:t>
      </w:r>
      <w:r>
        <w:t xml:space="preserve"> </w:t>
      </w:r>
      <w:r>
        <w:t xml:space="preserve">The extraction and production of materials account for 6.05 kgCO2e (approximately 15.45%), with aluminum, PCB, and the lithium-ion battery being the most impactful components. For instance, primary aluminum production can be very carbon intensive, and lithium-ion battery manufacturing also has a significant footprint.</w:t>
      </w:r>
    </w:p>
    <w:bookmarkEnd w:id="46"/>
    <w:bookmarkStart w:id="47" w:name="reliability-and-limitations"/>
    <w:p>
      <w:pPr>
        <w:pStyle w:val="Heading3"/>
      </w:pPr>
      <w:r>
        <w:t xml:space="preserve">5.2. Reliability and Limitations</w:t>
      </w:r>
    </w:p>
    <w:p>
      <w:pPr>
        <w:pStyle w:val="FirstParagraph"/>
      </w:pPr>
      <w:r>
        <w:t xml:space="preserve">The reliability of this PCF analysis is strengthened by the use of a detailed Bill of Materials and adherence to the GHG Protocol. However, certain limitations apply:</w:t>
      </w:r>
    </w:p>
    <w:p>
      <w:pPr>
        <w:numPr>
          <w:ilvl w:val="0"/>
          <w:numId w:val="1008"/>
        </w:numPr>
        <w:pStyle w:val="Compact"/>
      </w:pPr>
      <w:r>
        <w:rPr>
          <w:bCs/>
          <w:b/>
        </w:rPr>
        <w:t xml:space="preserve">Generic Emission Factors:</w:t>
      </w:r>
      <w:r>
        <w:t xml:space="preserve"> </w:t>
      </w:r>
      <w:r>
        <w:t xml:space="preserve">While efforts were made to use industry-standard EFs, some values for transport modes and generic electricity mixes are average estimates and may not reflect specific supplier or route efficiencies.</w:t>
      </w:r>
    </w:p>
    <w:p>
      <w:pPr>
        <w:numPr>
          <w:ilvl w:val="0"/>
          <w:numId w:val="1008"/>
        </w:numPr>
        <w:pStyle w:val="Compact"/>
      </w:pPr>
      <w:r>
        <w:rPr>
          <w:bCs/>
          <w:b/>
        </w:rPr>
        <w:t xml:space="preserve">Assumptions for Placeholders:</w:t>
      </w:r>
      <w:r>
        <w:t xml:space="preserve"> </w:t>
      </w:r>
      <w:r>
        <w:t xml:space="preserve">Parameters such as "Select Mode," "zjlwhxstre," "Delivery Type," "ftinrpqord," "httxuggyuw," "ywtmtrkzlq," "irneudieuz," "kgmuqpnvyw," and "ztjryxzudy" were assigned plausible values for calculation purposes. Primary data for these specific elements would further enhance accuracy.</w:t>
      </w:r>
    </w:p>
    <w:p>
      <w:pPr>
        <w:numPr>
          <w:ilvl w:val="0"/>
          <w:numId w:val="1008"/>
        </w:numPr>
        <w:pStyle w:val="Compact"/>
      </w:pPr>
      <w:r>
        <w:rPr>
          <w:bCs/>
          <w:b/>
        </w:rPr>
        <w:t xml:space="preserve">End-of-Life Simplification:</w:t>
      </w:r>
      <w:r>
        <w:t xml:space="preserve"> </w:t>
      </w:r>
      <w:r>
        <w:t xml:space="preserve">The EoL credit/burden calculation is a simplification. Actual recycling impacts depend on specific recycling technologies, energy inputs for recycling, and material losses, which can vary significantly.</w:t>
      </w:r>
    </w:p>
    <w:p>
      <w:pPr>
        <w:numPr>
          <w:ilvl w:val="0"/>
          <w:numId w:val="1008"/>
        </w:numPr>
        <w:pStyle w:val="Compact"/>
      </w:pPr>
      <w:r>
        <w:rPr>
          <w:bCs/>
          <w:b/>
        </w:rPr>
        <w:t xml:space="preserve">LSR Standard and Scope 3 Data:</w:t>
      </w:r>
      <w:r>
        <w:t xml:space="preserve"> </w:t>
      </w:r>
      <w:r>
        <w:t xml:space="preserve">While the principles of the 2026 LSR Standard and Scope 3 revisions have been considered, detailed primary data collection across the entire value chain to meet the 95% Scope 3 coverage and data type disaggregation would require extensive supplier engagement. This report uses available data and reasonable assumptions to meet the spirit of the requirement.</w:t>
      </w:r>
    </w:p>
    <w:bookmarkEnd w:id="47"/>
    <w:bookmarkStart w:id="48" w:name="recommendations-for-decarbonization"/>
    <w:p>
      <w:pPr>
        <w:pStyle w:val="Heading3"/>
      </w:pPr>
      <w:r>
        <w:t xml:space="preserve">5.3. Recommendations for Decarbonization</w:t>
      </w:r>
    </w:p>
    <w:p>
      <w:pPr>
        <w:pStyle w:val="FirstParagraph"/>
      </w:pPr>
      <w:r>
        <w:t xml:space="preserve">Based on this analysis, jisxqmwtqe can focus on the following key areas to reduce the carbon footprint of \'zifznhodhu\':</w:t>
      </w:r>
    </w:p>
    <w:p>
      <w:pPr>
        <w:numPr>
          <w:ilvl w:val="0"/>
          <w:numId w:val="1009"/>
        </w:numPr>
        <w:pStyle w:val="Compact"/>
      </w:pPr>
      <w:r>
        <w:rPr>
          <w:bCs/>
          <w:b/>
        </w:rPr>
        <w:t xml:space="preserve">Decarbonize Manufacturing Operations (Scope 2):</w:t>
      </w:r>
      <w:r>
        <w:t xml:space="preserve"> </w:t>
      </w:r>
      <w:r>
        <w:t xml:space="preserve">Prioritize transitioning to 100% renewable energy sources for manufacturing facilities in China. This could involve direct renewable energy procurement, on-site generation, or investing in high-quality renewable energy certificates.</w:t>
      </w:r>
    </w:p>
    <w:p>
      <w:pPr>
        <w:numPr>
          <w:ilvl w:val="0"/>
          <w:numId w:val="1009"/>
        </w:numPr>
        <w:pStyle w:val="Compact"/>
      </w:pPr>
      <w:r>
        <w:rPr>
          <w:bCs/>
          <w:b/>
        </w:rPr>
        <w:t xml:space="preserve">Optimize Product Use Phase (Scope 3):</w:t>
      </w:r>
      <w:r>
        <w:t xml:space="preserve"> </w:t>
      </w:r>
      <w:r>
        <w:t xml:space="preserve">Explore design improvements to enhance energy efficiency during the product\'s operational lifespan. This could include developing power-saving modes, using more efficient components, or providing guidance to users on sustainable energy practices.</w:t>
      </w:r>
    </w:p>
    <w:p>
      <w:pPr>
        <w:numPr>
          <w:ilvl w:val="0"/>
          <w:numId w:val="1009"/>
        </w:numPr>
        <w:pStyle w:val="Compact"/>
      </w:pPr>
      <w:r>
        <w:rPr>
          <w:bCs/>
          <w:b/>
        </w:rPr>
        <w:t xml:space="preserve">Engage Supply Chain for Material Decarbonization (Scope 3):</w:t>
      </w:r>
      <w:r>
        <w:t xml:space="preserve"> </w:t>
      </w:r>
      <w:r>
        <w:t xml:space="preserve">Work closely with material suppliers to source lower-carbon alternatives for high-impact components like aluminum, PCBs, and batteries. This includes requesting supplier-specific PCF data and exploring materials with higher recycled content or produced with renewable energy. For instance, recycled aluminum has a significantly lower footprint than primary.</w:t>
      </w:r>
    </w:p>
    <w:p>
      <w:pPr>
        <w:numPr>
          <w:ilvl w:val="0"/>
          <w:numId w:val="1009"/>
        </w:numPr>
        <w:pStyle w:val="Compact"/>
      </w:pPr>
      <w:r>
        <w:rPr>
          <w:bCs/>
          <w:b/>
        </w:rPr>
        <w:t xml:space="preserve">Enhance Circularity and End-of-Life Management (Scope 3):</w:t>
      </w:r>
      <w:r>
        <w:t xml:space="preserve"> </w:t>
      </w:r>
      <w:r>
        <w:t xml:space="preserve">Strengthen existing circular economy initiatives and take-back programs to maximize material recovery and recycling rates. Explore design-for-disassembly and material selection that further facilitates high-quality recycling.</w:t>
      </w:r>
    </w:p>
    <w:p>
      <w:pPr>
        <w:numPr>
          <w:ilvl w:val="0"/>
          <w:numId w:val="1009"/>
        </w:numPr>
        <w:pStyle w:val="Compact"/>
      </w:pPr>
      <w:r>
        <w:rPr>
          <w:bCs/>
          <w:b/>
        </w:rPr>
        <w:t xml:space="preserve">Optimize Logistics (Scope 3):</w:t>
      </w:r>
      <w:r>
        <w:t xml:space="preserve"> </w:t>
      </w:r>
      <w:r>
        <w:t xml:space="preserve">Investigate more efficient transport modes and routes, potentially leveraging rail or short-sea shipping for European distribution, and optimizing last-mile delivery networks to reduce fuel consumption and associated emissions.</w:t>
      </w:r>
    </w:p>
    <w:p>
      <w:pPr>
        <w:pStyle w:val="FirstParagraph"/>
      </w:pPr>
      <w:r>
        <w:t xml:space="preserve">By strategically addressing these hotspots and leveraging the insights from this PCF analysis, jisxqmwtqe can make significant strides towards reducing the environmental impact of \'zifznhodhu\' and demonstrate leadership in sustainability.</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zifznhodhu</dc:title>
  <dc:creator/>
  <dc:description>High-detail Product Carbon Footprint (PCF) analysis for zifznhodhu, adhering to GHG Protocol and 2026 LSR and Scope 3 updates, prepared by hwkylplwhd for jisxqmwtqe.</dc:description>
  <dc:language>en</dc:language>
  <cp:keywords/>
  <dcterms:created xsi:type="dcterms:W3CDTF">2026-07-15T05:12:18Z</dcterms:created>
  <dcterms:modified xsi:type="dcterms:W3CDTF">2026-07-15T05:12:18Z</dcterms:modified>
</cp:coreProperties>
</file>

<file path=docProps/custom.xml><?xml version="1.0" encoding="utf-8"?>
<Properties xmlns="http://schemas.openxmlformats.org/officeDocument/2006/custom-properties" xmlns:vt="http://schemas.openxmlformats.org/officeDocument/2006/docPropsVTypes"/>
</file>