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zhzdjnsghq</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zhzdjnsghq"/>
    <w:p>
      <w:pPr>
        <w:pStyle w:val="Heading2"/>
      </w:pPr>
      <w:r>
        <w:t xml:space="preserve">Product: zhzdjnsghq</w:t>
      </w:r>
    </w:p>
    <w:p>
      <w:pPr>
        <w:pStyle w:val="FirstParagraph"/>
      </w:pPr>
      <w:r>
        <w:rPr>
          <w:bCs/>
          <w:b/>
        </w:rPr>
        <w:t xml:space="preserve">Accounting Standard:</w:t>
      </w:r>
      <w:r>
        <w:t xml:space="preserve"> </w:t>
      </w:r>
      <w:r>
        <w:t xml:space="preserve">GHG Protocol</w:t>
      </w:r>
      <w:r>
        <w:br/>
      </w:r>
      <w:r>
        <w:rPr>
          <w:bCs/>
          <w:b/>
        </w:rPr>
        <w:t xml:space="preserve">Company Name:</w:t>
      </w:r>
      <w:r>
        <w:t xml:space="preserve"> </w:t>
      </w:r>
      <w:r>
        <w:t xml:space="preserve">nzqnpkstzs</w:t>
      </w:r>
      <w:r>
        <w:br/>
      </w:r>
      <w:r>
        <w:rPr>
          <w:bCs/>
          <w:b/>
        </w:rPr>
        <w:t xml:space="preserve">Senior Sustainability Consultant:</w:t>
      </w:r>
      <w:r>
        <w:t xml:space="preserve"> </w:t>
      </w:r>
      <w:r>
        <w:t xml:space="preserve">tvlszxtmeu</w:t>
      </w:r>
    </w:p>
    <w:p>
      <w:pPr>
        <w:pStyle w:val="BodyText"/>
      </w:pPr>
      <w:r>
        <w:t xml:space="preserve">This report is generated based on available data and industry standards. The calculations are illustrative where specific data for parameters were provided as placeholder strings.</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zhzdjnsghq</w:t>
      </w:r>
    </w:p>
    <w:p>
      <w:pPr>
        <w:pStyle w:val="BodyText"/>
      </w:pPr>
      <w:r>
        <w:rPr>
          <w:bCs/>
          <w:b/>
        </w:rPr>
        <w:t xml:space="preserve">Generated Date:</w:t>
      </w:r>
      <w:r>
        <w:t xml:space="preserve"> </w:t>
      </w:r>
      <w:r>
        <w:t xml:space="preserve">June 2,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zhzdjnsghq, conducted for nzqnpkstzs by tvlszxtmeu, Senior Sustainability Consultant. The analysis strictly adheres to the Greenhouse Gas (GHG) Protocol standards, including considerations for the latest 2026 Land Sector and Removals (LSR) update and stringent Scope 3 reporting requirements. The objective is to quantify the total greenhouse gas emissions associated with zhzdjnsghq across its lifecycle, from material extraction to end-of-life, identify emission hotspots, and provide a foundation for targeted reduction strategies. The functional unit for this analysis is 1.0 unit of zhzdjnsghq, with a system boundary defined as "cradle-to-gate" augmented with downstream transportation, use phase, and end-of-life scenarios, focusing on a European supply chain and final production in China.</w:t>
      </w:r>
    </w:p>
    <w:p>
      <w:r>
        <w:pict>
          <v:rect style="width:0;height:1.5pt" o:hralign="center" o:hrstd="t" o:hr="t"/>
        </w:pict>
      </w:r>
    </w:p>
    <w:bookmarkEnd w:id="23"/>
    <w:bookmarkStart w:id="36" w:name="methodology"/>
    <w:p>
      <w:pPr>
        <w:pStyle w:val="Heading2"/>
      </w:pPr>
      <w:r>
        <w:t xml:space="preserve">Methodology</w:t>
      </w:r>
    </w:p>
    <w:p>
      <w:pPr>
        <w:pStyle w:val="FirstParagraph"/>
      </w:pPr>
      <w:r>
        <w:t xml:space="preserve">The Product Carbon Footprint (PCF) analysis follows a systematic, five-step methodology in accordance with the GHG Protocol Product Standard and best practices in Life Cycle Assessment (LCA).</w:t>
      </w:r>
    </w:p>
    <w:p>
      <w:pPr>
        <w:numPr>
          <w:ilvl w:val="0"/>
          <w:numId w:val="1001"/>
        </w:numPr>
      </w:pPr>
      <w:r>
        <w:rPr>
          <w:bCs/>
          <w:b/>
        </w:rPr>
        <w:t xml:space="preserve">Define Scope:</w:t>
      </w:r>
    </w:p>
    <w:p>
      <w:pPr>
        <w:numPr>
          <w:ilvl w:val="0"/>
          <w:numId w:val="1000"/>
        </w:numPr>
      </w:pPr>
      <w:r>
        <w:t xml:space="preserve">This initial step established the boundaries and parameters for the analysis:</w:t>
      </w:r>
    </w:p>
    <w:p>
      <w:pPr>
        <w:numPr>
          <w:ilvl w:val="1"/>
          <w:numId w:val="1002"/>
        </w:numPr>
        <w:pStyle w:val="Compact"/>
      </w:pPr>
      <w:r>
        <w:rPr>
          <w:bCs/>
          <w:b/>
        </w:rPr>
        <w:t xml:space="preserve">Functional Unit:</w:t>
      </w:r>
      <w:r>
        <w:t xml:space="preserve"> </w:t>
      </w:r>
      <w:r>
        <w:t xml:space="preserve">1.0 unit of zhzdjnsghq. This serves as the reference unit to which all inputs and outputs are related.</w:t>
      </w:r>
    </w:p>
    <w:p>
      <w:pPr>
        <w:numPr>
          <w:ilvl w:val="1"/>
          <w:numId w:val="1002"/>
        </w:numPr>
        <w:pStyle w:val="Compact"/>
      </w:pPr>
      <w:r>
        <w:rPr>
          <w:bCs/>
          <w:b/>
        </w:rPr>
        <w:t xml:space="preserve">System Boundary:</w:t>
      </w:r>
      <w:r>
        <w:t xml:space="preserve"> </w:t>
      </w:r>
      <w:r>
        <w:t xml:space="preserve">factory_gate, augmented with downstream transportation, use phase, and end-of-life. This means the analysis includes emissions from raw material acquisition, manufacturing at the factory gate, and further extends to cover the product\'s distribution, in-use energy consumption, and disposal/recycling.</w:t>
      </w:r>
    </w:p>
    <w:p>
      <w:pPr>
        <w:numPr>
          <w:ilvl w:val="1"/>
          <w:numId w:val="1002"/>
        </w:numPr>
        <w:pStyle w:val="Compact"/>
      </w:pPr>
      <w:r>
        <w:rPr>
          <w:bCs/>
          <w:b/>
        </w:rPr>
        <w:t xml:space="preserve">Geographic Scope:</w:t>
      </w:r>
      <w:r>
        <w:t xml:space="preserve"> </w:t>
      </w:r>
      <w:r>
        <w:t xml:space="preserve">Final Production Country: China, Supply Chain Focus: Europe Focused. This defines the regional context for emission factors and energy grids.</w:t>
      </w:r>
    </w:p>
    <w:p>
      <w:pPr>
        <w:numPr>
          <w:ilvl w:val="1"/>
          <w:numId w:val="1002"/>
        </w:numPr>
        <w:pStyle w:val="Compact"/>
      </w:pPr>
      <w:r>
        <w:rPr>
          <w:bCs/>
          <w:b/>
        </w:rPr>
        <w:t xml:space="preserve">Accounting Standard:</w:t>
      </w:r>
      <w:r>
        <w:t xml:space="preserve"> </w:t>
      </w:r>
      <w:r>
        <w:t xml:space="preserve">GHG Protocol. This ensures a globally recognized and consistent approach to GHG accounting.</w:t>
      </w:r>
    </w:p>
    <w:p>
      <w:pPr>
        <w:numPr>
          <w:ilvl w:val="1"/>
          <w:numId w:val="1002"/>
        </w:numPr>
        <w:pStyle w:val="Compact"/>
      </w:pPr>
      <w:r>
        <w:rPr>
          <w:bCs/>
          <w:b/>
        </w:rPr>
        <w:t xml:space="preserve">Allocation:</w:t>
      </w:r>
      <w:r>
        <w:t xml:space="preserve"> </w:t>
      </w:r>
      <w:r>
        <w:t xml:space="preserve">Emissions are allocated directly to the product unit based on mass and energy consumption where applicable. For shared processes, physical allocation (e.g., by mass or economic value) would typically be applied.</w:t>
      </w:r>
    </w:p>
    <w:p>
      <w:pPr>
        <w:numPr>
          <w:ilvl w:val="0"/>
          <w:numId w:val="1001"/>
        </w:numPr>
      </w:pPr>
      <w:r>
        <w:rPr>
          <w:bCs/>
          <w:b/>
        </w:rPr>
        <w:t xml:space="preserve">Map Lifecycle (LCI Inventory Stages):</w:t>
      </w:r>
    </w:p>
    <w:p>
      <w:pPr>
        <w:numPr>
          <w:ilvl w:val="0"/>
          <w:numId w:val="1000"/>
        </w:numPr>
      </w:pPr>
      <w:r>
        <w:t xml:space="preserve">The lifecycle of zhzdjnsghq was mapped into distinct stages to ensure comprehensive data collection and emission accounting:</w:t>
      </w:r>
    </w:p>
    <w:p>
      <w:pPr>
        <w:numPr>
          <w:ilvl w:val="1"/>
          <w:numId w:val="1003"/>
        </w:numPr>
        <w:pStyle w:val="Compact"/>
      </w:pPr>
      <w:r>
        <w:rPr>
          <w:bCs/>
          <w:b/>
        </w:rPr>
        <w:t xml:space="preserve">Materials Acquisition &amp; Processing (Upstream):</w:t>
      </w:r>
      <w:r>
        <w:t xml:space="preserve"> </w:t>
      </w:r>
      <w:r>
        <w:t xml:space="preserve">Extraction, processing, and refining of raw materials. This falls under Scope 3, Category 1 (Purchased Goods and Services).</w:t>
      </w:r>
    </w:p>
    <w:p>
      <w:pPr>
        <w:numPr>
          <w:ilvl w:val="1"/>
          <w:numId w:val="1003"/>
        </w:numPr>
        <w:pStyle w:val="Compact"/>
      </w:pPr>
      <w:r>
        <w:rPr>
          <w:bCs/>
          <w:b/>
        </w:rPr>
        <w:t xml:space="preserve">Manufacturing (Core Production):</w:t>
      </w:r>
      <w:r>
        <w:t xml:space="preserve"> </w:t>
      </w:r>
      <w:r>
        <w:t xml:space="preserve">Energy consumption, processes, and waste generation during the assembly and production of zhzdjnsghq in China. This includes Scope 1 (direct emissions) and Scope 2 (purchased electricity, heat, steam, or cooling), and Scope 3 emissions from supplier-related manufacturing.</w:t>
      </w:r>
    </w:p>
    <w:p>
      <w:pPr>
        <w:numPr>
          <w:ilvl w:val="1"/>
          <w:numId w:val="1003"/>
        </w:numPr>
        <w:pStyle w:val="Compact"/>
      </w:pPr>
      <w:r>
        <w:rPr>
          <w:bCs/>
          <w:b/>
        </w:rPr>
        <w:t xml:space="preserve">Transportation (Upstream &amp; Downstream):</w:t>
      </w:r>
      <w:r>
        <w:t xml:space="preserve"> </w:t>
      </w:r>
      <w:r>
        <w:t xml:space="preserve">Movement of raw materials to the manufacturing site (upstream) and distribution of the finished product to the market (downstream). This typically falls under Scope 3, Categories 4 (Upstream Transportation and Distribution) and 9 (Downstream Transportation and Distribution).</w:t>
      </w:r>
    </w:p>
    <w:p>
      <w:pPr>
        <w:numPr>
          <w:ilvl w:val="1"/>
          <w:numId w:val="1003"/>
        </w:numPr>
        <w:pStyle w:val="Compact"/>
      </w:pPr>
      <w:r>
        <w:rPr>
          <w:bCs/>
          <w:b/>
        </w:rPr>
        <w:t xml:space="preserve">Use Phase:</w:t>
      </w:r>
      <w:r>
        <w:t xml:space="preserve"> </w:t>
      </w:r>
      <w:r>
        <w:t xml:space="preserve">Energy consumption and any direct emissions associated with the product\'s operation over its lifespan. This is covered under Scope 3, Category 11 (Use of Sold Products).</w:t>
      </w:r>
    </w:p>
    <w:p>
      <w:pPr>
        <w:numPr>
          <w:ilvl w:val="1"/>
          <w:numId w:val="1003"/>
        </w:numPr>
        <w:pStyle w:val="Compact"/>
      </w:pPr>
      <w:r>
        <w:rPr>
          <w:bCs/>
          <w:b/>
        </w:rPr>
        <w:t xml:space="preserve">End-of-Life (EoL):</w:t>
      </w:r>
      <w:r>
        <w:t xml:space="preserve"> </w:t>
      </w:r>
      <w:r>
        <w:t xml:space="preserve">Disposal, recycling, or recovery processes at the end of the product\'s useful life. This is covered under Scope 3, Category 12 (End-of-Life Treatment of Sold Products).</w:t>
      </w:r>
    </w:p>
    <w:p>
      <w:pPr>
        <w:numPr>
          <w:ilvl w:val="0"/>
          <w:numId w:val="1001"/>
        </w:numPr>
      </w:pPr>
      <w:r>
        <w:rPr>
          <w:bCs/>
          <w:b/>
        </w:rPr>
        <w:t xml:space="preserve">Collect Data (Primary/Secondary data points):</w:t>
      </w:r>
    </w:p>
    <w:p>
      <w:pPr>
        <w:numPr>
          <w:ilvl w:val="0"/>
          <w:numId w:val="1000"/>
        </w:numPr>
      </w:pPr>
      <w:r>
        <w:t xml:space="preserve">Data was collected for each lifecycle stage, prioritizing primary (company-specific) data where available and supplementing with high-quality secondary (industry average) data from reputable databases (e.g., Ecoinvent, DEFRA).</w:t>
      </w:r>
    </w:p>
    <w:p>
      <w:pPr>
        <w:numPr>
          <w:ilvl w:val="0"/>
          <w:numId w:val="1000"/>
        </w:numPr>
      </w:pPr>
      <w:r>
        <w:rPr>
          <w:iCs/>
          <w:i/>
        </w:rPr>
        <w:t xml:space="preserve">Note: For the purpose of this report, specific parameter values were provided as placeholder strings. Illustrative data, based on industry averages and the provided parameter descriptions, has been generated to demonstrate the calculation methodology.</w:t>
      </w:r>
    </w:p>
    <w:p>
      <w:pPr>
        <w:numPr>
          <w:ilvl w:val="0"/>
          <w:numId w:val="1000"/>
        </w:numPr>
        <w:pStyle w:val="Heading4"/>
      </w:pPr>
      <w:bookmarkStart w:id="24" w:name="X97d34a4e107674f0f8b0dc154e6ab9cd84d5362"/>
      <w:r>
        <w:t xml:space="preserve">Detailed Bill of Materials (BOM) - Illustrative Data</w:t>
      </w:r>
      <w:bookmarkEnd w:id="24"/>
    </w:p>
    <w:p>
      <w:pPr>
        <w:numPr>
          <w:ilvl w:val="0"/>
          <w:numId w:val="1000"/>
        </w:numPr>
      </w:pPr>
      <w:r>
        <w:t xml:space="preserve">The provided BOM (</w:t>
      </w:r>
      <w:r>
        <w:rPr>
          <w:rStyle w:val="VerbatimChar"/>
        </w:rPr>
        <w:t xml:space="preserve">sqskxllo</w:t>
      </w:r>
      <w:r>
        <w:t xml:space="preserve">) is represented with illustrative material quantities and associated emission factors to calculate the material impact. The material impact is categorized under Scope 3, Category 1.</w:t>
      </w:r>
    </w:p>
    <w:tbl>
      <w:tblPr>
        <w:tblStyle w:val="Table"/>
        <w:tblW w:type="auto" w:w="0"/>
        <w:tblLook w:firstRow="1" w:lastRow="0" w:firstColumn="0" w:lastColumn="0" w:noHBand="0" w:noVBand="0" w:val="0020"/>
        <w:jc w:val="start"/>
        <w:tblInd w:w="720" w:type="dxa"/>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(kgCO₂e/kg)</w:t>
            </w:r>
          </w:p>
        </w:tc>
        <w:tc>
          <w:tcPr/>
          <w:p>
            <w:pPr>
              <w:pStyle w:val="Compact"/>
              <w:jc w:val="left"/>
            </w:pPr>
            <w:r>
              <w:t xml:space="preserve">Total Carbon (kgCO₂e)</w:t>
            </w:r>
          </w:p>
        </w:tc>
      </w:tr>
      <w:tr>
        <w:tc>
          <w:tcPr/>
          <w:p>
            <w:pPr>
              <w:pStyle w:val="Compact"/>
              <w:jc w:val="left"/>
            </w:pPr>
            <w:r>
              <w:t xml:space="preserve">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Extrusion/Machining</w:t>
            </w:r>
          </w:p>
        </w:tc>
        <w:tc>
          <w:tcPr/>
          <w:p>
            <w:pPr>
              <w:pStyle w:val="Compact"/>
              <w:jc w:val="left"/>
            </w:pPr>
            <w:r>
              <w:t xml:space="preserve">0.30</w:t>
            </w:r>
          </w:p>
        </w:tc>
        <w:tc>
          <w:tcPr/>
          <w:p>
            <w:pPr>
              <w:pStyle w:val="Compact"/>
              <w:jc w:val="left"/>
            </w:pPr>
            <w:r>
              <w:t xml:space="preserve">6.5</w:t>
            </w:r>
          </w:p>
        </w:tc>
        <w:tc>
          <w:tcPr/>
          <w:p>
            <w:pPr>
              <w:pStyle w:val="Compact"/>
              <w:jc w:val="left"/>
            </w:pPr>
            <w:r>
              <w:t xml:space="preserve">1.95</w:t>
            </w:r>
          </w:p>
        </w:tc>
      </w:tr>
      <w:tr>
        <w:tc>
          <w:tcPr/>
          <w:p>
            <w:pPr>
              <w:pStyle w:val="Compact"/>
              <w:jc w:val="left"/>
            </w:pPr>
            <w:r>
              <w:t xml:space="preserve">2</w:t>
            </w:r>
          </w:p>
        </w:tc>
        <w:tc>
          <w:tcPr/>
          <w:p>
            <w:pPr>
              <w:pStyle w:val="Compact"/>
              <w:jc w:val="left"/>
            </w:pPr>
            <w:r>
              <w:t xml:space="preserve">Recycled 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2.8</w:t>
            </w:r>
          </w:p>
        </w:tc>
        <w:tc>
          <w:tcPr/>
          <w:p>
            <w:pPr>
              <w:pStyle w:val="Compact"/>
              <w:jc w:val="left"/>
            </w:pPr>
            <w:r>
              <w:t xml:space="preserve">0.42</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18.0</w:t>
            </w:r>
          </w:p>
        </w:tc>
        <w:tc>
          <w:tcPr/>
          <w:p>
            <w:pPr>
              <w:pStyle w:val="Compact"/>
              <w:jc w:val="left"/>
            </w:pPr>
            <w:r>
              <w:t xml:space="preserve">1.44</w:t>
            </w:r>
          </w:p>
        </w:tc>
      </w:tr>
      <w:tr>
        <w:tc>
          <w:tcPr/>
          <w:p>
            <w:pPr>
              <w:pStyle w:val="Compact"/>
              <w:jc w:val="left"/>
            </w:pPr>
            <w:r>
              <w:t xml:space="preserve">4</w:t>
            </w:r>
          </w:p>
        </w:tc>
        <w:tc>
          <w:tcPr/>
          <w:p>
            <w:pPr>
              <w:pStyle w:val="Compact"/>
              <w:jc w:val="left"/>
            </w:pPr>
            <w:r>
              <w:t xml:space="preserve">Lithium-ion Battery Pack</w:t>
            </w:r>
          </w:p>
        </w:tc>
        <w:tc>
          <w:tcPr/>
          <w:p>
            <w:pPr>
              <w:pStyle w:val="Compact"/>
              <w:jc w:val="left"/>
            </w:pPr>
            <w:r>
              <w:t xml:space="preserve">Chemical/Electronic</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Glass Display Panel</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0.07</w:t>
            </w:r>
          </w:p>
        </w:tc>
        <w:tc>
          <w:tcPr/>
          <w:p>
            <w:pPr>
              <w:pStyle w:val="Compact"/>
              <w:jc w:val="left"/>
            </w:pPr>
            <w:r>
              <w:t xml:space="preserve">1.2</w:t>
            </w:r>
          </w:p>
        </w:tc>
        <w:tc>
          <w:tcPr/>
          <w:p>
            <w:pPr>
              <w:pStyle w:val="Compact"/>
              <w:jc w:val="left"/>
            </w:pPr>
            <w:r>
              <w:t xml:space="preserve">0.08</w:t>
            </w:r>
          </w:p>
        </w:tc>
      </w:tr>
    </w:tbl>
    <w:p>
      <w:pPr>
        <w:numPr>
          <w:ilvl w:val="0"/>
          <w:numId w:val="1000"/>
        </w:numPr>
        <w:pStyle w:val="Heading4"/>
      </w:pPr>
      <w:bookmarkStart w:id="25" w:name="logistics-data---illustrative-data"/>
      <w:r>
        <w:t xml:space="preserve">Logistics Data - Illustrative Data</w:t>
      </w:r>
      <w:bookmarkEnd w:id="25"/>
    </w:p>
    <w:p>
      <w:pPr>
        <w:numPr>
          <w:ilvl w:val="0"/>
          <w:numId w:val="1000"/>
        </w:numPr>
      </w:pPr>
      <w:r>
        <w:t xml:space="preserve">The specific logistics data (Transport Mode:</w:t>
      </w:r>
      <w:r>
        <w:t xml:space="preserve"> </w:t>
      </w:r>
      <w:r>
        <w:rPr>
          <w:rStyle w:val="VerbatimChar"/>
        </w:rPr>
        <w:t xml:space="preserve">Select Mode</w:t>
      </w:r>
      <w:r>
        <w:t xml:space="preserve">, Distance:</w:t>
      </w:r>
      <w:r>
        <w:t xml:space="preserve"> </w:t>
      </w:r>
      <w:r>
        <w:rPr>
          <w:rStyle w:val="VerbatimChar"/>
        </w:rPr>
        <w:t xml:space="preserve">vmpgxkormx</w:t>
      </w:r>
      <w:r>
        <w:t xml:space="preserve">, Last-Mile Delivery Channel:</w:t>
      </w:r>
      <w:r>
        <w:t xml:space="preserve"> </w:t>
      </w:r>
      <w:r>
        <w:rPr>
          <w:rStyle w:val="VerbatimChar"/>
        </w:rPr>
        <w:t xml:space="preserve">Delivery Type</w:t>
      </w:r>
      <w:r>
        <w:t xml:space="preserve">) are incorporated using typical modes and distances for a Europe-focused supply chain with final production in China.</w:t>
      </w:r>
    </w:p>
    <w:tbl>
      <w:tblPr>
        <w:tblStyle w:val="Table"/>
        <w:tblW w:type="auto" w:w="0"/>
        <w:tblLook w:firstRow="1" w:lastRow="0" w:firstColumn="0" w:lastColumn="0" w:noHBand="0" w:noVBand="0" w:val="0020"/>
        <w:jc w:val="start"/>
        <w:tblInd w:w="720" w:type="dxa"/>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Transport Mode (Illustrative)</w:t>
            </w:r>
          </w:p>
        </w:tc>
        <w:tc>
          <w:tcPr/>
          <w:p>
            <w:pPr>
              <w:pStyle w:val="Compact"/>
              <w:jc w:val="left"/>
            </w:pPr>
            <w:r>
              <w:t xml:space="preserve">Distance (Illustrative)</w:t>
            </w:r>
          </w:p>
        </w:tc>
        <w:tc>
          <w:tcPr/>
          <w:p>
            <w:pPr>
              <w:pStyle w:val="Compact"/>
              <w:jc w:val="left"/>
            </w:pPr>
            <w:r>
              <w:t xml:space="preserve">Product Weight (kg)</w:t>
            </w:r>
          </w:p>
        </w:tc>
        <w:tc>
          <w:tcPr/>
          <w:p>
            <w:pPr>
              <w:pStyle w:val="Compact"/>
              <w:jc w:val="left"/>
            </w:pPr>
            <w:r>
              <w:t xml:space="preserve">Emission Factor (kgCO₂e/tonne-km)</w:t>
            </w:r>
          </w:p>
        </w:tc>
        <w:tc>
          <w:tcPr/>
          <w:p>
            <w:pPr>
              <w:pStyle w:val="Compact"/>
              <w:jc w:val="left"/>
            </w:pPr>
            <w:r>
              <w:t xml:space="preserve">Total Carbon (kgCO₂e)</w:t>
            </w:r>
          </w:p>
        </w:tc>
      </w:tr>
      <w:tr>
        <w:tc>
          <w:tcPr/>
          <w:p>
            <w:pPr>
              <w:pStyle w:val="Compact"/>
              <w:jc w:val="left"/>
            </w:pPr>
            <w:r>
              <w:t xml:space="preserve">Upstream (Materials to China Factory)</w:t>
            </w:r>
          </w:p>
        </w:tc>
        <w:tc>
          <w:tcPr/>
          <w:p>
            <w:pPr>
              <w:pStyle w:val="Compact"/>
              <w:jc w:val="left"/>
            </w:pPr>
            <w:r>
              <w:t xml:space="preserve">Ocean Freight</w:t>
            </w:r>
          </w:p>
        </w:tc>
        <w:tc>
          <w:tcPr/>
          <w:p>
            <w:pPr>
              <w:pStyle w:val="Compact"/>
              <w:jc w:val="left"/>
            </w:pPr>
            <w:r>
              <w:t xml:space="preserve">10,000 km</w:t>
            </w:r>
          </w:p>
        </w:tc>
        <w:tc>
          <w:tcPr/>
          <w:p>
            <w:pPr>
              <w:pStyle w:val="Compact"/>
              <w:jc w:val="left"/>
            </w:pPr>
            <w:r>
              <w:t xml:space="preserve">0.65 (Total BOM weight)</w:t>
            </w:r>
          </w:p>
        </w:tc>
        <w:tc>
          <w:tcPr/>
          <w:p>
            <w:pPr>
              <w:pStyle w:val="Compact"/>
              <w:jc w:val="left"/>
            </w:pPr>
            <w:r>
              <w:t xml:space="preserve">0.016</w:t>
            </w:r>
          </w:p>
        </w:tc>
        <w:tc>
          <w:tcPr/>
          <w:p>
            <w:pPr>
              <w:pStyle w:val="Compact"/>
              <w:jc w:val="left"/>
            </w:pPr>
            <w:r>
              <w:t xml:space="preserve">104.00</w:t>
            </w:r>
          </w:p>
        </w:tc>
      </w:tr>
      <w:tr>
        <w:tc>
          <w:tcPr/>
          <w:p>
            <w:pPr>
              <w:pStyle w:val="Compact"/>
              <w:jc w:val="left"/>
            </w:pPr>
            <w:r>
              <w:t xml:space="preserve">Downstream (China Factory to European Distribution)</w:t>
            </w:r>
          </w:p>
        </w:tc>
        <w:tc>
          <w:tcPr/>
          <w:p>
            <w:pPr>
              <w:pStyle w:val="Compact"/>
              <w:jc w:val="left"/>
            </w:pPr>
            <w:r>
              <w:t xml:space="preserve">Ocean Freight</w:t>
            </w:r>
          </w:p>
        </w:tc>
        <w:tc>
          <w:tcPr/>
          <w:p>
            <w:pPr>
              <w:pStyle w:val="Compact"/>
              <w:jc w:val="left"/>
            </w:pPr>
            <w:r>
              <w:t xml:space="preserve">10,000 km</w:t>
            </w:r>
          </w:p>
        </w:tc>
        <w:tc>
          <w:tcPr/>
          <w:p>
            <w:pPr>
              <w:pStyle w:val="Compact"/>
              <w:jc w:val="left"/>
            </w:pPr>
            <w:r>
              <w:t xml:space="preserve">0.65 (Final Product)</w:t>
            </w:r>
          </w:p>
        </w:tc>
        <w:tc>
          <w:tcPr/>
          <w:p>
            <w:pPr>
              <w:pStyle w:val="Compact"/>
              <w:jc w:val="left"/>
            </w:pPr>
            <w:r>
              <w:t xml:space="preserve">0.016</w:t>
            </w:r>
          </w:p>
        </w:tc>
        <w:tc>
          <w:tcPr/>
          <w:p>
            <w:pPr>
              <w:pStyle w:val="Compact"/>
              <w:jc w:val="left"/>
            </w:pPr>
            <w:r>
              <w:t xml:space="preserve">104.00</w:t>
            </w:r>
          </w:p>
        </w:tc>
      </w:tr>
      <w:tr>
        <w:tc>
          <w:tcPr/>
          <w:p>
            <w:pPr>
              <w:pStyle w:val="Compact"/>
              <w:jc w:val="left"/>
            </w:pPr>
            <w:r>
              <w:t xml:space="preserve">Last-Mile Delivery (European Distribution to Customer)</w:t>
            </w:r>
          </w:p>
        </w:tc>
        <w:tc>
          <w:tcPr/>
          <w:p>
            <w:pPr>
              <w:pStyle w:val="Compact"/>
              <w:jc w:val="left"/>
            </w:pPr>
            <w:r>
              <w:t xml:space="preserve">Road Transport (HGV)</w:t>
            </w:r>
          </w:p>
        </w:tc>
        <w:tc>
          <w:tcPr/>
          <w:p>
            <w:pPr>
              <w:pStyle w:val="Compact"/>
              <w:jc w:val="left"/>
            </w:pPr>
            <w:r>
              <w:t xml:space="preserve">500 km</w:t>
            </w:r>
          </w:p>
        </w:tc>
        <w:tc>
          <w:tcPr/>
          <w:p>
            <w:pPr>
              <w:pStyle w:val="Compact"/>
              <w:jc w:val="left"/>
            </w:pPr>
            <w:r>
              <w:t xml:space="preserve">0.65 (Final Product)</w:t>
            </w:r>
          </w:p>
        </w:tc>
        <w:tc>
          <w:tcPr/>
          <w:p>
            <w:pPr>
              <w:pStyle w:val="Compact"/>
              <w:jc w:val="left"/>
            </w:pPr>
            <w:r>
              <w:t xml:space="preserve">0.090</w:t>
            </w:r>
          </w:p>
        </w:tc>
        <w:tc>
          <w:tcPr/>
          <w:p>
            <w:pPr>
              <w:pStyle w:val="Compact"/>
              <w:jc w:val="left"/>
            </w:pPr>
            <w:r>
              <w:t xml:space="preserve">29.25</w:t>
            </w:r>
          </w:p>
        </w:tc>
      </w:tr>
    </w:tbl>
    <w:p>
      <w:pPr>
        <w:numPr>
          <w:ilvl w:val="0"/>
          <w:numId w:val="1000"/>
        </w:numPr>
      </w:pPr>
      <w:r>
        <w:rPr>
          <w:iCs/>
          <w:i/>
        </w:rPr>
        <w:t xml:space="preserve">Note: The total carbon for transport stages considers the product weight in tonnes * distance in km * emission factor. For ocean freight, a factor of 0.016 kgCO₂e/tonne-km (DEFRA 2025 data for container ships) is used. For road transport, an illustrative factor of 0.090 kgCO₂e/tonne-km for HGV is used.</w:t>
      </w:r>
    </w:p>
    <w:p>
      <w:pPr>
        <w:numPr>
          <w:ilvl w:val="0"/>
          <w:numId w:val="1000"/>
        </w:numPr>
        <w:pStyle w:val="Heading4"/>
      </w:pPr>
      <w:bookmarkStart w:id="26" w:name="X365468b5a747da41bfd2bdbaf59ba9e2559bceb"/>
      <w:r>
        <w:t xml:space="preserve">Energy &amp; Use Phase Data - Illustrative Data</w:t>
      </w:r>
      <w:bookmarkEnd w:id="26"/>
    </w:p>
    <w:p>
      <w:pPr>
        <w:numPr>
          <w:ilvl w:val="0"/>
          <w:numId w:val="1000"/>
        </w:numPr>
      </w:pPr>
      <w:r>
        <w:t xml:space="preserve">The provided energy customization data (Renewable Usage:</w:t>
      </w:r>
      <w:r>
        <w:t xml:space="preserve"> </w:t>
      </w:r>
      <w:r>
        <w:rPr>
          <w:rStyle w:val="VerbatimChar"/>
        </w:rPr>
        <w:t xml:space="preserve">wohgtkyhsg</w:t>
      </w:r>
      <w:r>
        <w:t xml:space="preserve">, Energy Intensity:</w:t>
      </w:r>
      <w:r>
        <w:t xml:space="preserve"> </w:t>
      </w:r>
      <w:r>
        <w:rPr>
          <w:rStyle w:val="VerbatimChar"/>
        </w:rPr>
        <w:t xml:space="preserve">ytulsdimdz</w:t>
      </w:r>
      <w:r>
        <w:t xml:space="preserve">) and use phase data (Lifespan:</w:t>
      </w:r>
      <w:r>
        <w:t xml:space="preserve"> </w:t>
      </w:r>
      <w:r>
        <w:rPr>
          <w:rStyle w:val="VerbatimChar"/>
        </w:rPr>
        <w:t xml:space="preserve">ejhotgjmef</w:t>
      </w:r>
      <w:r>
        <w:t xml:space="preserve">, Energy in Use:</w:t>
      </w:r>
      <w:r>
        <w:t xml:space="preserve"> </w:t>
      </w:r>
      <w:r>
        <w:rPr>
          <w:rStyle w:val="VerbatimChar"/>
        </w:rPr>
        <w:t xml:space="preserve">lgsudfelsj</w:t>
      </w:r>
      <w:r>
        <w:t xml:space="preserve">) are used illustratively.</w:t>
      </w:r>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Details</w:t>
            </w:r>
          </w:p>
        </w:tc>
      </w:tr>
      <w:tr>
        <w:tc>
          <w:tcPr/>
          <w:p>
            <w:pPr>
              <w:pStyle w:val="Compact"/>
              <w:jc w:val="left"/>
            </w:pPr>
            <w:r>
              <w:t xml:space="preserve">Renewable Energy Usage</w:t>
            </w:r>
          </w:p>
        </w:tc>
        <w:tc>
          <w:tcPr/>
          <w:p>
            <w:pPr>
              <w:pStyle w:val="Compact"/>
              <w:jc w:val="left"/>
            </w:pPr>
            <w:r>
              <w:t xml:space="preserve">50%</w:t>
            </w:r>
          </w:p>
        </w:tc>
        <w:tc>
          <w:tcPr/>
          <w:p>
            <w:pPr>
              <w:pStyle w:val="Compact"/>
              <w:jc w:val="left"/>
            </w:pPr>
            <w:r>
              <w:t xml:space="preserve">Portion of electricity from renewable sources at the manufacturing site.</w:t>
            </w:r>
          </w:p>
        </w:tc>
      </w:tr>
      <w:tr>
        <w:tc>
          <w:tcPr/>
          <w:p>
            <w:pPr>
              <w:pStyle w:val="Compact"/>
              <w:jc w:val="left"/>
            </w:pPr>
            <w:r>
              <w:t xml:space="preserve">Energy Intensity (kWh/unit)</w:t>
            </w:r>
          </w:p>
        </w:tc>
        <w:tc>
          <w:tcPr/>
          <w:p>
            <w:pPr>
              <w:pStyle w:val="Compact"/>
              <w:jc w:val="left"/>
            </w:pPr>
            <w:r>
              <w:t xml:space="preserve">20 kWh/unit</w:t>
            </w:r>
          </w:p>
        </w:tc>
        <w:tc>
          <w:tcPr/>
          <w:p>
            <w:pPr>
              <w:pStyle w:val="Compact"/>
              <w:jc w:val="left"/>
            </w:pPr>
            <w:r>
              <w:t xml:space="preserve">Total electricity consumed per unit during manufacturing. (Electronics manufacturing is highly energy intensive, with products like smartphones requiring ~85 kWh and data loggers 15-25 kWh per unit in production.)</w:t>
            </w:r>
          </w:p>
        </w:tc>
      </w:tr>
      <w:tr>
        <w:tc>
          <w:tcPr/>
          <w:p>
            <w:pPr>
              <w:pStyle w:val="Compact"/>
              <w:jc w:val="left"/>
            </w:pPr>
            <w:r>
              <w:t xml:space="preserve">Product Lifespan</w:t>
            </w:r>
          </w:p>
        </w:tc>
        <w:tc>
          <w:tcPr/>
          <w:p>
            <w:pPr>
              <w:pStyle w:val="Compact"/>
              <w:jc w:val="left"/>
            </w:pPr>
            <w:r>
              <w:t xml:space="preserve">3 years</w:t>
            </w:r>
          </w:p>
        </w:tc>
        <w:tc>
          <w:tcPr/>
          <w:p>
            <w:pPr>
              <w:pStyle w:val="Compact"/>
              <w:jc w:val="left"/>
            </w:pPr>
            <w:r>
              <w:t xml:space="preserve">Expected functional life of the product.</w:t>
            </w:r>
          </w:p>
        </w:tc>
      </w:tr>
      <w:tr>
        <w:tc>
          <w:tcPr/>
          <w:p>
            <w:pPr>
              <w:pStyle w:val="Compact"/>
              <w:jc w:val="left"/>
            </w:pPr>
            <w:r>
              <w:t xml:space="preserve">Energy Consumption in Use</w:t>
            </w:r>
          </w:p>
        </w:tc>
        <w:tc>
          <w:tcPr/>
          <w:p>
            <w:pPr>
              <w:pStyle w:val="Compact"/>
              <w:jc w:val="left"/>
            </w:pPr>
            <w:r>
              <w:t xml:space="preserve">10 kWh/year</w:t>
            </w:r>
          </w:p>
        </w:tc>
        <w:tc>
          <w:tcPr/>
          <w:p>
            <w:pPr>
              <w:pStyle w:val="Compact"/>
              <w:jc w:val="left"/>
            </w:pPr>
            <w:r>
              <w:t xml:space="preserve">Average annual electricity consumption during the use phase.</w:t>
            </w:r>
          </w:p>
        </w:tc>
      </w:tr>
    </w:tbl>
    <w:p>
      <w:pPr>
        <w:numPr>
          <w:ilvl w:val="0"/>
          <w:numId w:val="1000"/>
        </w:numPr>
        <w:pStyle w:val="Heading4"/>
      </w:pPr>
      <w:bookmarkStart w:id="27" w:name="X7abd417dfe3b379588f867e08290dad5a18d10a"/>
      <w:r>
        <w:t xml:space="preserve">End-of-Life (EoL) Scenarios - Illustrative Data</w:t>
      </w:r>
      <w:bookmarkEnd w:id="27"/>
    </w:p>
    <w:p>
      <w:pPr>
        <w:numPr>
          <w:ilvl w:val="0"/>
          <w:numId w:val="1000"/>
        </w:numPr>
      </w:pPr>
      <w:r>
        <w:t xml:space="preserve">The EoL scenarios (Recyclability:</w:t>
      </w:r>
      <w:r>
        <w:t xml:space="preserve"> </w:t>
      </w:r>
      <w:r>
        <w:rPr>
          <w:rStyle w:val="VerbatimChar"/>
        </w:rPr>
        <w:t xml:space="preserve">smidkuldnh</w:t>
      </w:r>
      <w:r>
        <w:t xml:space="preserve">, Circular Programs:</w:t>
      </w:r>
      <w:r>
        <w:t xml:space="preserve"> </w:t>
      </w:r>
      <w:r>
        <w:rPr>
          <w:rStyle w:val="VerbatimChar"/>
        </w:rPr>
        <w:t xml:space="preserve">gxmodjomom</w:t>
      </w:r>
      <w:r>
        <w:t xml:space="preserve">) are incorporated to reflect circular economy impacts.</w:t>
      </w:r>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Details</w:t>
            </w:r>
          </w:p>
        </w:tc>
      </w:tr>
      <w:tr>
        <w:tc>
          <w:tcPr/>
          <w:p>
            <w:pPr>
              <w:pStyle w:val="Compact"/>
              <w:jc w:val="left"/>
            </w:pPr>
            <w:r>
              <w:t xml:space="preserve">Recyclability Percentage</w:t>
            </w:r>
          </w:p>
        </w:tc>
        <w:tc>
          <w:tcPr/>
          <w:p>
            <w:pPr>
              <w:pStyle w:val="Compact"/>
              <w:jc w:val="left"/>
            </w:pPr>
            <w:r>
              <w:t xml:space="preserve">70%</w:t>
            </w:r>
          </w:p>
        </w:tc>
        <w:tc>
          <w:tcPr/>
          <w:p>
            <w:pPr>
              <w:pStyle w:val="Compact"/>
              <w:jc w:val="left"/>
            </w:pPr>
            <w:r>
              <w:t xml:space="preserve">Percentage of the product\'s mass that is recyclable.</w:t>
            </w:r>
          </w:p>
        </w:tc>
      </w:tr>
      <w:tr>
        <w:tc>
          <w:tcPr/>
          <w:p>
            <w:pPr>
              <w:pStyle w:val="Compact"/>
              <w:jc w:val="left"/>
            </w:pPr>
            <w:r>
              <w:t xml:space="preserve">Circular/Take-back Programs</w:t>
            </w:r>
          </w:p>
        </w:tc>
        <w:tc>
          <w:tcPr/>
          <w:p>
            <w:pPr>
              <w:pStyle w:val="Compact"/>
              <w:jc w:val="left"/>
            </w:pPr>
            <w:r>
              <w:t xml:space="preserve">Yes</w:t>
            </w:r>
          </w:p>
        </w:tc>
        <w:tc>
          <w:tcPr/>
          <w:p>
            <w:pPr>
              <w:pStyle w:val="Compact"/>
              <w:jc w:val="left"/>
            </w:pPr>
            <w:r>
              <w:t xml:space="preserve">Presence of programs for product return and recycling.</w:t>
            </w:r>
          </w:p>
        </w:tc>
      </w:tr>
    </w:tbl>
    <w:p>
      <w:pPr>
        <w:numPr>
          <w:ilvl w:val="0"/>
          <w:numId w:val="1000"/>
        </w:numPr>
        <w:pStyle w:val="Heading4"/>
      </w:pPr>
      <w:bookmarkStart w:id="28" w:name="X3e86523097a93040674c3e4c084e9d11414f794"/>
      <w:r>
        <w:t xml:space="preserve">Illustrative Emission Factors Used (General &amp; Background Data)</w:t>
      </w:r>
      <w:bookmarkEnd w:id="28"/>
    </w:p>
    <w:p>
      <w:pPr>
        <w:numPr>
          <w:ilvl w:val="0"/>
          <w:numId w:val="1000"/>
        </w:numPr>
      </w:pPr>
      <w:r>
        <w:t xml:space="preserve">Industry-standard emission factors are crucial for converting activity data into CO₂e. The following are illustrative factors based on general industry data and search results (e.g., from DEFRA, Ecoinvent, or similar databases).</w:t>
      </w:r>
    </w:p>
    <w:tbl>
      <w:tblPr>
        <w:tblStyle w:val="Table"/>
        <w:tblW w:type="auto" w:w="0"/>
        <w:tblLook w:firstRow="1" w:lastRow="0" w:firstColumn="0" w:lastColumn="0" w:noHBand="0" w:noVBand="0" w:val="0020"/>
        <w:jc w:val="start"/>
        <w:tblInd w:w="720" w:type="dxa"/>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Emission Factor (kgCO₂e/unit)</w:t>
            </w:r>
          </w:p>
        </w:tc>
        <w:tc>
          <w:tcPr/>
          <w:p>
            <w:pPr>
              <w:pStyle w:val="Compact"/>
              <w:jc w:val="left"/>
            </w:pPr>
            <w:r>
              <w:t xml:space="preserve">Source (Illustrative)</w:t>
            </w:r>
          </w:p>
        </w:tc>
        <w:tc>
          <w:tcPr/>
          <w:p>
            <w:pPr>
              <w:pStyle w:val="Compact"/>
              <w:jc w:val="left"/>
            </w:pPr>
            <w:r>
              <w:t xml:space="preserve">Notes</w:t>
            </w:r>
          </w:p>
        </w:tc>
      </w:tr>
      <w:tr>
        <w:tc>
          <w:tcPr/>
          <w:p>
            <w:pPr>
              <w:pStyle w:val="Compact"/>
              <w:jc w:val="left"/>
            </w:pPr>
            <w:r>
              <w:t xml:space="preserve">Grid Electricity (China)</w:t>
            </w:r>
          </w:p>
        </w:tc>
        <w:tc>
          <w:tcPr/>
          <w:p>
            <w:pPr>
              <w:pStyle w:val="Compact"/>
              <w:jc w:val="left"/>
            </w:pPr>
            <w:r>
              <w:t xml:space="preserve">0.65 kgCO₂e/kWh</w:t>
            </w:r>
          </w:p>
        </w:tc>
        <w:tc>
          <w:tcPr/>
          <w:p>
            <w:pPr>
              <w:pStyle w:val="Compact"/>
              <w:jc w:val="left"/>
            </w:pPr>
            <w:r>
              <w:t xml:space="preserve">IEA (Illustrative)</w:t>
            </w:r>
          </w:p>
        </w:tc>
        <w:tc>
          <w:tcPr/>
          <w:p>
            <w:pPr>
              <w:pStyle w:val="Compact"/>
              <w:jc w:val="left"/>
            </w:pPr>
            <w:r>
              <w:t xml:space="preserve">Average for electricity generation in China.</w:t>
            </w:r>
          </w:p>
        </w:tc>
      </w:tr>
      <w:tr>
        <w:tc>
          <w:tcPr/>
          <w:p>
            <w:pPr>
              <w:pStyle w:val="Compact"/>
              <w:jc w:val="left"/>
            </w:pPr>
            <w:r>
              <w:t xml:space="preserve">Renewable Electricity</w:t>
            </w:r>
          </w:p>
        </w:tc>
        <w:tc>
          <w:tcPr/>
          <w:p>
            <w:pPr>
              <w:pStyle w:val="Compact"/>
              <w:jc w:val="left"/>
            </w:pPr>
            <w:r>
              <w:t xml:space="preserve">0.01 kgCO₂e/kWh</w:t>
            </w:r>
          </w:p>
        </w:tc>
        <w:tc>
          <w:tcPr/>
          <w:p>
            <w:pPr>
              <w:pStyle w:val="Compact"/>
              <w:jc w:val="left"/>
            </w:pPr>
            <w:r>
              <w:t xml:space="preserve">Ecoinvent (Illustrative)</w:t>
            </w:r>
          </w:p>
        </w:tc>
        <w:tc>
          <w:tcPr/>
          <w:p>
            <w:pPr>
              <w:pStyle w:val="Compact"/>
              <w:jc w:val="left"/>
            </w:pPr>
            <w:r>
              <w:t xml:space="preserve">Residual emissions for renewable generation.</w:t>
            </w:r>
          </w:p>
        </w:tc>
      </w:tr>
      <w:tr>
        <w:tc>
          <w:tcPr/>
          <w:p>
            <w:pPr>
              <w:pStyle w:val="Compact"/>
              <w:jc w:val="left"/>
            </w:pPr>
            <w:r>
              <w:t xml:space="preserve">Recycling (avoided emissions)</w:t>
            </w:r>
          </w:p>
        </w:tc>
        <w:tc>
          <w:tcPr/>
          <w:p>
            <w:pPr>
              <w:pStyle w:val="Compact"/>
              <w:jc w:val="left"/>
            </w:pPr>
            <w:r>
              <w:t xml:space="preserve">-0.5 kgCO₂e/kg</w:t>
            </w:r>
          </w:p>
        </w:tc>
        <w:tc>
          <w:tcPr/>
          <w:p>
            <w:pPr>
              <w:pStyle w:val="Compact"/>
              <w:jc w:val="left"/>
            </w:pPr>
            <w:r>
              <w:t xml:space="preserve">EPA WARM (Illustrative)</w:t>
            </w:r>
          </w:p>
        </w:tc>
        <w:tc>
          <w:tcPr/>
          <w:p>
            <w:pPr>
              <w:pStyle w:val="Compact"/>
              <w:jc w:val="left"/>
            </w:pPr>
            <w:r>
              <w:t xml:space="preserve">Avoided emissions by replacing virgin materials. (Recycling electronics leads to greater reductions in emissions compared to landfilling or combustion). An illustrative factor of -0.5 kgCO2e/kg is a simplified representation of avoided emissions due to recycling various components. For paper, for instance, recycling can have a factor of 0.02 kgCO2e/kg compared to 1.2 kgCO2e/kg for landfill.</w:t>
            </w:r>
          </w:p>
        </w:tc>
      </w:tr>
      <w:tr>
        <w:tc>
          <w:tcPr/>
          <w:p>
            <w:pPr>
              <w:pStyle w:val="Compact"/>
              <w:jc w:val="left"/>
            </w:pPr>
            <w:r>
              <w:t xml:space="preserve">Landfill (electronics waste)</w:t>
            </w:r>
          </w:p>
        </w:tc>
        <w:tc>
          <w:tcPr/>
          <w:p>
            <w:pPr>
              <w:pStyle w:val="Compact"/>
              <w:jc w:val="left"/>
            </w:pPr>
            <w:r>
              <w:t xml:space="preserve">0.05 kgCO₂e/kg</w:t>
            </w:r>
          </w:p>
        </w:tc>
        <w:tc>
          <w:tcPr/>
          <w:p>
            <w:pPr>
              <w:pStyle w:val="Compact"/>
              <w:jc w:val="left"/>
            </w:pPr>
            <w:r>
              <w:t xml:space="preserve">EPA WARM (Illustrative)</w:t>
            </w:r>
          </w:p>
        </w:tc>
        <w:tc>
          <w:tcPr/>
          <w:p>
            <w:pPr>
              <w:pStyle w:val="Compact"/>
              <w:jc w:val="left"/>
            </w:pPr>
            <w:r>
              <w:t xml:space="preserve">Emissions from landfill operations.</w:t>
            </w:r>
          </w:p>
        </w:tc>
      </w:tr>
    </w:tbl>
    <w:p>
      <w:pPr>
        <w:numPr>
          <w:ilvl w:val="0"/>
          <w:numId w:val="1001"/>
        </w:numPr>
      </w:pPr>
      <w:r>
        <w:rPr>
          <w:bCs/>
          <w:b/>
        </w:rPr>
        <w:t xml:space="preserve">Calculate Emissions (Activity * Emission Factor = CO₂e):</w:t>
      </w:r>
    </w:p>
    <w:p>
      <w:pPr>
        <w:numPr>
          <w:ilvl w:val="0"/>
          <w:numId w:val="1000"/>
        </w:numPr>
      </w:pPr>
      <w:r>
        <w:t xml:space="preserve">Emissions were calculated for each stage by multiplying activity data by the relevant emission factors. Total emissions were then categorized according to GHG Protocol Scopes.</w:t>
      </w:r>
    </w:p>
    <w:p>
      <w:pPr>
        <w:numPr>
          <w:ilvl w:val="0"/>
          <w:numId w:val="1000"/>
        </w:numPr>
        <w:pStyle w:val="Heading4"/>
      </w:pPr>
      <w:bookmarkStart w:id="29" w:name="Xb51277f2a1932e2bbd3c31e4d61c878c68814d5"/>
      <w:r>
        <w:t xml:space="preserve">Scope Categorization &amp; Total Emissions (Illustrative)</w:t>
      </w:r>
      <w:bookmarkEnd w:id="29"/>
    </w:p>
    <w:tbl>
      <w:tblPr>
        <w:tblStyle w:val="Table"/>
        <w:tblW w:type="auto" w:w="0"/>
        <w:tblLook w:firstRow="1" w:lastRow="0" w:firstColumn="0" w:lastColumn="0" w:noHBand="0" w:noVBand="0" w:val="0020"/>
        <w:jc w:val="start"/>
        <w:tblInd w:w="720" w:type="dxa"/>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Illustrative Emissions (kgCO₂e)</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Direct emissions from owned or controlled sources (e.g., on-site fuel combustion). For this "factory_gate" boundary, direct emissions from manufacturing.</w:t>
            </w:r>
          </w:p>
        </w:tc>
        <w:tc>
          <w:tcPr/>
          <w:p>
            <w:pPr>
              <w:pStyle w:val="Compact"/>
              <w:jc w:val="left"/>
            </w:pPr>
            <w:r>
              <w:t xml:space="preserve">0.10</w:t>
            </w:r>
          </w:p>
        </w:tc>
      </w:tr>
      <w:tr>
        <w:tc>
          <w:tcPr/>
          <w:p>
            <w:pPr>
              <w:pStyle w:val="Compact"/>
              <w:jc w:val="left"/>
            </w:pPr>
            <w:r>
              <w:rPr>
                <w:bCs/>
                <w:b/>
              </w:rPr>
              <w:t xml:space="preserve">Scope 2</w:t>
            </w:r>
          </w:p>
        </w:tc>
        <w:tc>
          <w:tcPr/>
          <w:p>
            <w:pPr>
              <w:pStyle w:val="Compact"/>
              <w:jc w:val="left"/>
            </w:pPr>
            <w:r>
              <w:t xml:space="preserve">Energy Indirect Emissions</w:t>
            </w:r>
          </w:p>
        </w:tc>
        <w:tc>
          <w:tcPr/>
          <w:p>
            <w:pPr>
              <w:pStyle w:val="Compact"/>
              <w:jc w:val="left"/>
            </w:pPr>
            <w:r>
              <w:t xml:space="preserve">Emissions from the generation of purchased electricity, steam, heating, and cooling consumed by the company.</w:t>
            </w:r>
          </w:p>
        </w:tc>
        <w:tc>
          <w:tcPr/>
          <w:p>
            <w:pPr>
              <w:pStyle w:val="Compact"/>
              <w:jc w:val="left"/>
            </w:pPr>
            <w:r>
              <w:t xml:space="preserve">6.50</w:t>
            </w:r>
          </w:p>
        </w:tc>
      </w:tr>
      <w:tr>
        <w:tc>
          <w:tcPr/>
          <w:p>
            <w:pPr>
              <w:pStyle w:val="Compact"/>
              <w:jc w:val="left"/>
            </w:pPr>
            <w:r>
              <w:rPr>
                <w:bCs/>
                <w:b/>
              </w:rPr>
              <w:t xml:space="preserve">Scope 3</w:t>
            </w:r>
          </w:p>
        </w:tc>
        <w:tc>
          <w:tcPr/>
          <w:p>
            <w:pPr>
              <w:pStyle w:val="Compact"/>
              <w:jc w:val="left"/>
            </w:pPr>
            <w:r>
              <w:t xml:space="preserve">Value Chain Emissions</w:t>
            </w:r>
          </w:p>
        </w:tc>
        <w:tc>
          <w:tcPr/>
          <w:p>
            <w:pPr>
              <w:pStyle w:val="Compact"/>
              <w:jc w:val="left"/>
            </w:pPr>
            <w:r>
              <w:t xml:space="preserve">All other indirect emissions that occur in the company\'s value chain.</w:t>
            </w:r>
          </w:p>
        </w:tc>
        <w:tc>
          <w:tcPr/>
          <w:p>
            <w:pPr>
              <w:pStyle w:val="Compact"/>
              <w:jc w:val="left"/>
            </w:pPr>
            <w:r>
              <w:t xml:space="preserve">286.05</w:t>
            </w:r>
          </w:p>
        </w:tc>
      </w:tr>
      <w:tr>
        <w:tc>
          <w:tcPr/>
          <w:p>
            <w:pPr>
              <w:pStyle w:val="Compact"/>
              <w:jc w:val="left"/>
            </w:pPr>
            <w:r>
              <w:t xml:space="preserve"> </w:t>
            </w:r>
          </w:p>
        </w:tc>
        <w:tc>
          <w:tcPr/>
          <w:p>
            <w:pPr>
              <w:pStyle w:val="Compact"/>
              <w:jc w:val="left"/>
            </w:pPr>
            <w:r>
              <w:rPr>
                <w:iCs/>
                <w:i/>
              </w:rPr>
              <w:t xml:space="preserve">(Category 1) Purchased Goods and Services</w:t>
            </w:r>
          </w:p>
        </w:tc>
        <w:tc>
          <w:tcPr/>
          <w:p>
            <w:pPr>
              <w:pStyle w:val="Compact"/>
              <w:jc w:val="left"/>
            </w:pPr>
            <w:r>
              <w:t xml:space="preserve">Emissions from raw material production.</w:t>
            </w:r>
          </w:p>
        </w:tc>
        <w:tc>
          <w:tcPr/>
          <w:p>
            <w:pPr>
              <w:pStyle w:val="Compact"/>
              <w:jc w:val="left"/>
            </w:pPr>
            <w:r>
              <w:rPr>
                <w:iCs/>
                <w:i/>
              </w:rPr>
              <w:t xml:space="preserve">4.89</w:t>
            </w:r>
          </w:p>
        </w:tc>
      </w:tr>
      <w:tr>
        <w:tc>
          <w:tcPr/>
          <w:p>
            <w:pPr>
              <w:pStyle w:val="Compact"/>
              <w:jc w:val="left"/>
            </w:pPr>
            <w:r>
              <w:t xml:space="preserve"> </w:t>
            </w:r>
          </w:p>
        </w:tc>
        <w:tc>
          <w:tcPr/>
          <w:p>
            <w:pPr>
              <w:pStyle w:val="Compact"/>
              <w:jc w:val="left"/>
            </w:pPr>
            <w:r>
              <w:rPr>
                <w:iCs/>
                <w:i/>
              </w:rPr>
              <w:t xml:space="preserve">(Category 4) Upstream Transportation and Distribution</w:t>
            </w:r>
          </w:p>
        </w:tc>
        <w:tc>
          <w:tcPr/>
          <w:p>
            <w:pPr>
              <w:pStyle w:val="Compact"/>
              <w:jc w:val="left"/>
            </w:pPr>
            <w:r>
              <w:t xml:space="preserve">Emissions from transport of materials to factory.</w:t>
            </w:r>
          </w:p>
        </w:tc>
        <w:tc>
          <w:tcPr/>
          <w:p>
            <w:pPr>
              <w:pStyle w:val="Compact"/>
              <w:jc w:val="left"/>
            </w:pPr>
            <w:r>
              <w:rPr>
                <w:iCs/>
                <w:i/>
              </w:rPr>
              <w:t xml:space="preserve">104.00</w:t>
            </w:r>
          </w:p>
        </w:tc>
      </w:tr>
      <w:tr>
        <w:tc>
          <w:tcPr/>
          <w:p>
            <w:pPr>
              <w:pStyle w:val="Compact"/>
              <w:jc w:val="left"/>
            </w:pPr>
            <w:r>
              <w:t xml:space="preserve"> </w:t>
            </w:r>
          </w:p>
        </w:tc>
        <w:tc>
          <w:tcPr/>
          <w:p>
            <w:pPr>
              <w:pStyle w:val="Compact"/>
              <w:jc w:val="left"/>
            </w:pPr>
            <w:r>
              <w:rPr>
                <w:iCs/>
                <w:i/>
              </w:rPr>
              <w:t xml:space="preserve">(Category 9) Downstream Transportation and Distribution</w:t>
            </w:r>
          </w:p>
        </w:tc>
        <w:tc>
          <w:tcPr/>
          <w:p>
            <w:pPr>
              <w:pStyle w:val="Compact"/>
              <w:jc w:val="left"/>
            </w:pPr>
            <w:r>
              <w:t xml:space="preserve">Emissions from transport of finished product to customer.</w:t>
            </w:r>
          </w:p>
        </w:tc>
        <w:tc>
          <w:tcPr/>
          <w:p>
            <w:pPr>
              <w:pStyle w:val="Compact"/>
              <w:jc w:val="left"/>
            </w:pPr>
            <w:r>
              <w:rPr>
                <w:iCs/>
                <w:i/>
              </w:rPr>
              <w:t xml:space="preserve">133.25</w:t>
            </w:r>
          </w:p>
        </w:tc>
      </w:tr>
      <w:tr>
        <w:tc>
          <w:tcPr/>
          <w:p>
            <w:pPr>
              <w:pStyle w:val="Compact"/>
              <w:jc w:val="left"/>
            </w:pPr>
            <w:r>
              <w:t xml:space="preserve"> </w:t>
            </w:r>
          </w:p>
        </w:tc>
        <w:tc>
          <w:tcPr/>
          <w:p>
            <w:pPr>
              <w:pStyle w:val="Compact"/>
              <w:jc w:val="left"/>
            </w:pPr>
            <w:r>
              <w:rPr>
                <w:iCs/>
                <w:i/>
              </w:rPr>
              <w:t xml:space="preserve">(Category 11) Use of Sold Products</w:t>
            </w:r>
          </w:p>
        </w:tc>
        <w:tc>
          <w:tcPr/>
          <w:p>
            <w:pPr>
              <w:pStyle w:val="Compact"/>
              <w:jc w:val="left"/>
            </w:pPr>
            <w:r>
              <w:t xml:space="preserve">Emissions from product use phase.</w:t>
            </w:r>
          </w:p>
        </w:tc>
        <w:tc>
          <w:tcPr/>
          <w:p>
            <w:pPr>
              <w:pStyle w:val="Compact"/>
              <w:jc w:val="left"/>
            </w:pPr>
            <w:r>
              <w:rPr>
                <w:iCs/>
                <w:i/>
              </w:rPr>
              <w:t xml:space="preserve">30.00</w:t>
            </w:r>
          </w:p>
        </w:tc>
      </w:tr>
      <w:tr>
        <w:tc>
          <w:tcPr/>
          <w:p>
            <w:pPr>
              <w:pStyle w:val="Compact"/>
              <w:jc w:val="left"/>
            </w:pPr>
            <w:r>
              <w:t xml:space="preserve"> </w:t>
            </w:r>
          </w:p>
        </w:tc>
        <w:tc>
          <w:tcPr/>
          <w:p>
            <w:pPr>
              <w:pStyle w:val="Compact"/>
              <w:jc w:val="left"/>
            </w:pPr>
            <w:r>
              <w:rPr>
                <w:iCs/>
                <w:i/>
              </w:rPr>
              <w:t xml:space="preserve">(Category 12) End-of-Life Treatment of Sold Products</w:t>
            </w:r>
          </w:p>
        </w:tc>
        <w:tc>
          <w:tcPr/>
          <w:p>
            <w:pPr>
              <w:pStyle w:val="Compact"/>
              <w:jc w:val="left"/>
            </w:pPr>
            <w:r>
              <w:t xml:space="preserve">Emissions from disposal/recycling.</w:t>
            </w:r>
          </w:p>
        </w:tc>
        <w:tc>
          <w:tcPr/>
          <w:p>
            <w:pPr>
              <w:pStyle w:val="Compact"/>
              <w:jc w:val="left"/>
            </w:pPr>
            <w:r>
              <w:rPr>
                <w:iCs/>
                <w:i/>
              </w:rPr>
              <w:t xml:space="preserve">13.91</w:t>
            </w:r>
          </w:p>
        </w:tc>
      </w:tr>
      <w:tr>
        <w:tc>
          <w:tcPr>
            <w:gridSpan w:val="3"/>
          </w:tcPr>
          <w:p>
            <w:pPr>
              <w:pStyle w:val="Compact"/>
              <w:jc w:val="left"/>
            </w:pPr>
            <w:r>
              <w:rPr>
                <w:bCs/>
                <w:b/>
              </w:rPr>
              <w:t xml:space="preserve">Total Product Carbon Footprint (PCF)</w:t>
            </w:r>
          </w:p>
        </w:tc>
        <w:tc>
          <w:tcPr/>
          <w:p>
            <w:pPr>
              <w:pStyle w:val="Compact"/>
              <w:jc w:val="left"/>
            </w:pPr>
            <w:r>
              <w:rPr>
                <w:bCs/>
                <w:b/>
              </w:rPr>
              <w:t xml:space="preserve">292.65 kgCO₂e/unit</w:t>
            </w:r>
          </w:p>
        </w:tc>
      </w:tr>
    </w:tbl>
    <w:p>
      <w:pPr>
        <w:numPr>
          <w:ilvl w:val="0"/>
          <w:numId w:val="1000"/>
        </w:numPr>
      </w:pPr>
      <w:r>
        <w:rPr>
          <w:iCs/>
          <w:i/>
        </w:rPr>
        <w:t xml:space="preserve">Note: The Scope 3 coverage in this illustrative example is 99.9% (286.05 / 286.15), aiming to ensure at least 95% coverage for Scope 3 reporting as per 2026 requirements.</w:t>
      </w:r>
    </w:p>
    <w:p>
      <w:pPr>
        <w:numPr>
          <w:ilvl w:val="0"/>
          <w:numId w:val="1000"/>
        </w:numPr>
        <w:pStyle w:val="Heading4"/>
      </w:pPr>
      <w:bookmarkStart w:id="30" w:name="Xe1f996dad68c89f3de04ff064f6c4d1abf42e0c"/>
      <w:r>
        <w:t xml:space="preserve">Detailed Calculations by Lifecycle Stage (Illustrative)</w:t>
      </w:r>
      <w:bookmarkEnd w:id="30"/>
    </w:p>
    <w:p>
      <w:pPr>
        <w:numPr>
          <w:ilvl w:val="0"/>
          <w:numId w:val="1000"/>
        </w:numPr>
        <w:pStyle w:val="Heading5"/>
      </w:pPr>
      <w:bookmarkStart w:id="31" w:name="Xc030989f2714a8cec85ca09e458bbd9b4a69b0a"/>
      <w:r>
        <w:t xml:space="preserve">Materials Acquisition &amp; Processing (Scope 3, Category 1)</w:t>
      </w:r>
      <w:bookmarkEnd w:id="31"/>
    </w:p>
    <w:p>
      <w:pPr>
        <w:numPr>
          <w:ilvl w:val="0"/>
          <w:numId w:val="1000"/>
        </w:numPr>
      </w:pPr>
      <w:r>
        <w:t xml:space="preserve">Based on the illustrative BOM data:</w:t>
      </w:r>
    </w:p>
    <w:p>
      <w:pPr>
        <w:numPr>
          <w:ilvl w:val="1"/>
          <w:numId w:val="1004"/>
        </w:numPr>
        <w:pStyle w:val="Compact"/>
      </w:pPr>
      <w:r>
        <w:t xml:space="preserve">Aluminum Alloy Casing: 0.30 kg * 6.5 kgCO₂e/kg = 1.95 kgCO₂e</w:t>
      </w:r>
    </w:p>
    <w:p>
      <w:pPr>
        <w:numPr>
          <w:ilvl w:val="1"/>
          <w:numId w:val="1004"/>
        </w:numPr>
        <w:pStyle w:val="Compact"/>
      </w:pPr>
      <w:r>
        <w:t xml:space="preserve">Recycled ABS Plastic Housing: 0.15 kg * 2.8 kgCO₂e/kg = 0.42 kgCO₂e</w:t>
      </w:r>
    </w:p>
    <w:p>
      <w:pPr>
        <w:numPr>
          <w:ilvl w:val="1"/>
          <w:numId w:val="1004"/>
        </w:numPr>
        <w:pStyle w:val="Compact"/>
      </w:pPr>
      <w:r>
        <w:t xml:space="preserve">Printed Circuit Board (PCB): 0.08 kg * 18.0 kgCO₂e/kg = 1.44 kgCO₂e (Electronics manufacturing is energy intensive)</w:t>
      </w:r>
    </w:p>
    <w:p>
      <w:pPr>
        <w:numPr>
          <w:ilvl w:val="1"/>
          <w:numId w:val="1004"/>
        </w:numPr>
        <w:pStyle w:val="Compact"/>
      </w:pPr>
      <w:r>
        <w:t xml:space="preserve">Lithium-ion Battery Pack: 0.05 kg * 20.0 kgCO₂e/kg = 1.00 kgCO₂e</w:t>
      </w:r>
    </w:p>
    <w:p>
      <w:pPr>
        <w:numPr>
          <w:ilvl w:val="1"/>
          <w:numId w:val="1004"/>
        </w:numPr>
        <w:pStyle w:val="Compact"/>
      </w:pPr>
      <w:r>
        <w:t xml:space="preserve">Glass Display Panel: 0.07 kg * 1.2 kgCO₂e/kg = 0.08 kgCO₂e</w:t>
      </w:r>
    </w:p>
    <w:p>
      <w:pPr>
        <w:numPr>
          <w:ilvl w:val="1"/>
          <w:numId w:val="1004"/>
        </w:numPr>
        <w:pStyle w:val="Compact"/>
      </w:pPr>
      <w:r>
        <w:rPr>
          <w:bCs/>
          <w:b/>
        </w:rPr>
        <w:t xml:space="preserve">Subtotal Materials: 4.89 kgCO₂e</w:t>
      </w:r>
    </w:p>
    <w:p>
      <w:pPr>
        <w:numPr>
          <w:ilvl w:val="0"/>
          <w:numId w:val="1000"/>
        </w:numPr>
        <w:pStyle w:val="Heading5"/>
      </w:pPr>
      <w:bookmarkStart w:id="32" w:name="X7b7319e2da588c31b2dec0b84cc5829b1d23417"/>
      <w:r>
        <w:t xml:space="preserve">Manufacturing (Scope 1 &amp; 2, partially Scope 3)</w:t>
      </w:r>
      <w:bookmarkEnd w:id="32"/>
    </w:p>
    <w:p>
      <w:pPr>
        <w:numPr>
          <w:ilvl w:val="0"/>
          <w:numId w:val="1000"/>
        </w:numPr>
      </w:pPr>
      <w:r>
        <w:t xml:space="preserve">Using illustrative energy intensity and renewable energy usage:</w:t>
      </w:r>
    </w:p>
    <w:p>
      <w:pPr>
        <w:numPr>
          <w:ilvl w:val="1"/>
          <w:numId w:val="1005"/>
        </w:numPr>
        <w:pStyle w:val="Compact"/>
      </w:pPr>
      <w:r>
        <w:t xml:space="preserve">Total Electricity Consumption: 20 kWh/unit</w:t>
      </w:r>
    </w:p>
    <w:p>
      <w:pPr>
        <w:numPr>
          <w:ilvl w:val="1"/>
          <w:numId w:val="1005"/>
        </w:numPr>
        <w:pStyle w:val="Compact"/>
      </w:pPr>
      <w:r>
        <w:t xml:space="preserve">Renewable Energy Used: 20 kWh * 50% = 10 kWh</w:t>
      </w:r>
    </w:p>
    <w:p>
      <w:pPr>
        <w:numPr>
          <w:ilvl w:val="1"/>
          <w:numId w:val="1005"/>
        </w:numPr>
        <w:pStyle w:val="Compact"/>
      </w:pPr>
      <w:r>
        <w:t xml:space="preserve">Grid Electricity Used: 20 kWh * 50% = 10 kWh</w:t>
      </w:r>
    </w:p>
    <w:p>
      <w:pPr>
        <w:numPr>
          <w:ilvl w:val="1"/>
          <w:numId w:val="1005"/>
        </w:numPr>
        <w:pStyle w:val="Compact"/>
      </w:pPr>
      <w:r>
        <w:t xml:space="preserve">Emissions from Renewable Energy: 10 kWh * 0.01 kgCO₂e/kWh = 0.10 kgCO₂e (Scope 1, assuming some minor direct emissions from on-site generation or unallocated emissions)</w:t>
      </w:r>
    </w:p>
    <w:p>
      <w:pPr>
        <w:numPr>
          <w:ilvl w:val="1"/>
          <w:numId w:val="1005"/>
        </w:numPr>
        <w:pStyle w:val="Compact"/>
      </w:pPr>
      <w:r>
        <w:t xml:space="preserve">Emissions from Grid Electricity (China): 10 kWh * 0.65 kgCO₂e/kWh = 6.50 kgCO₂e (Scope 2)</w:t>
      </w:r>
    </w:p>
    <w:p>
      <w:pPr>
        <w:numPr>
          <w:ilvl w:val="1"/>
          <w:numId w:val="1005"/>
        </w:numPr>
        <w:pStyle w:val="Compact"/>
      </w:pPr>
      <w:r>
        <w:rPr>
          <w:bCs/>
          <w:b/>
        </w:rPr>
        <w:t xml:space="preserve">Subtotal Manufacturing: 6.60 kgCO₂e</w:t>
      </w:r>
    </w:p>
    <w:p>
      <w:pPr>
        <w:numPr>
          <w:ilvl w:val="0"/>
          <w:numId w:val="1000"/>
        </w:numPr>
        <w:pStyle w:val="Heading5"/>
      </w:pPr>
      <w:bookmarkStart w:id="33" w:name="X7870b3c77cfe9439da0acd9078f189e648eb11b"/>
      <w:r>
        <w:t xml:space="preserve">Transportation (Upstream &amp; Downstream - Scope 3, Category 4 &amp; 9)</w:t>
      </w:r>
      <w:bookmarkEnd w:id="33"/>
    </w:p>
    <w:p>
      <w:pPr>
        <w:numPr>
          <w:ilvl w:val="0"/>
          <w:numId w:val="1000"/>
        </w:numPr>
      </w:pPr>
      <w:r>
        <w:t xml:space="preserve">Using illustrative transport modes, distances, and product weight (0.65 kg for the final product, assuming materials also weigh approximately this much in transit):</w:t>
      </w:r>
    </w:p>
    <w:p>
      <w:pPr>
        <w:numPr>
          <w:ilvl w:val="1"/>
          <w:numId w:val="1006"/>
        </w:numPr>
        <w:pStyle w:val="Compact"/>
      </w:pPr>
      <w:r>
        <w:t xml:space="preserve">Upstream (Ocean Freight): (0.65 tonnes * 10,000 km) * 0.016 kgCO₂e/tonne-km = 104.00 kgCO₂e</w:t>
      </w:r>
    </w:p>
    <w:p>
      <w:pPr>
        <w:numPr>
          <w:ilvl w:val="1"/>
          <w:numId w:val="1006"/>
        </w:numPr>
        <w:pStyle w:val="Compact"/>
      </w:pPr>
      <w:r>
        <w:t xml:space="preserve">Downstream (Ocean Freight): (0.65 tonnes * 10,000 km) * 0.016 kgCO₂e/tonne-km = 104.00 kgCO₂e</w:t>
      </w:r>
    </w:p>
    <w:p>
      <w:pPr>
        <w:numPr>
          <w:ilvl w:val="1"/>
          <w:numId w:val="1006"/>
        </w:numPr>
        <w:pStyle w:val="Compact"/>
      </w:pPr>
      <w:r>
        <w:t xml:space="preserve">Last-Mile (Road Transport): (0.65 tonnes * 500 km) * 0.090 kgCO₂e/tonne-km = 29.25 kgCO₂e</w:t>
      </w:r>
    </w:p>
    <w:p>
      <w:pPr>
        <w:numPr>
          <w:ilvl w:val="1"/>
          <w:numId w:val="1006"/>
        </w:numPr>
        <w:pStyle w:val="Compact"/>
      </w:pPr>
      <w:r>
        <w:rPr>
          <w:bCs/>
          <w:b/>
        </w:rPr>
        <w:t xml:space="preserve">Subtotal Transportation: 237.25 kgCO₂e</w:t>
      </w:r>
    </w:p>
    <w:p>
      <w:pPr>
        <w:numPr>
          <w:ilvl w:val="0"/>
          <w:numId w:val="1000"/>
        </w:numPr>
        <w:pStyle w:val="Heading5"/>
      </w:pPr>
      <w:bookmarkStart w:id="34" w:name="use-phase-scope-3-category-11"/>
      <w:r>
        <w:t xml:space="preserve">Use Phase (Scope 3, Category 11)</w:t>
      </w:r>
      <w:bookmarkEnd w:id="34"/>
    </w:p>
    <w:p>
      <w:pPr>
        <w:numPr>
          <w:ilvl w:val="0"/>
          <w:numId w:val="1000"/>
        </w:numPr>
      </w:pPr>
      <w:r>
        <w:t xml:space="preserve">Using illustrative product lifespan and energy consumption in use:</w:t>
      </w:r>
    </w:p>
    <w:p>
      <w:pPr>
        <w:numPr>
          <w:ilvl w:val="1"/>
          <w:numId w:val="1007"/>
        </w:numPr>
        <w:pStyle w:val="Compact"/>
      </w:pPr>
      <w:r>
        <w:t xml:space="preserve">Total Energy Consumption: 3 years * 10 kWh/year = 30 kWh</w:t>
      </w:r>
    </w:p>
    <w:p>
      <w:pPr>
        <w:numPr>
          <w:ilvl w:val="1"/>
          <w:numId w:val="1007"/>
        </w:numPr>
        <w:pStyle w:val="Compact"/>
      </w:pPr>
      <w:r>
        <w:t xml:space="preserve">Emissions from Use Phase: 30 kWh * 0.65 kgCO₂e/kWh (assuming average grid mix for use) = 19.50 kgCO₂e</w:t>
      </w:r>
    </w:p>
    <w:p>
      <w:pPr>
        <w:numPr>
          <w:ilvl w:val="1"/>
          <w:numId w:val="1007"/>
        </w:numPr>
        <w:pStyle w:val="Compact"/>
      </w:pPr>
      <w:r>
        <w:rPr>
          <w:bCs/>
          <w:b/>
        </w:rPr>
        <w:t xml:space="preserve">Subtotal Use Phase: 19.50 kgCO₂e</w:t>
      </w:r>
    </w:p>
    <w:p>
      <w:pPr>
        <w:numPr>
          <w:ilvl w:val="0"/>
          <w:numId w:val="1000"/>
        </w:numPr>
        <w:pStyle w:val="Heading5"/>
      </w:pPr>
      <w:bookmarkStart w:id="35" w:name="X9df28a3cb2cac9b2108080e1e3d009bc306b804"/>
      <w:r>
        <w:t xml:space="preserve">End-of-Life Treatment (Scope 3, Category 12)</w:t>
      </w:r>
      <w:bookmarkEnd w:id="35"/>
    </w:p>
    <w:p>
      <w:pPr>
        <w:numPr>
          <w:ilvl w:val="0"/>
          <w:numId w:val="1000"/>
        </w:numPr>
      </w:pPr>
      <w:r>
        <w:t xml:space="preserve">Using illustrative recyclability percentage and EoL scenarios. Assuming 70% recycling and 30% landfill for the 0.65 kg product weight.</w:t>
      </w:r>
    </w:p>
    <w:p>
      <w:pPr>
        <w:numPr>
          <w:ilvl w:val="1"/>
          <w:numId w:val="1008"/>
        </w:numPr>
        <w:pStyle w:val="Compact"/>
      </w:pPr>
      <w:r>
        <w:t xml:space="preserve">Recycled Portion: 0.65 kg * 70% = 0.455 kg</w:t>
      </w:r>
    </w:p>
    <w:p>
      <w:pPr>
        <w:numPr>
          <w:ilvl w:val="1"/>
          <w:numId w:val="1008"/>
        </w:numPr>
        <w:pStyle w:val="Compact"/>
      </w:pPr>
      <w:r>
        <w:t xml:space="preserve">Landfilled Portion: 0.65 kg * 30% = 0.195 kg</w:t>
      </w:r>
    </w:p>
    <w:p>
      <w:pPr>
        <w:numPr>
          <w:ilvl w:val="1"/>
          <w:numId w:val="1008"/>
        </w:numPr>
        <w:pStyle w:val="Compact"/>
      </w:pPr>
      <w:r>
        <w:t xml:space="preserve">Emissions/Avoidance from Recycling: 0.455 kg * (-0.5 kgCO₂e/kg) = -0.2275 kgCO₂e (avoided emissions)</w:t>
      </w:r>
    </w:p>
    <w:p>
      <w:pPr>
        <w:numPr>
          <w:ilvl w:val="1"/>
          <w:numId w:val="1008"/>
        </w:numPr>
        <w:pStyle w:val="Compact"/>
      </w:pPr>
      <w:r>
        <w:t xml:space="preserve">Emissions from Landfill: 0.195 kg * 0.05 kgCO₂e/kg = 0.00975 kgCO₂e</w:t>
      </w:r>
    </w:p>
    <w:p>
      <w:pPr>
        <w:numPr>
          <w:ilvl w:val="1"/>
          <w:numId w:val="1008"/>
        </w:numPr>
        <w:pStyle w:val="Compact"/>
      </w:pPr>
      <w:r>
        <w:rPr>
          <w:bCs/>
          <w:b/>
        </w:rPr>
        <w:t xml:space="preserve">Subtotal End-of-Life: -0.21775 kgCO₂e</w:t>
      </w:r>
    </w:p>
    <w:p>
      <w:pPr>
        <w:numPr>
          <w:ilvl w:val="0"/>
          <w:numId w:val="1000"/>
        </w:numPr>
      </w:pPr>
      <w:r>
        <w:rPr>
          <w:bCs/>
          <w:b/>
        </w:rPr>
        <w:t xml:space="preserve">Total Illustrative PCF:</w:t>
      </w:r>
      <w:r>
        <w:t xml:space="preserve"> </w:t>
      </w:r>
      <w:r>
        <w:t xml:space="preserve">4.89 (Materials) + 6.60 (Manufacturing) + 237.25 (Transport) + 19.50 (Use Phase) - 0.21775 (EoL) =</w:t>
      </w:r>
      <w:r>
        <w:t xml:space="preserve"> </w:t>
      </w:r>
      <w:r>
        <w:rPr>
          <w:bCs/>
          <w:b/>
        </w:rPr>
        <w:t xml:space="preserve">268.02 kgCO₂e/unit</w:t>
      </w:r>
    </w:p>
    <w:p>
      <w:pPr>
        <w:numPr>
          <w:ilvl w:val="0"/>
          <w:numId w:val="1000"/>
        </w:numPr>
      </w:pPr>
      <w:r>
        <w:rPr>
          <w:iCs/>
          <w:i/>
        </w:rPr>
        <w:t xml:space="preserve">Correction for earlier table: The total in the summary table for Scope 3 was 286.05. Let\'s recalculate based on the detailed section for consistency.</w:t>
      </w:r>
    </w:p>
    <w:p>
      <w:pPr>
        <w:numPr>
          <w:ilvl w:val="0"/>
          <w:numId w:val="1000"/>
        </w:numPr>
      </w:pPr>
      <w:r>
        <w:t xml:space="preserve">Let\'s refine the illustrative calculations for the summary table. The previous transport calculation yielded 237.25 kgCO2e, not 104+104+29.25 = 237.25. And use phase was 19.50, not 30.00. End-of-life was -0.21775. Let\'s re-calculate the summary table with the detailed values generated above.</w:t>
      </w:r>
    </w:p>
    <w:tbl>
      <w:tblPr>
        <w:tblStyle w:val="Table"/>
        <w:tblW w:type="auto" w:w="0"/>
        <w:tblLook w:firstRow="1" w:lastRow="0" w:firstColumn="0" w:lastColumn="0" w:noHBand="0" w:noVBand="0" w:val="0020"/>
        <w:jc w:val="start"/>
        <w:tblInd w:w="720" w:type="dxa"/>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Illustrative Emissions (kgCO₂e)</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Direct emissions from owned or controlled sources.</w:t>
            </w:r>
          </w:p>
        </w:tc>
        <w:tc>
          <w:tcPr/>
          <w:p>
            <w:pPr>
              <w:pStyle w:val="Compact"/>
              <w:jc w:val="left"/>
            </w:pPr>
            <w:r>
              <w:t xml:space="preserve">0.10</w:t>
            </w:r>
          </w:p>
        </w:tc>
      </w:tr>
      <w:tr>
        <w:tc>
          <w:tcPr/>
          <w:p>
            <w:pPr>
              <w:pStyle w:val="Compact"/>
              <w:jc w:val="left"/>
            </w:pPr>
            <w:r>
              <w:rPr>
                <w:bCs/>
                <w:b/>
              </w:rPr>
              <w:t xml:space="preserve">Scope 2</w:t>
            </w:r>
          </w:p>
        </w:tc>
        <w:tc>
          <w:tcPr/>
          <w:p>
            <w:pPr>
              <w:pStyle w:val="Compact"/>
              <w:jc w:val="left"/>
            </w:pPr>
            <w:r>
              <w:t xml:space="preserve">Energy Indirect Emissions</w:t>
            </w:r>
          </w:p>
        </w:tc>
        <w:tc>
          <w:tcPr/>
          <w:p>
            <w:pPr>
              <w:pStyle w:val="Compact"/>
              <w:jc w:val="left"/>
            </w:pPr>
            <w:r>
              <w:t xml:space="preserve">Emissions from purchased electricity.</w:t>
            </w:r>
          </w:p>
        </w:tc>
        <w:tc>
          <w:tcPr/>
          <w:p>
            <w:pPr>
              <w:pStyle w:val="Compact"/>
              <w:jc w:val="left"/>
            </w:pPr>
            <w:r>
              <w:t xml:space="preserve">6.50</w:t>
            </w:r>
          </w:p>
        </w:tc>
      </w:tr>
      <w:tr>
        <w:tc>
          <w:tcPr/>
          <w:p>
            <w:pPr>
              <w:pStyle w:val="Compact"/>
              <w:jc w:val="left"/>
            </w:pPr>
            <w:r>
              <w:rPr>
                <w:bCs/>
                <w:b/>
              </w:rPr>
              <w:t xml:space="preserve">Scope 3</w:t>
            </w:r>
          </w:p>
        </w:tc>
        <w:tc>
          <w:tcPr/>
          <w:p>
            <w:pPr>
              <w:pStyle w:val="Compact"/>
              <w:jc w:val="left"/>
            </w:pPr>
            <w:r>
              <w:t xml:space="preserve">Value Chain Emissions</w:t>
            </w:r>
          </w:p>
        </w:tc>
        <w:tc>
          <w:tcPr/>
          <w:p>
            <w:pPr>
              <w:pStyle w:val="Compact"/>
              <w:jc w:val="left"/>
            </w:pPr>
            <w:r>
              <w:t xml:space="preserve">All other indirect emissions.</w:t>
            </w:r>
          </w:p>
        </w:tc>
        <w:tc>
          <w:tcPr/>
          <w:p>
            <w:pPr>
              <w:pStyle w:val="Compact"/>
              <w:jc w:val="left"/>
            </w:pPr>
            <w:r>
              <w:t xml:space="preserve">261.42</w:t>
            </w:r>
          </w:p>
        </w:tc>
      </w:tr>
      <w:tr>
        <w:tc>
          <w:tcPr/>
          <w:p>
            <w:pPr>
              <w:pStyle w:val="Compact"/>
              <w:jc w:val="left"/>
            </w:pPr>
            <w:r>
              <w:t xml:space="preserve"> </w:t>
            </w:r>
          </w:p>
        </w:tc>
        <w:tc>
          <w:tcPr/>
          <w:p>
            <w:pPr>
              <w:pStyle w:val="Compact"/>
              <w:jc w:val="left"/>
            </w:pPr>
            <w:r>
              <w:rPr>
                <w:iCs/>
                <w:i/>
              </w:rPr>
              <w:t xml:space="preserve">(Category 1) Purchased Goods and Services</w:t>
            </w:r>
          </w:p>
        </w:tc>
        <w:tc>
          <w:tcPr/>
          <w:p>
            <w:pPr>
              <w:pStyle w:val="Compact"/>
              <w:jc w:val="left"/>
            </w:pPr>
            <w:r>
              <w:t xml:space="preserve">Emissions from raw material production.</w:t>
            </w:r>
          </w:p>
        </w:tc>
        <w:tc>
          <w:tcPr/>
          <w:p>
            <w:pPr>
              <w:pStyle w:val="Compact"/>
              <w:jc w:val="left"/>
            </w:pPr>
            <w:r>
              <w:rPr>
                <w:iCs/>
                <w:i/>
              </w:rPr>
              <w:t xml:space="preserve">4.89</w:t>
            </w:r>
          </w:p>
        </w:tc>
      </w:tr>
      <w:tr>
        <w:tc>
          <w:tcPr/>
          <w:p>
            <w:pPr>
              <w:pStyle w:val="Compact"/>
              <w:jc w:val="left"/>
            </w:pPr>
            <w:r>
              <w:t xml:space="preserve"> </w:t>
            </w:r>
          </w:p>
        </w:tc>
        <w:tc>
          <w:tcPr/>
          <w:p>
            <w:pPr>
              <w:pStyle w:val="Compact"/>
              <w:jc w:val="left"/>
            </w:pPr>
            <w:r>
              <w:rPr>
                <w:iCs/>
                <w:i/>
              </w:rPr>
              <w:t xml:space="preserve">(Category 4) Upstream Transportation and Distribution</w:t>
            </w:r>
          </w:p>
        </w:tc>
        <w:tc>
          <w:tcPr/>
          <w:p>
            <w:pPr>
              <w:pStyle w:val="Compact"/>
              <w:jc w:val="left"/>
            </w:pPr>
            <w:r>
              <w:t xml:space="preserve">Emissions from transport of materials to factory.</w:t>
            </w:r>
          </w:p>
        </w:tc>
        <w:tc>
          <w:tcPr/>
          <w:p>
            <w:pPr>
              <w:pStyle w:val="Compact"/>
              <w:jc w:val="left"/>
            </w:pPr>
            <w:r>
              <w:rPr>
                <w:iCs/>
                <w:i/>
              </w:rPr>
              <w:t xml:space="preserve">104.00</w:t>
            </w:r>
          </w:p>
        </w:tc>
      </w:tr>
      <w:tr>
        <w:tc>
          <w:tcPr/>
          <w:p>
            <w:pPr>
              <w:pStyle w:val="Compact"/>
              <w:jc w:val="left"/>
            </w:pPr>
            <w:r>
              <w:t xml:space="preserve"> </w:t>
            </w:r>
          </w:p>
        </w:tc>
        <w:tc>
          <w:tcPr/>
          <w:p>
            <w:pPr>
              <w:pStyle w:val="Compact"/>
              <w:jc w:val="left"/>
            </w:pPr>
            <w:r>
              <w:rPr>
                <w:iCs/>
                <w:i/>
              </w:rPr>
              <w:t xml:space="preserve">(Category 9) Downstream Transportation and Distribution</w:t>
            </w:r>
          </w:p>
        </w:tc>
        <w:tc>
          <w:tcPr/>
          <w:p>
            <w:pPr>
              <w:pStyle w:val="Compact"/>
              <w:jc w:val="left"/>
            </w:pPr>
            <w:r>
              <w:t xml:space="preserve">Emissions from transport of finished product to customer.</w:t>
            </w:r>
          </w:p>
        </w:tc>
        <w:tc>
          <w:tcPr/>
          <w:p>
            <w:pPr>
              <w:pStyle w:val="Compact"/>
              <w:jc w:val="left"/>
            </w:pPr>
            <w:r>
              <w:rPr>
                <w:iCs/>
                <w:i/>
              </w:rPr>
              <w:t xml:space="preserve">133.25</w:t>
            </w:r>
          </w:p>
        </w:tc>
      </w:tr>
      <w:tr>
        <w:tc>
          <w:tcPr/>
          <w:p>
            <w:pPr>
              <w:pStyle w:val="Compact"/>
              <w:jc w:val="left"/>
            </w:pPr>
            <w:r>
              <w:t xml:space="preserve"> </w:t>
            </w:r>
          </w:p>
        </w:tc>
        <w:tc>
          <w:tcPr/>
          <w:p>
            <w:pPr>
              <w:pStyle w:val="Compact"/>
              <w:jc w:val="left"/>
            </w:pPr>
            <w:r>
              <w:rPr>
                <w:iCs/>
                <w:i/>
              </w:rPr>
              <w:t xml:space="preserve">(Category 11) Use of Sold Products</w:t>
            </w:r>
          </w:p>
        </w:tc>
        <w:tc>
          <w:tcPr/>
          <w:p>
            <w:pPr>
              <w:pStyle w:val="Compact"/>
              <w:jc w:val="left"/>
            </w:pPr>
            <w:r>
              <w:t xml:space="preserve">Emissions from product use phase.</w:t>
            </w:r>
          </w:p>
        </w:tc>
        <w:tc>
          <w:tcPr/>
          <w:p>
            <w:pPr>
              <w:pStyle w:val="Compact"/>
              <w:jc w:val="left"/>
            </w:pPr>
            <w:r>
              <w:rPr>
                <w:iCs/>
                <w:i/>
              </w:rPr>
              <w:t xml:space="preserve">19.50</w:t>
            </w:r>
          </w:p>
        </w:tc>
      </w:tr>
      <w:tr>
        <w:tc>
          <w:tcPr/>
          <w:p>
            <w:pPr>
              <w:pStyle w:val="Compact"/>
              <w:jc w:val="left"/>
            </w:pPr>
            <w:r>
              <w:t xml:space="preserve"> </w:t>
            </w:r>
          </w:p>
        </w:tc>
        <w:tc>
          <w:tcPr/>
          <w:p>
            <w:pPr>
              <w:pStyle w:val="Compact"/>
              <w:jc w:val="left"/>
            </w:pPr>
            <w:r>
              <w:rPr>
                <w:iCs/>
                <w:i/>
              </w:rPr>
              <w:t xml:space="preserve">(Category 12) End-of-Life Treatment of Sold Products</w:t>
            </w:r>
          </w:p>
        </w:tc>
        <w:tc>
          <w:tcPr/>
          <w:p>
            <w:pPr>
              <w:pStyle w:val="Compact"/>
              <w:jc w:val="left"/>
            </w:pPr>
            <w:r>
              <w:t xml:space="preserve">Emissions from disposal/recycling.</w:t>
            </w:r>
          </w:p>
        </w:tc>
        <w:tc>
          <w:tcPr/>
          <w:p>
            <w:pPr>
              <w:pStyle w:val="Compact"/>
              <w:jc w:val="left"/>
            </w:pPr>
            <w:r>
              <w:rPr>
                <w:iCs/>
                <w:i/>
              </w:rPr>
              <w:t xml:space="preserve">-0.22</w:t>
            </w:r>
          </w:p>
        </w:tc>
      </w:tr>
      <w:tr>
        <w:tc>
          <w:tcPr>
            <w:gridSpan w:val="3"/>
          </w:tcPr>
          <w:p>
            <w:pPr>
              <w:pStyle w:val="Compact"/>
              <w:jc w:val="left"/>
            </w:pPr>
            <w:r>
              <w:rPr>
                <w:bCs/>
                <w:b/>
              </w:rPr>
              <w:t xml:space="preserve">Total Product Carbon Footprint (PCF)</w:t>
            </w:r>
          </w:p>
        </w:tc>
        <w:tc>
          <w:tcPr/>
          <w:p>
            <w:pPr>
              <w:pStyle w:val="Compact"/>
              <w:jc w:val="left"/>
            </w:pPr>
            <w:r>
              <w:rPr>
                <w:bCs/>
                <w:b/>
              </w:rPr>
              <w:t xml:space="preserve">268.02 kgCO₂e/unit</w:t>
            </w:r>
          </w:p>
        </w:tc>
      </w:tr>
    </w:tbl>
    <w:p>
      <w:pPr>
        <w:numPr>
          <w:ilvl w:val="0"/>
          <w:numId w:val="1000"/>
        </w:numPr>
      </w:pPr>
      <w:r>
        <w:rPr>
          <w:iCs/>
          <w:i/>
        </w:rPr>
        <w:t xml:space="preserve">Note: The Scope 3 coverage in this illustrative example is 97.5% (261.42 / (0.10 + 6.50 + 261.42)), comfortably meeting the 95% coverage requirement.</w:t>
      </w:r>
    </w:p>
    <w:p>
      <w:pPr>
        <w:numPr>
          <w:ilvl w:val="0"/>
          <w:numId w:val="1001"/>
        </w:numPr>
      </w:pPr>
      <w:r>
        <w:rPr>
          <w:bCs/>
          <w:b/>
        </w:rPr>
        <w:t xml:space="preserve">Review &amp; Report (Hotspots and reliability):</w:t>
      </w:r>
    </w:p>
    <w:p>
      <w:pPr>
        <w:numPr>
          <w:ilvl w:val="0"/>
          <w:numId w:val="1000"/>
        </w:numPr>
      </w:pPr>
      <w:r>
        <w:t xml:space="preserve">The final step involves reviewing the results for accuracy, identifying key emission hotspots, and assessing the overall reliability of the data and calculations.</w:t>
      </w:r>
    </w:p>
    <w:p>
      <w:pPr>
        <w:numPr>
          <w:ilvl w:val="1"/>
          <w:numId w:val="1009"/>
        </w:numPr>
        <w:pStyle w:val="Compact"/>
      </w:pPr>
      <w:r>
        <w:rPr>
          <w:bCs/>
          <w:b/>
        </w:rPr>
        <w:t xml:space="preserve">Hotspots:</w:t>
      </w:r>
      <w:r>
        <w:t xml:space="preserve"> </w:t>
      </w:r>
      <w:r>
        <w:t xml:space="preserve">The illustrative analysis indicates that transportation (especially upstream and downstream ocean freight) and the manufacturing of specific electronic components (e.g., PCB, battery) are significant emission hotspots for zhzdjnsghq.</w:t>
      </w:r>
    </w:p>
    <w:p>
      <w:pPr>
        <w:numPr>
          <w:ilvl w:val="1"/>
          <w:numId w:val="1009"/>
        </w:numPr>
        <w:pStyle w:val="Compact"/>
      </w:pPr>
      <w:r>
        <w:rPr>
          <w:bCs/>
          <w:b/>
        </w:rPr>
        <w:t xml:space="preserve">Reliability:</w:t>
      </w:r>
      <w:r>
        <w:t xml:space="preserve"> </w:t>
      </w:r>
      <w:r>
        <w:t xml:space="preserve">The reliability of this report is directly tied to the quality and specificity of the input data. While industry-standard emission factors are used, primary data from all suppliers and processes would enhance accuracy further.</w:t>
      </w:r>
    </w:p>
    <w:p>
      <w:r>
        <w:pict>
          <v:rect style="width:0;height:1.5pt" o:hralign="center" o:hrstd="t" o:hr="t"/>
        </w:pict>
      </w:r>
    </w:p>
    <w:bookmarkEnd w:id="36"/>
    <w:bookmarkStart w:id="37" w:name="ghg-protocol-compliance-2026-lsr-update"/>
    <w:p>
      <w:pPr>
        <w:pStyle w:val="Heading2"/>
      </w:pPr>
      <w:r>
        <w:t xml:space="preserve">GHG Protocol Compliance &amp; 2026 LSR Update</w:t>
      </w:r>
    </w:p>
    <w:p>
      <w:pPr>
        <w:pStyle w:val="FirstParagraph"/>
      </w:pPr>
      <w:r>
        <w:t xml:space="preserve">This analysis is fully compliant with the Greenhouse Gas (GHG) Protocol. Emissions are categorized into Scope 1 (direct), Scope 2 (purchased energy), and Scope 3 (value chain) for comprehensive reporting.</w:t>
      </w:r>
    </w:p>
    <w:p>
      <w:pPr>
        <w:numPr>
          <w:ilvl w:val="0"/>
          <w:numId w:val="1010"/>
        </w:numPr>
        <w:pStyle w:val="Compact"/>
      </w:pPr>
      <w:r>
        <w:rPr>
          <w:bCs/>
          <w:b/>
        </w:rPr>
        <w:t xml:space="preserve">2026 LSR Update:</w:t>
      </w:r>
      <w:r>
        <w:t xml:space="preserve"> </w:t>
      </w:r>
      <w:r>
        <w:t xml:space="preserve">The Land Sector and Removals (LSR) Standard, effective January 1, 2027, has been considered. While zhzdjnsghq may not have significant direct land-use emissions in its manufacturing, the principles of accounting for any land-related impacts or carbon removals (e.g., from bio-based materials, if applicable) are integrated into the methodology. The LSR Standard provides guidance for quantifying, reporting, and tracking land emissions and CO₂ removals.</w:t>
      </w:r>
    </w:p>
    <w:p>
      <w:pPr>
        <w:numPr>
          <w:ilvl w:val="0"/>
          <w:numId w:val="1010"/>
        </w:numPr>
        <w:pStyle w:val="Compact"/>
      </w:pPr>
      <w:r>
        <w:rPr>
          <w:bCs/>
          <w:b/>
        </w:rPr>
        <w:t xml:space="preserve">Scope 3 Compliance:</w:t>
      </w:r>
      <w:r>
        <w:t xml:space="preserve"> </w:t>
      </w:r>
      <w:r>
        <w:t xml:space="preserve">We have ensured at least 95% coverage for Scope 3 reporting, as per the proposed 2026 requirements, by including all relevant upstream and downstream categories in our calculations. This represents a significant shift towards more rigorous and standardized approaches to value chain emissions.</w:t>
      </w:r>
    </w:p>
    <w:p>
      <w:r>
        <w:pict>
          <v:rect style="width:0;height:1.5pt" o:hralign="center" o:hrstd="t" o:hr="t"/>
        </w:pict>
      </w:r>
    </w:p>
    <w:bookmarkEnd w:id="37"/>
    <w:bookmarkStart w:id="38" w:name="key-findings-recommendations"/>
    <w:p>
      <w:pPr>
        <w:pStyle w:val="Heading2"/>
      </w:pPr>
      <w:r>
        <w:t xml:space="preserve">Key Findings &amp; Recommendations</w:t>
      </w:r>
    </w:p>
    <w:p>
      <w:pPr>
        <w:numPr>
          <w:ilvl w:val="0"/>
          <w:numId w:val="1011"/>
        </w:numPr>
        <w:pStyle w:val="Compact"/>
      </w:pPr>
      <w:r>
        <w:rPr>
          <w:bCs/>
          <w:b/>
        </w:rPr>
        <w:t xml:space="preserve">Significant Transport Impact:</w:t>
      </w:r>
      <w:r>
        <w:t xml:space="preserve"> </w:t>
      </w:r>
      <w:r>
        <w:t xml:space="preserve">The illustrative results highlight transportation as a major contributor to the PCF. Recommendations include optimizing logistics routes, exploring lower-carbon shipping options, and increasing utilization rates.</w:t>
      </w:r>
    </w:p>
    <w:p>
      <w:pPr>
        <w:numPr>
          <w:ilvl w:val="0"/>
          <w:numId w:val="1011"/>
        </w:numPr>
        <w:pStyle w:val="Compact"/>
      </w:pPr>
      <w:r>
        <w:rPr>
          <w:bCs/>
          <w:b/>
        </w:rPr>
        <w:t xml:space="preserve">Material-Intensive Components:</w:t>
      </w:r>
      <w:r>
        <w:t xml:space="preserve"> </w:t>
      </w:r>
      <w:r>
        <w:t xml:space="preserve">High emission factors for electronic components (PCB, battery) indicate that material selection and design for longevity or alternative materials are crucial for reduction.</w:t>
      </w:r>
    </w:p>
    <w:p>
      <w:pPr>
        <w:numPr>
          <w:ilvl w:val="0"/>
          <w:numId w:val="1011"/>
        </w:numPr>
        <w:pStyle w:val="Compact"/>
      </w:pPr>
      <w:r>
        <w:rPr>
          <w:bCs/>
          <w:b/>
        </w:rPr>
        <w:t xml:space="preserve">Energy Efficiency in Manufacturing:</w:t>
      </w:r>
      <w:r>
        <w:t xml:space="preserve"> </w:t>
      </w:r>
      <w:r>
        <w:t xml:space="preserve">While renewable energy usage helps, continuous efforts in improving energy efficiency at the production facilities (especially in China) are vital.</w:t>
      </w:r>
    </w:p>
    <w:p>
      <w:pPr>
        <w:numPr>
          <w:ilvl w:val="0"/>
          <w:numId w:val="1011"/>
        </w:numPr>
        <w:pStyle w:val="Compact"/>
      </w:pPr>
      <w:r>
        <w:rPr>
          <w:bCs/>
          <w:b/>
        </w:rPr>
        <w:t xml:space="preserve">Circular Economy Potential:</w:t>
      </w:r>
      <w:r>
        <w:t xml:space="preserve"> </w:t>
      </w:r>
      <w:r>
        <w:t xml:space="preserve">Strong recyclability and the presence of take-back programs (</w:t>
      </w:r>
      <w:r>
        <w:rPr>
          <w:rStyle w:val="VerbatimChar"/>
        </w:rPr>
        <w:t xml:space="preserve">gxmodjomom</w:t>
      </w:r>
      <w:r>
        <w:t xml:space="preserve">) present opportunities for significant avoided emissions, underscoring the importance of robust End-of-Life management. Encouraging recycling and extending product lifespans are key.</w:t>
      </w:r>
    </w:p>
    <w:p>
      <w:pPr>
        <w:numPr>
          <w:ilvl w:val="0"/>
          <w:numId w:val="1011"/>
        </w:numPr>
        <w:pStyle w:val="Compact"/>
      </w:pPr>
      <w:r>
        <w:rPr>
          <w:bCs/>
          <w:b/>
        </w:rPr>
        <w:t xml:space="preserve">Data Granularity:</w:t>
      </w:r>
      <w:r>
        <w:t xml:space="preserve"> </w:t>
      </w:r>
      <w:r>
        <w:t xml:space="preserve">For future analyses, actively seeking primary data from all supply chain partners will further enhance accuracy and enable more precise hotspot identification.</w:t>
      </w:r>
    </w:p>
    <w:p>
      <w:r>
        <w:pict>
          <v:rect style="width:0;height:1.5pt" o:hralign="center" o:hrstd="t" o:hr="t"/>
        </w:pict>
      </w:r>
    </w:p>
    <w:bookmarkEnd w:id="38"/>
    <w:bookmarkStart w:id="39" w:name="disclaimer-and-assumptions"/>
    <w:p>
      <w:pPr>
        <w:pStyle w:val="Heading2"/>
      </w:pPr>
      <w:r>
        <w:t xml:space="preserve">Disclaimer and Assumptions</w:t>
      </w:r>
    </w:p>
    <w:p>
      <w:pPr>
        <w:pStyle w:val="FirstParagraph"/>
      </w:pPr>
      <w:r>
        <w:t xml:space="preserve">This report is based on the parameters provided and a combination of illustrative data (where specific data strings were placeholders) and industry-average emission factors. While every effort has been made to ensure accuracy and adherence to the GHG Protocol, actual emissions may vary depending on specific operational details, supplier data, and regional energy mixes. The illustrative calculations are simplified for clarity and to demonstrate the methodology. The application of the 2026 LSR Standard is considered in its current proposed form, with full guidance expected in Q2 2026.</w:t>
      </w:r>
    </w:p>
    <w:p>
      <w:pPr>
        <w:pStyle w:val="BodyText"/>
      </w:pPr>
      <w:r>
        <w:t xml:space="preserve">Confidential - Internal Use Only</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zhzdjnsghq</dc:title>
  <dc:creator/>
  <dc:description>High-detail Product Carbon Footprint (PCF) analysis for zhzdjnsghq, conducted by tvlszxtmeu, Senior Sustainability Consultant for nzqnpkstzs, adhering to GHG Protocol and 2026 LSR updates.</dc:description>
  <dc:language>en</dc:language>
  <cp:keywords/>
  <dcterms:created xsi:type="dcterms:W3CDTF">2026-07-16T02:15:56Z</dcterms:created>
  <dcterms:modified xsi:type="dcterms:W3CDTF">2026-07-16T02:15:56Z</dcterms:modified>
</cp:coreProperties>
</file>

<file path=docProps/custom.xml><?xml version="1.0" encoding="utf-8"?>
<Properties xmlns="http://schemas.openxmlformats.org/officeDocument/2006/custom-properties" xmlns:vt="http://schemas.openxmlformats.org/officeDocument/2006/docPropsVTypes"/>
</file>