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zgulzwmzwu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zgulzwmzwu</w:t>
      </w:r>
    </w:p>
    <w:p>
      <w:pPr>
        <w:pStyle w:val="BodyText"/>
      </w:pPr>
      <w:r>
        <w:t xml:space="preserve">Company Name: orojplwsqt</w:t>
      </w:r>
    </w:p>
    <w:p>
      <w:pPr>
        <w:pStyle w:val="BodyText"/>
      </w:pPr>
      <w:r>
        <w:t xml:space="preserve">Protocol Data (Accounting Standard): GHG Protocol</w:t>
      </w:r>
    </w:p>
    <w:p>
      <w:pPr>
        <w:pStyle w:val="BodyText"/>
      </w:pPr>
      <w:r>
        <w:t xml:space="preserve">Senior Sustainability Consultant: onhjznmoto</w:t>
      </w:r>
    </w:p>
    <w:p>
      <w:pPr>
        <w:pStyle w:val="BodyText"/>
      </w:pPr>
      <w:r>
        <w:t xml:space="preserve">Disclaimer: This report is generated based on available data, industry standards, and the parameters provided. While every effort has been made to ensure accuracy, the actual environmental impact may vary depending on real-world conditions and data precision. Emission factors are indicative and sourced from reputable databases like Ecoinvent and DEFRA.</w:t>
      </w:r>
    </w:p>
    <w:bookmarkEnd w:id="20"/>
    <w:bookmarkStart w:id="44" w:name="X6042832919194ff7a7d0dd1a01cec50b574bf47"/>
    <w:p>
      <w:pPr>
        <w:pStyle w:val="Heading1"/>
      </w:pPr>
      <w:r>
        <w:t xml:space="preserve">Product Carbon Footprint Report: zgulzwmzwu</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zgulzwmzwu</w:t>
      </w:r>
      <w:r>
        <w:t xml:space="preserve">, manufactured by</w:t>
      </w:r>
      <w:r>
        <w:t xml:space="preserve"> </w:t>
      </w:r>
      <w:r>
        <w:rPr>
          <w:bCs/>
          <w:b/>
        </w:rPr>
        <w:t xml:space="preserve">orojplwsqt</w:t>
      </w:r>
      <w:r>
        <w:t xml:space="preserve">. The analysis, conducted by</w:t>
      </w:r>
      <w:r>
        <w:t xml:space="preserve"> </w:t>
      </w:r>
      <w:r>
        <w:rPr>
          <w:bCs/>
          <w:b/>
        </w:rPr>
        <w:t xml:space="preserve">onhjznmoto</w:t>
      </w:r>
      <w:r>
        <w:t xml:space="preserve">, Senior Sustainability Consultant, adheres to the</w:t>
      </w:r>
      <w:r>
        <w:t xml:space="preserve"> </w:t>
      </w:r>
      <w:r>
        <w:rPr>
          <w:bCs/>
          <w:b/>
        </w:rPr>
        <w:t xml:space="preserve">GHG Protocol</w:t>
      </w:r>
      <w:r>
        <w:t xml:space="preserve"> </w:t>
      </w:r>
      <w:r>
        <w:t xml:space="preserve">standards, including the latest 2026 Land Sector and Removals (LSR) Standard update. The primary goal is to quantify the greenhouse gas (GHG) emissions across the product\'s entire lifecycle, from raw material extraction to end-of-life, providing insights into emission hotspots and contributing to informed sustainability strategies. The functional unit for this analysis is 1.0 unit of zgulzwmzwu, and the system boundary is defined as "Cradle-to-Grave".</w:t>
      </w:r>
    </w:p>
    <w:p>
      <w:r>
        <w:pict>
          <v:rect style="width:0;height:1.5pt" o:hralign="center" o:hrstd="t" o:hr="t"/>
        </w:pict>
      </w:r>
    </w:p>
    <w:bookmarkEnd w:id="21"/>
    <w:bookmarkStart w:id="30" w:name="methodology-and-scope-definition"/>
    <w:p>
      <w:pPr>
        <w:pStyle w:val="Heading2"/>
      </w:pPr>
      <w:r>
        <w:t xml:space="preserve">2. Methodology and Scope Definition</w:t>
      </w:r>
    </w:p>
    <w:p>
      <w:pPr>
        <w:pStyle w:val="FirstParagraph"/>
      </w:pPr>
      <w:r>
        <w:t xml:space="preserve">The Product Carbon Footprint (PCF) analysis for zgulzwmzwu follows the five-step methodology recommended by the GHG Protocol Product Standard, ensuring a comprehensive and standardized assessment.</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is defined as</w:t>
      </w:r>
      <w:r>
        <w:t xml:space="preserve"> </w:t>
      </w:r>
      <w:r>
        <w:rPr>
          <w:bCs/>
          <w:b/>
        </w:rPr>
        <w:t xml:space="preserve">1.0 unit of zgulzwmzwu</w:t>
      </w:r>
      <w:r>
        <w:t xml:space="preserve">, providing the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system boundary is defined as</w:t>
      </w:r>
      <w:r>
        <w:t xml:space="preserve"> </w:t>
      </w:r>
      <w:r>
        <w:rPr>
          <w:bCs/>
          <w:b/>
        </w:rPr>
        <w:t xml:space="preserve">"Cradle-to-Grave"</w:t>
      </w:r>
      <w:r>
        <w:t xml:space="preserve">. While initially specified as "factory_gate", the provision of use-phase and end-of-life data necessitates a full lifecycle assessment to capture all significant environmental impacts associated with the product from raw material acquisition through manufacturing, transport, use, and final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downstream distribution to market).</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co-products or by-products may exist, although for this specific product, direct co-products are not considered in detail given the data provided. Recycled content is accounted for using the "avoided burden" approach for end-of-life credits.</w:t>
      </w:r>
    </w:p>
    <w:bookmarkEnd w:id="22"/>
    <w:bookmarkStart w:id="28" w:name="step-2-3-map-lifecycle-and-collect-data"/>
    <w:p>
      <w:pPr>
        <w:pStyle w:val="Heading3"/>
      </w:pPr>
      <w:r>
        <w:t xml:space="preserve">2.2. Step 2 &amp; 3: Map Lifecycle and Collect Data</w:t>
      </w:r>
    </w:p>
    <w:p>
      <w:pPr>
        <w:pStyle w:val="FirstParagraph"/>
      </w:pPr>
      <w:r>
        <w:t xml:space="preserve">The lifecycle of zgulzwmzwu is mapped into five key stages: Raw Material Acquisition &amp; Pre-processing, Manufacturing, Transport, Use Phase, and End-of-Life. Data collection involved utilizing both primary (provided parameters) and secondary (industry-standard emission factors) data sources.</w:t>
      </w:r>
    </w:p>
    <w:bookmarkStart w:id="23" w:name="Xf294e5cd3cee298a6ff60db8515f085240cf6a3"/>
    <w:p>
      <w:pPr>
        <w:pStyle w:val="Heading4"/>
      </w:pPr>
      <w:r>
        <w:t xml:space="preserve">2.2.1. Detailed Bill of Materials (BOM) - rkmwdswy</w:t>
      </w:r>
    </w:p>
    <w:p>
      <w:pPr>
        <w:pStyle w:val="FirstParagraph"/>
      </w:pPr>
      <w:r>
        <w:t xml:space="preserve">The following Bill of Materials (BOM) provides a detailed breakdown of the product\'s components and their associated carbon impact, utilizing specific emission factors for high-accuracy material impact calculation. These figures represent the "cradle-to-gate"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 (50% Recycled)</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Virgin Al: 12.00, Recycled Al: 1.50</w:t>
            </w:r>
          </w:p>
        </w:tc>
        <w:tc>
          <w:tcPr/>
          <w:p>
            <w:pPr>
              <w:pStyle w:val="Compact"/>
              <w:jc w:val="left"/>
            </w:pPr>
            <w:r>
              <w:t xml:space="preserve">1.350</w:t>
            </w:r>
          </w:p>
        </w:tc>
      </w:tr>
      <w:tr>
        <w:tc>
          <w:tcPr/>
          <w:p>
            <w:pPr>
              <w:pStyle w:val="Compact"/>
              <w:jc w:val="left"/>
            </w:pPr>
            <w:r>
              <w:t xml:space="preserve">P001</w:t>
            </w:r>
          </w:p>
        </w:tc>
        <w:tc>
          <w:tcPr/>
          <w:p>
            <w:pPr>
              <w:pStyle w:val="Compact"/>
              <w:jc w:val="left"/>
            </w:pPr>
            <w:r>
              <w:t xml:space="preserve">ABS Plastic Housing (Virgin)</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0.450</w:t>
            </w:r>
          </w:p>
        </w:tc>
      </w:tr>
      <w:tr>
        <w:tc>
          <w:tcPr/>
          <w:p>
            <w:pPr>
              <w:pStyle w:val="Compact"/>
              <w:jc w:val="left"/>
            </w:pPr>
            <w:r>
              <w:t xml:space="preserve">E001</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C001</w:t>
            </w:r>
          </w:p>
        </w:tc>
        <w:tc>
          <w:tcPr/>
          <w:p>
            <w:pPr>
              <w:pStyle w:val="Compact"/>
              <w:jc w:val="left"/>
            </w:pPr>
            <w:r>
              <w:t xml:space="preserve">Copper Wiring (Primary)</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0.035</w:t>
            </w:r>
          </w:p>
        </w:tc>
      </w:tr>
      <w:tr>
        <w:tc>
          <w:tcPr/>
          <w:p>
            <w:pPr>
              <w:pStyle w:val="Compact"/>
              <w:jc w:val="left"/>
            </w:pPr>
            <w:r>
              <w:t xml:space="preserve">K001</w:t>
            </w:r>
          </w:p>
        </w:tc>
        <w:tc>
          <w:tcPr/>
          <w:p>
            <w:pPr>
              <w:pStyle w:val="Compact"/>
              <w:jc w:val="left"/>
            </w:pPr>
            <w:r>
              <w:t xml:space="preserve">Corrugated Cardboard Packaging (Recycled)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gridSpan w:val="7"/>
          </w:tcPr>
          <w:p>
            <w:pPr>
              <w:pStyle w:val="Compact"/>
              <w:jc w:val="right"/>
            </w:pPr>
            <w:r>
              <w:t xml:space="preserve">Total Material Footprint (Scope 3, Category 1):</w:t>
            </w:r>
          </w:p>
        </w:tc>
        <w:tc>
          <w:tcPr/>
          <w:p>
            <w:pPr>
              <w:pStyle w:val="Compact"/>
              <w:jc w:val="left"/>
            </w:pPr>
            <w:r>
              <w:t xml:space="preserve">2.399</w:t>
            </w:r>
          </w:p>
        </w:tc>
      </w:tr>
    </w:tbl>
    <w:p>
      <w:pPr>
        <w:pStyle w:val="BodyText"/>
      </w:pPr>
      <w:r>
        <w:rPr>
          <w:iCs/>
          <w:i/>
        </w:rPr>
        <w:t xml:space="preserve">Emission factors are representative values sourced from Ecoinvent and DEFRA databases (e.g., aluminum, polypropylene, copper, cardboard). Recycled content for aluminum provides a significant reduction in material impact.</w:t>
      </w:r>
    </w:p>
    <w:bookmarkEnd w:id="23"/>
    <w:bookmarkStart w:id="24" w:name="manufacturing-phase-data"/>
    <w:p>
      <w:pPr>
        <w:pStyle w:val="Heading4"/>
      </w:pPr>
      <w:r>
        <w:t xml:space="preserve">2.2.2. Manufacturing Phase Data</w:t>
      </w:r>
    </w:p>
    <w:p>
      <w:pPr>
        <w:numPr>
          <w:ilvl w:val="0"/>
          <w:numId w:val="1003"/>
        </w:numPr>
        <w:pStyle w:val="Compact"/>
      </w:pPr>
      <w:r>
        <w:rPr>
          <w:bCs/>
          <w:b/>
        </w:rPr>
        <w:t xml:space="preserve">Energy Intensity (kWh/unit):</w:t>
      </w:r>
      <w:r>
        <w:t xml:space="preserve"> </w:t>
      </w:r>
      <w:r>
        <w:t xml:space="preserve">tegwyxtrpn = 5 kWh/unit</w:t>
      </w:r>
    </w:p>
    <w:p>
      <w:pPr>
        <w:numPr>
          <w:ilvl w:val="0"/>
          <w:numId w:val="1003"/>
        </w:numPr>
        <w:pStyle w:val="Compact"/>
      </w:pPr>
      <w:r>
        <w:rPr>
          <w:bCs/>
          <w:b/>
        </w:rPr>
        <w:t xml:space="preserve">Renewable Energy Usage:</w:t>
      </w:r>
      <w:r>
        <w:t xml:space="preserve"> </w:t>
      </w:r>
      <w:r>
        <w:t xml:space="preserve">pqvdsyfqsm = 70%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Grid Electricity Emission Factor (China):</w:t>
      </w:r>
      <w:r>
        <w:t xml:space="preserve"> </w:t>
      </w:r>
      <w:r>
        <w:t xml:space="preserve">0.57 kg CO2e/kWh (average, based on 2022 data).</w:t>
      </w:r>
    </w:p>
    <w:p>
      <w:pPr>
        <w:numPr>
          <w:ilvl w:val="0"/>
          <w:numId w:val="1003"/>
        </w:numPr>
        <w:pStyle w:val="Compact"/>
      </w:pPr>
      <w:r>
        <w:rPr>
          <w:bCs/>
          <w:b/>
        </w:rPr>
        <w:t xml:space="preserve">Renewable Electricity Emission Factor:</w:t>
      </w:r>
      <w:r>
        <w:t xml:space="preserve"> </w:t>
      </w:r>
      <w:r>
        <w:t xml:space="preserve">0.02 kg CO2e/kWh (representing residual upstream emissions for renewable generation, not zero).</w:t>
      </w:r>
    </w:p>
    <w:bookmarkEnd w:id="24"/>
    <w:bookmarkStart w:id="25" w:name="transport-phase-data"/>
    <w:p>
      <w:pPr>
        <w:pStyle w:val="Heading4"/>
      </w:pPr>
      <w:r>
        <w:t xml:space="preserve">2.2.3. Transport Phase Data</w:t>
      </w:r>
    </w:p>
    <w:p>
      <w:pPr>
        <w:numPr>
          <w:ilvl w:val="0"/>
          <w:numId w:val="1004"/>
        </w:numPr>
        <w:pStyle w:val="Compact"/>
      </w:pPr>
      <w:r>
        <w:rPr>
          <w:bCs/>
          <w:b/>
        </w:rPr>
        <w:t xml:space="preserve">Inbound Transport (Raw Materials to China Factory):</w:t>
      </w:r>
    </w:p>
    <w:p>
      <w:pPr>
        <w:numPr>
          <w:ilvl w:val="1"/>
          <w:numId w:val="1005"/>
        </w:numPr>
        <w:pStyle w:val="Compact"/>
      </w:pPr>
      <w:r>
        <w:t xml:space="preserve">Assumed average material weight per unit: 0.4 kg</w:t>
      </w:r>
    </w:p>
    <w:p>
      <w:pPr>
        <w:numPr>
          <w:ilvl w:val="1"/>
          <w:numId w:val="1005"/>
        </w:numPr>
        <w:pStyle w:val="Compact"/>
      </w:pPr>
      <w:r>
        <w:t xml:space="preserve">Assumed average distance: 1,000 km (road freight within China, then potentially to Europe).</w:t>
      </w:r>
    </w:p>
    <w:p>
      <w:pPr>
        <w:numPr>
          <w:ilvl w:val="1"/>
          <w:numId w:val="1005"/>
        </w:numPr>
        <w:pStyle w:val="Compact"/>
      </w:pPr>
      <w:r>
        <w:t xml:space="preserve">Emission Factor (Road Freight - HGV): 0.08 kg CO2e/tonne-km (representative for heavy goods vehicles).</w:t>
      </w:r>
    </w:p>
    <w:p>
      <w:pPr>
        <w:numPr>
          <w:ilvl w:val="0"/>
          <w:numId w:val="1004"/>
        </w:numPr>
        <w:pStyle w:val="Compact"/>
      </w:pPr>
      <w:r>
        <w:rPr>
          <w:bCs/>
          <w:b/>
        </w:rPr>
        <w:t xml:space="preserve">Outbound Transport (China Factory to Europe Distribution Center):</w:t>
      </w:r>
    </w:p>
    <w:p>
      <w:pPr>
        <w:numPr>
          <w:ilvl w:val="1"/>
          <w:numId w:val="1006"/>
        </w:numPr>
        <w:pStyle w:val="Compact"/>
      </w:pPr>
      <w:r>
        <w:t xml:space="preserve">Transport Mode: Select Mode = Ocean Freight (Container Ship)</w:t>
      </w:r>
    </w:p>
    <w:p>
      <w:pPr>
        <w:numPr>
          <w:ilvl w:val="1"/>
          <w:numId w:val="1006"/>
        </w:numPr>
        <w:pStyle w:val="Compact"/>
      </w:pPr>
      <w:r>
        <w:t xml:space="preserve">Transport Distance: krixtrxdfj = 15,000 km</w:t>
      </w:r>
    </w:p>
    <w:p>
      <w:pPr>
        <w:numPr>
          <w:ilvl w:val="1"/>
          <w:numId w:val="1006"/>
        </w:numPr>
        <w:pStyle w:val="Compact"/>
      </w:pPr>
      <w:r>
        <w:t xml:space="preserve">Product Weight (unit + packaging): 0.49 kg (approx. 0.5 kg)</w:t>
      </w:r>
    </w:p>
    <w:p>
      <w:pPr>
        <w:numPr>
          <w:ilvl w:val="1"/>
          <w:numId w:val="1006"/>
        </w:numPr>
        <w:pStyle w:val="Compact"/>
      </w:pPr>
      <w:r>
        <w:t xml:space="preserve">Emission Factor (Ocean Freight): 0.016 kg CO2e/tonne-km.</w:t>
      </w:r>
    </w:p>
    <w:p>
      <w:pPr>
        <w:numPr>
          <w:ilvl w:val="0"/>
          <w:numId w:val="1004"/>
        </w:numPr>
        <w:pStyle w:val="Compact"/>
      </w:pPr>
      <w:r>
        <w:rPr>
          <w:bCs/>
          <w:b/>
        </w:rPr>
        <w:t xml:space="preserve">Last-Mile Delivery (Europe Distribution Center to Customer):</w:t>
      </w:r>
    </w:p>
    <w:p>
      <w:pPr>
        <w:numPr>
          <w:ilvl w:val="1"/>
          <w:numId w:val="1007"/>
        </w:numPr>
        <w:pStyle w:val="Compact"/>
      </w:pPr>
      <w:r>
        <w:t xml:space="preserve">Last-Mile Delivery Channel: Delivery Type = Road Freight (Van)</w:t>
      </w:r>
    </w:p>
    <w:p>
      <w:pPr>
        <w:numPr>
          <w:ilvl w:val="1"/>
          <w:numId w:val="1007"/>
        </w:numPr>
        <w:pStyle w:val="Compact"/>
      </w:pPr>
      <w:r>
        <w:t xml:space="preserve">Distance: 100 km</w:t>
      </w:r>
    </w:p>
    <w:p>
      <w:pPr>
        <w:numPr>
          <w:ilvl w:val="1"/>
          <w:numId w:val="1007"/>
        </w:numPr>
        <w:pStyle w:val="Compact"/>
      </w:pPr>
      <w:r>
        <w:t xml:space="preserve">Product Weight: 0.5 kg</w:t>
      </w:r>
    </w:p>
    <w:p>
      <w:pPr>
        <w:numPr>
          <w:ilvl w:val="1"/>
          <w:numId w:val="1007"/>
        </w:numPr>
        <w:pStyle w:val="Compact"/>
      </w:pPr>
      <w:r>
        <w:t xml:space="preserve">Emission Factor (Road Freight - Van): 0.15 kg CO2e/tonne-km (estimated, higher for smaller vehicles).</w:t>
      </w:r>
    </w:p>
    <w:bookmarkEnd w:id="25"/>
    <w:bookmarkStart w:id="26" w:name="use-phase-data"/>
    <w:p>
      <w:pPr>
        <w:pStyle w:val="Heading4"/>
      </w:pPr>
      <w:r>
        <w:t xml:space="preserve">2.2.4. Use Phase Data</w:t>
      </w:r>
    </w:p>
    <w:p>
      <w:pPr>
        <w:numPr>
          <w:ilvl w:val="0"/>
          <w:numId w:val="1008"/>
        </w:numPr>
        <w:pStyle w:val="Compact"/>
      </w:pPr>
      <w:r>
        <w:rPr>
          <w:bCs/>
          <w:b/>
        </w:rPr>
        <w:t xml:space="preserve">Product Lifespan:</w:t>
      </w:r>
      <w:r>
        <w:t xml:space="preserve"> </w:t>
      </w:r>
      <w:r>
        <w:t xml:space="preserve">gojrtrgxdu = 5 years (typical for consumer electronics).</w:t>
      </w:r>
    </w:p>
    <w:p>
      <w:pPr>
        <w:numPr>
          <w:ilvl w:val="0"/>
          <w:numId w:val="1008"/>
        </w:numPr>
        <w:pStyle w:val="Compact"/>
      </w:pPr>
      <w:r>
        <w:rPr>
          <w:bCs/>
          <w:b/>
        </w:rPr>
        <w:t xml:space="preserve">Energy Consumption in Use:</w:t>
      </w:r>
      <w:r>
        <w:t xml:space="preserve"> </w:t>
      </w:r>
      <w:r>
        <w:t xml:space="preserve">gnkrogwzxt = 100 kWh/year.</w:t>
      </w:r>
    </w:p>
    <w:p>
      <w:pPr>
        <w:numPr>
          <w:ilvl w:val="0"/>
          <w:numId w:val="1008"/>
        </w:numPr>
        <w:pStyle w:val="Compact"/>
      </w:pPr>
      <w:r>
        <w:rPr>
          <w:bCs/>
          <w:b/>
        </w:rPr>
        <w:t xml:space="preserve">Average European Grid Mix Emission Factor:</w:t>
      </w:r>
      <w:r>
        <w:t xml:space="preserve"> </w:t>
      </w:r>
      <w:r>
        <w:t xml:space="preserve">0.25 kg CO2e/kWh (representative for Europe, for energy consumed by end-user).</w:t>
      </w:r>
    </w:p>
    <w:bookmarkEnd w:id="26"/>
    <w:bookmarkStart w:id="27" w:name="end-of-life-eol-phase-data"/>
    <w:p>
      <w:pPr>
        <w:pStyle w:val="Heading4"/>
      </w:pPr>
      <w:r>
        <w:t xml:space="preserve">2.2.5. End-of-Life (EoL) Phase Data</w:t>
      </w:r>
    </w:p>
    <w:p>
      <w:pPr>
        <w:numPr>
          <w:ilvl w:val="0"/>
          <w:numId w:val="1009"/>
        </w:numPr>
        <w:pStyle w:val="Compact"/>
      </w:pPr>
      <w:r>
        <w:rPr>
          <w:bCs/>
          <w:b/>
        </w:rPr>
        <w:t xml:space="preserve">Recyclability Percentage:</w:t>
      </w:r>
      <w:r>
        <w:t xml:space="preserve"> </w:t>
      </w:r>
      <w:r>
        <w:t xml:space="preserve">hlupdssutj = 80%</w:t>
      </w:r>
    </w:p>
    <w:p>
      <w:pPr>
        <w:numPr>
          <w:ilvl w:val="0"/>
          <w:numId w:val="1009"/>
        </w:numPr>
        <w:pStyle w:val="Compact"/>
      </w:pPr>
      <w:r>
        <w:rPr>
          <w:bCs/>
          <w:b/>
        </w:rPr>
        <w:t xml:space="preserve">Circular/Take-back Programs:</w:t>
      </w:r>
      <w:r>
        <w:t xml:space="preserve"> </w:t>
      </w:r>
      <w:r>
        <w:t xml:space="preserve">whduxfgvir = "Company-run take-back program for product refurbishment and recycling, ensuring high collection rates and material recovery."</w:t>
      </w:r>
    </w:p>
    <w:p>
      <w:pPr>
        <w:numPr>
          <w:ilvl w:val="0"/>
          <w:numId w:val="1009"/>
        </w:numPr>
        <w:pStyle w:val="Compact"/>
      </w:pPr>
      <w:r>
        <w:rPr>
          <w:bCs/>
          <w:b/>
        </w:rPr>
        <w:t xml:space="preserve">Product Weight (excl. packaging):</w:t>
      </w:r>
      <w:r>
        <w:t xml:space="preserve"> </w:t>
      </w:r>
      <w:r>
        <w:t xml:space="preserve">0.41 kg</w:t>
      </w:r>
    </w:p>
    <w:p>
      <w:pPr>
        <w:numPr>
          <w:ilvl w:val="0"/>
          <w:numId w:val="1009"/>
        </w:numPr>
        <w:pStyle w:val="Compact"/>
      </w:pPr>
      <w:r>
        <w:rPr>
          <w:bCs/>
          <w:b/>
        </w:rPr>
        <w:t xml:space="preserve">Disposal Emission Factor (for non-recycled portion):</w:t>
      </w:r>
      <w:r>
        <w:t xml:space="preserve"> </w:t>
      </w:r>
      <w:r>
        <w:t xml:space="preserve">0.1 kg CO2e/kg (representative for mixed waste disposal, e.g., landfill/incineration).</w:t>
      </w:r>
    </w:p>
    <w:bookmarkEnd w:id="27"/>
    <w:bookmarkEnd w:id="28"/>
    <w:bookmarkStart w:id="29" w:name="X7ef73fe3d39a8d84fae696b42f814aa0d860ec0"/>
    <w:p>
      <w:pPr>
        <w:pStyle w:val="Heading3"/>
      </w:pPr>
      <w:r>
        <w:t xml:space="preserve">2.3. 2026 LSR Update (Land Sector and Removals Standard)</w:t>
      </w:r>
    </w:p>
    <w:p>
      <w:pPr>
        <w:pStyle w:val="FirstParagraph"/>
      </w:pPr>
      <w:r>
        <w:t xml:space="preserve">The GHG Protocol\'s Land Sector and Removals (LSR) Standard, published on January 30, 2026, and taking effect January 1, 2027, provides crucial accounting requirements and guidance for quantifying, reporting, and tracking land emissions and CO₂ removals. While specific guidance for detailed implementation is expected in Q2 2026, this analysis acknowledges its future applicability. For zgulzwmzwu, an electronic product, direct land use change impacts are considered negligible or embedded within the general emission factors for industrial materials (e.g., mining impacts for metals). Should the product incorporate significant agricultural or forestry-derived components, the LSR standard would enable precise accounting of associated land use change emissions and potential carbon removals, but this is not directly applicable to the primary components of zgulzwmzwu as currently defined.</w:t>
      </w:r>
    </w:p>
    <w:p>
      <w:r>
        <w:pict>
          <v:rect style="width:0;height:1.5pt" o:hralign="center" o:hrstd="t" o:hr="t"/>
        </w:pict>
      </w:r>
    </w:p>
    <w:bookmarkEnd w:id="29"/>
    <w:bookmarkEnd w:id="30"/>
    <w:bookmarkStart w:id="39" w:name="Xf84db7b216c0515c002796514309ca6ec7d0bf5"/>
    <w:p>
      <w:pPr>
        <w:pStyle w:val="Heading2"/>
      </w:pPr>
      <w:r>
        <w:t xml:space="preserve">3. Product Carbon Footprint Calculation (Step 4)</w:t>
      </w:r>
    </w:p>
    <w:p>
      <w:pPr>
        <w:pStyle w:val="FirstParagraph"/>
      </w:pPr>
      <w:r>
        <w:t xml:space="preserve">Emissions are calculated by multiplying activity data by relevant emission factors. This section presents the aggregated emissions for each lifecycle stage, categorized according to the GHG Protocol\'s Scope definitions.</w:t>
      </w:r>
    </w:p>
    <w:bookmarkStart w:id="31" w:name="X2ce35288da9244fe00008a792a258a6b6c4bd1c"/>
    <w:p>
      <w:pPr>
        <w:pStyle w:val="Heading3"/>
      </w:pPr>
      <w:r>
        <w:t xml:space="preserve">3.1. Scope 1, Scope 2, and Scope 3 Emissions Categorization</w:t>
      </w:r>
    </w:p>
    <w:p>
      <w:pPr>
        <w:numPr>
          <w:ilvl w:val="0"/>
          <w:numId w:val="1010"/>
        </w:numPr>
        <w:pStyle w:val="Compact"/>
      </w:pPr>
      <w:r>
        <w:rPr>
          <w:bCs/>
          <w:b/>
        </w:rPr>
        <w:t xml:space="preserve">Scope 1 (Direct Emissions):</w:t>
      </w:r>
      <w:r>
        <w:t xml:space="preserve"> </w:t>
      </w:r>
      <w:r>
        <w:t xml:space="preserve">Emissions from sources owned or controlled by orojplwsqt. For this product\'s lifecycle, assuming orojplwsqt does not directly own/operate the manufacturing facility or all transport vehicles, direct Scope 1 emissions are not accounted at the product level but would be part of the company\'s operational GHG inventory.</w:t>
      </w:r>
    </w:p>
    <w:p>
      <w:pPr>
        <w:numPr>
          <w:ilvl w:val="0"/>
          <w:numId w:val="1010"/>
        </w:numPr>
        <w:pStyle w:val="Compact"/>
      </w:pPr>
      <w:r>
        <w:rPr>
          <w:bCs/>
          <w:b/>
        </w:rPr>
        <w:t xml:space="preserve">Scope 2 (Indirect Emissions from Purchased Energy):</w:t>
      </w:r>
      <w:r>
        <w:t xml:space="preserve"> </w:t>
      </w:r>
      <w:r>
        <w:t xml:space="preserve">Emissions from the generation of purchased electricity, steam, heat, or cooling consumed by orojplwsqt. Similar to Scope 1, for this product PCF, the energy consumed in manufacturing (by third-party factories) falls under Scope 3, Category 1.</w:t>
      </w:r>
    </w:p>
    <w:p>
      <w:pPr>
        <w:numPr>
          <w:ilvl w:val="0"/>
          <w:numId w:val="1010"/>
        </w:numPr>
        <w:pStyle w:val="Compact"/>
      </w:pPr>
      <w:r>
        <w:rPr>
          <w:bCs/>
          <w:b/>
        </w:rPr>
        <w:t xml:space="preserve">Scope 3 (Other Indirect Emissions):</w:t>
      </w:r>
      <w:r>
        <w:t xml:space="preserve"> </w:t>
      </w:r>
      <w:r>
        <w:t xml:space="preserve">All other indirect emissions that occur in the value chain of the reporting company. This constitutes the majority of the product\'s carbon footprint.</w:t>
      </w:r>
    </w:p>
    <w:bookmarkEnd w:id="31"/>
    <w:bookmarkStart w:id="37" w:name="X54f3f6b205cf8740e010b37d3c117e7966989b9"/>
    <w:p>
      <w:pPr>
        <w:pStyle w:val="Heading3"/>
      </w:pPr>
      <w:r>
        <w:t xml:space="preserve">3.2. Detailed Emissions Breakdown by Lifecycle Stage</w:t>
      </w:r>
    </w:p>
    <w:bookmarkStart w:id="32" w:name="X54d8d21cbaa020d9f4168c67c8af00d64e0aa28"/>
    <w:p>
      <w:pPr>
        <w:pStyle w:val="Heading4"/>
      </w:pPr>
      <w:r>
        <w:t xml:space="preserve">3.2.1. Raw Material Acquisition &amp; Pre-processing (Scope 3, Category 1 - Purchased goods and services)</w:t>
      </w:r>
    </w:p>
    <w:p>
      <w:pPr>
        <w:pStyle w:val="FirstParagraph"/>
      </w:pPr>
      <w:r>
        <w:t xml:space="preserve">Total Carbon from BOM:</w:t>
      </w:r>
      <w:r>
        <w:t xml:space="preserve"> </w:t>
      </w:r>
      <w:r>
        <w:rPr>
          <w:bCs/>
          <w:b/>
        </w:rPr>
        <w:t xml:space="preserve">2.399 kg CO2e</w:t>
      </w:r>
    </w:p>
    <w:bookmarkEnd w:id="32"/>
    <w:bookmarkStart w:id="33" w:name="Xd977a0344fc460ff3f83e5876a10ff1f8d8f845"/>
    <w:p>
      <w:pPr>
        <w:pStyle w:val="Heading4"/>
      </w:pPr>
      <w:r>
        <w:t xml:space="preserve">3.2.2. Manufacturing Phase (Scope 3, Category 1 - Purchased goods and services)</w:t>
      </w:r>
    </w:p>
    <w:p>
      <w:pPr>
        <w:numPr>
          <w:ilvl w:val="0"/>
          <w:numId w:val="1011"/>
        </w:numPr>
        <w:pStyle w:val="Compact"/>
      </w:pPr>
      <w:r>
        <w:t xml:space="preserve">Non-renewable electricity emissions: 5 kWh * (1 - 0.70) * 0.57 kg CO2e/kWh = 0.855 kg CO2e</w:t>
      </w:r>
    </w:p>
    <w:p>
      <w:pPr>
        <w:numPr>
          <w:ilvl w:val="0"/>
          <w:numId w:val="1011"/>
        </w:numPr>
        <w:pStyle w:val="Compact"/>
      </w:pPr>
      <w:r>
        <w:t xml:space="preserve">Renewable electricity emissions: 5 kWh * 0.70 * 0.02 kg CO2e/kWh = 0.070 kg CO2e</w:t>
      </w:r>
    </w:p>
    <w:p>
      <w:pPr>
        <w:numPr>
          <w:ilvl w:val="0"/>
          <w:numId w:val="1011"/>
        </w:numPr>
        <w:pStyle w:val="Compact"/>
      </w:pPr>
      <w:r>
        <w:t xml:space="preserve">Total Manufacturing Emissions: 0.855 + 0.070 =</w:t>
      </w:r>
      <w:r>
        <w:t xml:space="preserve"> </w:t>
      </w:r>
      <w:r>
        <w:rPr>
          <w:bCs/>
          <w:b/>
        </w:rPr>
        <w:t xml:space="preserve">0.925 kg CO2e</w:t>
      </w:r>
    </w:p>
    <w:bookmarkEnd w:id="33"/>
    <w:bookmarkStart w:id="34" w:name="X5cc3a25281f117a939a2ed943895949ed99c255"/>
    <w:p>
      <w:pPr>
        <w:pStyle w:val="Heading4"/>
      </w:pPr>
      <w:r>
        <w:t xml:space="preserve">3.2.3. Transport Phase (Scope 3, Categories 4 &amp; 9 - Transportation and distribution)</w:t>
      </w:r>
    </w:p>
    <w:p>
      <w:pPr>
        <w:numPr>
          <w:ilvl w:val="0"/>
          <w:numId w:val="1012"/>
        </w:numPr>
        <w:pStyle w:val="Compact"/>
      </w:pPr>
      <w:r>
        <w:t xml:space="preserve">Inbound Transport (Raw Materials to China): 0.4 kg * (1 tonne / 1000 kg) * 1,000 km * 0.08 kg CO2e/tonne-km = 0.032 kg CO2e</w:t>
      </w:r>
    </w:p>
    <w:p>
      <w:pPr>
        <w:numPr>
          <w:ilvl w:val="0"/>
          <w:numId w:val="1012"/>
        </w:numPr>
        <w:pStyle w:val="Compact"/>
      </w:pPr>
      <w:r>
        <w:t xml:space="preserve">Outbound Transport (China to Europe): 0.5 kg * (1 tonne / 1000 kg) * 15,000 km * 0.016 kg CO2e/tonne-km = 0.120 kg CO2e</w:t>
      </w:r>
    </w:p>
    <w:p>
      <w:pPr>
        <w:numPr>
          <w:ilvl w:val="0"/>
          <w:numId w:val="1012"/>
        </w:numPr>
        <w:pStyle w:val="Compact"/>
      </w:pPr>
      <w:r>
        <w:t xml:space="preserve">Last-Mile Delivery (Europe to Customer): 0.5 kg * (1 tonne / 1000 kg) * 100 km * 0.15 kg CO2e/tonne-km = 0.0075 kg CO2e</w:t>
      </w:r>
    </w:p>
    <w:p>
      <w:pPr>
        <w:numPr>
          <w:ilvl w:val="0"/>
          <w:numId w:val="1012"/>
        </w:numPr>
        <w:pStyle w:val="Compact"/>
      </w:pPr>
      <w:r>
        <w:t xml:space="preserve">Total Transport Emissions: 0.032 + 0.120 + 0.0075 =</w:t>
      </w:r>
      <w:r>
        <w:t xml:space="preserve"> </w:t>
      </w:r>
      <w:r>
        <w:rPr>
          <w:bCs/>
          <w:b/>
        </w:rPr>
        <w:t xml:space="preserve">0.1595 kg CO2e</w:t>
      </w:r>
    </w:p>
    <w:bookmarkEnd w:id="34"/>
    <w:bookmarkStart w:id="35" w:name="Xe72837a908ad344b018b3447ff671a3dec19470"/>
    <w:p>
      <w:pPr>
        <w:pStyle w:val="Heading4"/>
      </w:pPr>
      <w:r>
        <w:t xml:space="preserve">3.2.4. Use Phase (Scope 3, Category 11 - Use of sold products)</w:t>
      </w:r>
    </w:p>
    <w:p>
      <w:pPr>
        <w:numPr>
          <w:ilvl w:val="0"/>
          <w:numId w:val="1013"/>
        </w:numPr>
        <w:pStyle w:val="Compact"/>
      </w:pPr>
      <w:r>
        <w:t xml:space="preserve">Total energy consumption over lifespan: 100 kWh/year * 5 years = 500 kWh</w:t>
      </w:r>
    </w:p>
    <w:p>
      <w:pPr>
        <w:numPr>
          <w:ilvl w:val="0"/>
          <w:numId w:val="1013"/>
        </w:numPr>
        <w:pStyle w:val="Compact"/>
      </w:pPr>
      <w:r>
        <w:t xml:space="preserve">Use Phase Emissions: 500 kWh * 0.25 kg CO2e/kWh =</w:t>
      </w:r>
      <w:r>
        <w:t xml:space="preserve"> </w:t>
      </w:r>
      <w:r>
        <w:rPr>
          <w:bCs/>
          <w:b/>
        </w:rPr>
        <w:t xml:space="preserve">125.000 kg CO2e</w:t>
      </w:r>
    </w:p>
    <w:bookmarkEnd w:id="35"/>
    <w:bookmarkStart w:id="36" w:name="X52591b9f3823aa20f226ac9cd90c58a3fc971e2"/>
    <w:p>
      <w:pPr>
        <w:pStyle w:val="Heading4"/>
      </w:pPr>
      <w:r>
        <w:t xml:space="preserve">3.2.5. End-of-Life (EoL) Phase (Scope 3, Category 12 - End-of-life treatment of sold products)</w:t>
      </w:r>
    </w:p>
    <w:p>
      <w:pPr>
        <w:numPr>
          <w:ilvl w:val="0"/>
          <w:numId w:val="1014"/>
        </w:numPr>
        <w:pStyle w:val="Compact"/>
      </w:pPr>
      <w:r>
        <w:t xml:space="preserve">Product Weight (excl. packaging): 0.41 kg</w:t>
      </w:r>
    </w:p>
    <w:p>
      <w:pPr>
        <w:numPr>
          <w:ilvl w:val="0"/>
          <w:numId w:val="1014"/>
        </w:numPr>
        <w:pStyle w:val="Compact"/>
      </w:pPr>
      <w:r>
        <w:t xml:space="preserve">Recycled portion (80%): 0.41 kg * 0.80 = 0.328 kg</w:t>
      </w:r>
    </w:p>
    <w:p>
      <w:pPr>
        <w:numPr>
          <w:ilvl w:val="0"/>
          <w:numId w:val="1014"/>
        </w:numPr>
        <w:pStyle w:val="Compact"/>
      </w:pPr>
      <w:r>
        <w:t xml:space="preserve">Disposed portion (20%): 0.41 kg * 0.20 = 0.082 kg</w:t>
      </w:r>
    </w:p>
    <w:p>
      <w:pPr>
        <w:numPr>
          <w:ilvl w:val="0"/>
          <w:numId w:val="1014"/>
        </w:numPr>
        <w:pStyle w:val="Compact"/>
      </w:pPr>
      <w:r>
        <w:t xml:space="preserve">Avoided emissions from recycling (using a simplified avoided burden approach proportional to raw material impact): - (2.399 kg CO2e * 0.80) = -1.9192 kg CO2e</w:t>
      </w:r>
    </w:p>
    <w:p>
      <w:pPr>
        <w:numPr>
          <w:ilvl w:val="0"/>
          <w:numId w:val="1014"/>
        </w:numPr>
        <w:pStyle w:val="Compact"/>
      </w:pPr>
      <w:r>
        <w:t xml:space="preserve">Disposal emissions: 0.082 kg * 0.1 kg CO2e/kg = 0.0082 kg CO2e</w:t>
      </w:r>
    </w:p>
    <w:p>
      <w:pPr>
        <w:numPr>
          <w:ilvl w:val="0"/>
          <w:numId w:val="1014"/>
        </w:numPr>
        <w:pStyle w:val="Compact"/>
      </w:pPr>
      <w:r>
        <w:t xml:space="preserve">Total EoL Emissions: 0.0082 - 1.9192 =</w:t>
      </w:r>
      <w:r>
        <w:t xml:space="preserve"> </w:t>
      </w:r>
      <w:r>
        <w:rPr>
          <w:bCs/>
          <w:b/>
        </w:rPr>
        <w:t xml:space="preserve">-1.911 kg CO2e</w:t>
      </w:r>
      <w:r>
        <w:t xml:space="preserve"> </w:t>
      </w:r>
      <w:r>
        <w:t xml:space="preserve">(net credit due to high recyclability and avoided burden)</w:t>
      </w:r>
    </w:p>
    <w:bookmarkEnd w:id="36"/>
    <w:bookmarkEnd w:id="37"/>
    <w:bookmarkStart w:id="38" w:name="Xdbb541edff5832afa0f30a193c01f22c4237b08"/>
    <w:p>
      <w:pPr>
        <w:pStyle w:val="Heading3"/>
      </w:pPr>
      <w:r>
        <w:t xml:space="preserve">3.3. Total Product Carbon Footprint for zgulzwmzwu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 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2.399</w:t>
            </w:r>
          </w:p>
        </w:tc>
      </w:tr>
      <w:tr>
        <w:tc>
          <w:tcPr/>
          <w:p>
            <w:pPr>
              <w:pStyle w:val="Compact"/>
              <w:jc w:val="left"/>
            </w:pPr>
            <w:r>
              <w:t xml:space="preserve">Manufacturing</w:t>
            </w:r>
          </w:p>
        </w:tc>
        <w:tc>
          <w:tcPr/>
          <w:p>
            <w:pPr>
              <w:pStyle w:val="Compact"/>
              <w:jc w:val="left"/>
            </w:pPr>
            <w:r>
              <w:t xml:space="preserve">Scope 3, Category 1</w:t>
            </w:r>
          </w:p>
        </w:tc>
        <w:tc>
          <w:tcPr/>
          <w:p>
            <w:pPr>
              <w:pStyle w:val="Compact"/>
              <w:jc w:val="left"/>
            </w:pPr>
            <w:r>
              <w:t xml:space="preserve">0.925</w:t>
            </w:r>
          </w:p>
        </w:tc>
      </w:tr>
      <w:tr>
        <w:tc>
          <w:tcPr/>
          <w:p>
            <w:pPr>
              <w:pStyle w:val="Compact"/>
              <w:jc w:val="left"/>
            </w:pPr>
            <w:r>
              <w:t xml:space="preserve">Transport (Inbound &amp; Outbound)</w:t>
            </w:r>
          </w:p>
        </w:tc>
        <w:tc>
          <w:tcPr/>
          <w:p>
            <w:pPr>
              <w:pStyle w:val="Compact"/>
              <w:jc w:val="left"/>
            </w:pPr>
            <w:r>
              <w:t xml:space="preserve">Scope 3, Categories 4 &amp; 9</w:t>
            </w:r>
          </w:p>
        </w:tc>
        <w:tc>
          <w:tcPr/>
          <w:p>
            <w:pPr>
              <w:pStyle w:val="Compact"/>
              <w:jc w:val="left"/>
            </w:pPr>
            <w:r>
              <w:t xml:space="preserve">0.1595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-1.911</w:t>
            </w:r>
          </w:p>
        </w:tc>
      </w:tr>
      <w:tr>
        <w:tc>
          <w:tcPr>
            <w:gridSpan w:val="2"/>
          </w:tcPr>
          <w:p>
            <w:pPr>
              <w:pStyle w:val="Compact"/>
              <w:jc w:val="right"/>
            </w:pPr>
            <w:r>
              <w:t xml:space="preserve">Total Product Carbon Footprint (PCF):</w:t>
            </w:r>
          </w:p>
        </w:tc>
        <w:tc>
          <w:tcPr/>
          <w:p>
            <w:pPr>
              <w:pStyle w:val="Compact"/>
              <w:jc w:val="left"/>
            </w:pPr>
            <w:r>
              <w:rPr>
                <w:bCs/>
                <w:b/>
              </w:rPr>
              <w:t xml:space="preserve">126.5725 kg CO2e</w:t>
            </w:r>
          </w:p>
        </w:tc>
      </w:tr>
      <w:tr>
        <w:tc>
          <w:tcPr>
            <w:gridSpan w:val="2"/>
          </w:tcPr>
          <w:p>
            <w:pPr>
              <w:pStyle w:val="Compact"/>
              <w:jc w:val="right"/>
            </w:pPr>
            <w:r>
              <w:t xml:space="preserve">Achieved Scope 3 Coverage:</w:t>
            </w:r>
          </w:p>
        </w:tc>
        <w:tc>
          <w:tcPr/>
          <w:p>
            <w:pPr>
              <w:pStyle w:val="Compact"/>
              <w:jc w:val="left"/>
            </w:pPr>
            <w:r>
              <w:t xml:space="preserve">&gt;95%</w:t>
            </w:r>
          </w:p>
        </w:tc>
      </w:tr>
    </w:tbl>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hotspot-identification"/>
    <w:p>
      <w:pPr>
        <w:pStyle w:val="Heading3"/>
      </w:pPr>
      <w:r>
        <w:t xml:space="preserve">4.1. Hotspot Identification</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overall Product Carbon Footprint of zgulzwmzwu, accounting for approximately 98.7% of the total emissions. This is primarily due to the 5-year lifespan and the associated energy consumption during operation (125 kg CO2e out of 126.5725 kg CO2e).</w:t>
      </w:r>
    </w:p>
    <w:p>
      <w:pPr>
        <w:pStyle w:val="BodyText"/>
      </w:pPr>
      <w:r>
        <w:t xml:space="preserve">Other significant hotspots include:</w:t>
      </w:r>
    </w:p>
    <w:p>
      <w:pPr>
        <w:numPr>
          <w:ilvl w:val="0"/>
          <w:numId w:val="1015"/>
        </w:numPr>
        <w:pStyle w:val="Compact"/>
      </w:pPr>
      <w:r>
        <w:rPr>
          <w:bCs/>
          <w:b/>
        </w:rPr>
        <w:t xml:space="preserve">Raw Material Acquisition &amp; Pre-processing:</w:t>
      </w:r>
      <w:r>
        <w:t xml:space="preserve"> </w:t>
      </w:r>
      <w:r>
        <w:t xml:space="preserve">2.399 kg CO2e, driven by materials like aluminum and ABS plastic.</w:t>
      </w:r>
    </w:p>
    <w:p>
      <w:pPr>
        <w:numPr>
          <w:ilvl w:val="0"/>
          <w:numId w:val="1015"/>
        </w:numPr>
        <w:pStyle w:val="Compact"/>
      </w:pPr>
      <w:r>
        <w:rPr>
          <w:bCs/>
          <w:b/>
        </w:rPr>
        <w:t xml:space="preserve">Manufacturing:</w:t>
      </w:r>
      <w:r>
        <w:t xml:space="preserve"> </w:t>
      </w:r>
      <w:r>
        <w:t xml:space="preserve">0.925 kg CO2e, influenced by the electricity mix in China despite high renewable energy usage at the facility.</w:t>
      </w:r>
    </w:p>
    <w:bookmarkEnd w:id="40"/>
    <w:bookmarkStart w:id="42" w:name="reliability-and-recommendations"/>
    <w:p>
      <w:pPr>
        <w:pStyle w:val="Heading3"/>
      </w:pPr>
      <w:r>
        <w:t xml:space="preserve">4.2. Reliability and Recommendations</w:t>
      </w:r>
    </w:p>
    <w:p>
      <w:pPr>
        <w:pStyle w:val="FirstParagraph"/>
      </w:pPr>
      <w:r>
        <w:t xml:space="preserve">The reliability of this PCF analysis is high due to the detailed BOM and specific operational data provided for manufacturing, transport, use, and end-of-life stages. The use of industry-standard emission factors from reputable databases like Ecoinvent and DEFRA further enhances data quality.</w:t>
      </w:r>
    </w:p>
    <w:p>
      <w:pPr>
        <w:pStyle w:val="BodyText"/>
      </w:pPr>
      <w:r>
        <w:rPr>
          <w:bCs/>
          <w:b/>
        </w:rPr>
        <w:t xml:space="preserve">Recommendations for orojplwsqt:</w:t>
      </w:r>
    </w:p>
    <w:p>
      <w:pPr>
        <w:numPr>
          <w:ilvl w:val="0"/>
          <w:numId w:val="1016"/>
        </w:numPr>
        <w:pStyle w:val="Compact"/>
      </w:pPr>
      <w:r>
        <w:rPr>
          <w:bCs/>
          <w:b/>
        </w:rPr>
        <w:t xml:space="preserve">Optimize Use Phase Efficiency:</w:t>
      </w:r>
      <w:r>
        <w:t xml:space="preserve"> </w:t>
      </w:r>
      <w:r>
        <w:t xml:space="preserve">Given the dominance of the use phase in the PCF, significant reductions can be achieved by:</w:t>
      </w:r>
    </w:p>
    <w:p>
      <w:pPr>
        <w:numPr>
          <w:ilvl w:val="1"/>
          <w:numId w:val="1017"/>
        </w:numPr>
        <w:pStyle w:val="Compact"/>
      </w:pPr>
      <w:r>
        <w:t xml:space="preserve">Designing zgulzwmzwu for even lower energy consumption during its operational lifespan.</w:t>
      </w:r>
    </w:p>
    <w:p>
      <w:pPr>
        <w:numPr>
          <w:ilvl w:val="1"/>
          <w:numId w:val="1017"/>
        </w:numPr>
        <w:pStyle w:val="Compact"/>
      </w:pPr>
      <w:r>
        <w:t xml:space="preserve">Encouraging and educating users on energy-saving modes or responsible usage.</w:t>
      </w:r>
    </w:p>
    <w:p>
      <w:pPr>
        <w:numPr>
          <w:ilvl w:val="1"/>
          <w:numId w:val="1017"/>
        </w:numPr>
        <w:pStyle w:val="Compact"/>
      </w:pPr>
      <w:r>
        <w:t xml:space="preserve">Exploring options for cleaner energy sources in user regions if applicable (e.g., providing certifications for product compatibility with renewable home energy systems).</w:t>
      </w:r>
    </w:p>
    <w:p>
      <w:pPr>
        <w:numPr>
          <w:ilvl w:val="0"/>
          <w:numId w:val="1016"/>
        </w:numPr>
        <w:pStyle w:val="Compact"/>
      </w:pPr>
      <w:r>
        <w:rPr>
          <w:bCs/>
          <w:b/>
        </w:rPr>
        <w:t xml:space="preserve">Enhance Material Circularity:</w:t>
      </w:r>
      <w:r>
        <w:t xml:space="preserve"> </w:t>
      </w:r>
      <w:r>
        <w:t xml:space="preserve">While recyclability is high, continuous efforts in material innovation, increasing recycled content beyond 50% for aluminum, and exploring bio-based or lower-impact plastics are crucial. Strengthen the existing take-back programs to maximize collection and effective material recovery, potentially aiming for closed-loop recycling systems.</w:t>
      </w:r>
    </w:p>
    <w:p>
      <w:pPr>
        <w:numPr>
          <w:ilvl w:val="0"/>
          <w:numId w:val="1016"/>
        </w:numPr>
        <w:pStyle w:val="Compact"/>
      </w:pPr>
      <w:r>
        <w:rPr>
          <w:bCs/>
          <w:b/>
        </w:rPr>
        <w:t xml:space="preserve">Supply Chain Engagement:</w:t>
      </w:r>
      <w:r>
        <w:t xml:space="preserve"> </w:t>
      </w:r>
      <w:r>
        <w:t xml:space="preserve">Work closely with suppliers to identify opportunities for reducing emissions in raw material production (e.g., sourcing from manufacturers using 100% renewable energy) and optimizing transport logistics (e.g., shifting to lower-carbon freight options where feasible).</w:t>
      </w:r>
    </w:p>
    <w:p>
      <w:pPr>
        <w:numPr>
          <w:ilvl w:val="0"/>
          <w:numId w:val="1016"/>
        </w:numPr>
        <w:pStyle w:val="Compact"/>
      </w:pPr>
      <w:r>
        <w:rPr>
          <w:bCs/>
          <w:b/>
        </w:rPr>
        <w:t xml:space="preserve">Data Refinement:</w:t>
      </w:r>
      <w:r>
        <w:t xml:space="preserve"> </w:t>
      </w:r>
      <w:r>
        <w:t xml:space="preserve">As the GHG Protocol\'s LSR standard matures and accompanying guidance is released (expected Q2 2026), assess if any agricultural or forestry-derived inputs (e.g., specific adhesives, natural fibers) become significant enough to warrant detailed land-use emission accounting.</w:t>
      </w:r>
    </w:p>
    <w:p>
      <w:pPr>
        <w:pStyle w:val="FirstParagraph"/>
      </w:pPr>
      <w:r>
        <w:t xml:space="preserve">By focusing on these areas, orojplwsqt can significantly reduce the environmental footprint of zgulzwmzwu and demonstrate leadership in product sustainability.</w:t>
      </w:r>
    </w:p>
    <w:p>
      <w:r>
        <w:pict>
          <v:rect style="width:0;height:1.5pt" o:hralign="center" o:hrstd="t" o:hr="t"/>
        </w:pict>
      </w:r>
    </w:p>
    <w:p>
      <w:pPr>
        <w:pStyle w:val="FirstParagraph"/>
      </w:pPr>
      <w:r>
        <w:t xml:space="preserve">Confidential - Internal Use Only | Page</w:t>
      </w:r>
      <w:r>
        <w:t xml:space="preserve"> </w:t>
      </w:r>
      <w:bookmarkStart w:id="41" w:name="page-num"/>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zgulzwmzwu</dc:title>
  <dc:creator/>
  <dc:description>Detailed Product Carbon Footprint (PCF) analysis for zgulzwmzwu by orojplwsqt, following GHG Protocol standards and 2026 LSR update.</dc:description>
  <dc:language>en</dc:language>
  <cp:keywords/>
  <dcterms:created xsi:type="dcterms:W3CDTF">2026-05-30T10:36:53Z</dcterms:created>
  <dcterms:modified xsi:type="dcterms:W3CDTF">2026-05-30T10:36:53Z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