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zfnntoxzwv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zfnntoxzwv</w:t>
      </w:r>
    </w:p>
    <w:p>
      <w:pPr>
        <w:pStyle w:val="BodyText"/>
      </w:pPr>
      <w:r>
        <w:rPr>
          <w:bCs/>
          <w:b/>
        </w:rPr>
        <w:t xml:space="preserve">Company:</w:t>
      </w:r>
      <w:r>
        <w:t xml:space="preserve"> </w:t>
      </w:r>
      <w:r>
        <w:t xml:space="preserve">quhkkqedkd</w:t>
      </w:r>
    </w:p>
    <w:p>
      <w:pPr>
        <w:pStyle w:val="BodyText"/>
      </w:pPr>
      <w:r>
        <w:rPr>
          <w:bCs/>
          <w:b/>
        </w:rPr>
        <w:t xml:space="preserve">Senior Sustainability Consultant:</w:t>
      </w:r>
      <w:r>
        <w:t xml:space="preserve"> </w:t>
      </w:r>
      <w:r>
        <w:t xml:space="preserve">sjojrwrose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subject to data completeness and the inherent uncertainties of emission factors.</w:t>
      </w:r>
    </w:p>
    <w:bookmarkEnd w:id="20"/>
    <w:p>
      <w:pPr>
        <w:pStyle w:val="BodyText"/>
      </w:pPr>
      <w:r>
        <w:t xml:space="preserve">Product Carbon Footprint Analysis Report | Generated Date: May 26, 2026</w:t>
      </w:r>
    </w:p>
    <w:bookmarkStart w:id="47" w:name="Xa9d94b6508976b6861be2842a8e68b855d629ac"/>
    <w:p>
      <w:pPr>
        <w:pStyle w:val="Heading1"/>
      </w:pPr>
      <w:r>
        <w:t xml:space="preserve">Product Carbon Footprint (PCF) Analysis for zfnntoxzwv</w:t>
      </w:r>
    </w:p>
    <w:p>
      <w:pPr>
        <w:pStyle w:val="FirstParagraph"/>
      </w:pPr>
      <w:r>
        <w:t xml:space="preserve">This report details the Product Carbon Footprint (PCF) analysis for the product</w:t>
      </w:r>
      <w:r>
        <w:t xml:space="preserve"> </w:t>
      </w:r>
      <w:r>
        <w:rPr>
          <w:bCs/>
          <w:b/>
        </w:rPr>
        <w:t xml:space="preserve">zfnntoxzwv</w:t>
      </w:r>
      <w:r>
        <w:t xml:space="preserve">, produced by</w:t>
      </w:r>
      <w:r>
        <w:t xml:space="preserve"> </w:t>
      </w:r>
      <w:r>
        <w:rPr>
          <w:bCs/>
          <w:b/>
        </w:rPr>
        <w:t xml:space="preserve">quhkkqedkd</w:t>
      </w:r>
      <w:r>
        <w:t xml:space="preserve">. The analysis is conducted by Senior Sustainability Consultant</w:t>
      </w:r>
      <w:r>
        <w:t xml:space="preserve"> </w:t>
      </w:r>
      <w:r>
        <w:rPr>
          <w:bCs/>
          <w:b/>
        </w:rPr>
        <w:t xml:space="preserve">sjojrwrose</w:t>
      </w:r>
      <w:r>
        <w:t xml:space="preserve">, specializing in GHG Protocol, to provide a high-detail assessment of the product\'s environmental impact across its lifecycle stages up to the factory gate, with an extended view of subsequent stages.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w:t>
      </w:r>
      <w:r>
        <w:t xml:space="preserve"> </w:t>
      </w:r>
      <w:r>
        <w:rPr>
          <w:bCs/>
          <w:b/>
        </w:rPr>
        <w:t xml:space="preserve">zfnntoxzwv</w:t>
      </w:r>
      <w:r>
        <w:t xml:space="preserve">, a product of</w:t>
      </w:r>
      <w:r>
        <w:t xml:space="preserve"> </w:t>
      </w:r>
      <w:r>
        <w:rPr>
          <w:bCs/>
          <w:b/>
        </w:rPr>
        <w:t xml:space="preserve">quhkkqedkd</w:t>
      </w:r>
      <w:r>
        <w:t xml:space="preserve">. Following the GHG Protocol, the assessment covers a \'cradle-to-gate\' system boundary, encompassing raw material acquisition, pre-processing, inbound transportation, and manufacturing. Key findings highlight material sourcing and manufacturing energy as significant emission hotspots. An extended analysis provides insights into distribution, use phase, and end-of-life impacts, offering a comprehensive view for strategic sustainability improvements and compliance with evolving 2026 GHG Protocol requirements, including the Land Sector and Removals (LSR) Standard.</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This section outlines the foundational parameters for the Product Carbon Footprint analysis of zfnntoxzwv.</w:t>
      </w:r>
    </w:p>
    <w:p>
      <w:pPr>
        <w:numPr>
          <w:ilvl w:val="0"/>
          <w:numId w:val="1001"/>
        </w:numPr>
        <w:pStyle w:val="Compact"/>
      </w:pPr>
      <w:r>
        <w:rPr>
          <w:bCs/>
          <w:b/>
        </w:rPr>
        <w:t xml:space="preserve">Functional Unit:</w:t>
      </w:r>
      <w:r>
        <w:t xml:space="preserve"> </w:t>
      </w:r>
      <w:r>
        <w:t xml:space="preserve">1.0 unit of zfnntoxzwv</w:t>
      </w:r>
    </w:p>
    <w:p>
      <w:pPr>
        <w:numPr>
          <w:ilvl w:val="0"/>
          <w:numId w:val="1001"/>
        </w:numPr>
        <w:pStyle w:val="Compact"/>
      </w:pPr>
      <w:r>
        <w:rPr>
          <w:bCs/>
          <w:b/>
        </w:rPr>
        <w:t xml:space="preserve">System Boundary:</w:t>
      </w:r>
      <w:r>
        <w:t xml:space="preserve"> </w:t>
      </w:r>
      <w:r>
        <w:t xml:space="preserve">factory_gate (Cradle-to-Gate). This includes all upstream activities from raw material extraction, processing, component manufacturing, inbound logistics to the point where the finished product leaves the manufacturing facility. Downstream stages (distribution, use phase, and end-of-life) are assessed separately as an extended lifecycle impact for completeness, beyond the strict factory_gate boundary.</w:t>
      </w:r>
    </w:p>
    <w:p>
      <w:pPr>
        <w:numPr>
          <w:ilvl w:val="0"/>
          <w:numId w:val="1001"/>
        </w:numPr>
        <w:pStyle w:val="Compact"/>
      </w:pPr>
      <w:r>
        <w:rPr>
          <w:bCs/>
          <w:b/>
        </w:rPr>
        <w:t xml:space="preserve">Geographic Scope:</w:t>
      </w:r>
      <w:r>
        <w:t xml:space="preserve"> </w:t>
      </w:r>
      <w:r>
        <w:t xml:space="preserve">Final Production Country: China, with a Supply Chain Focus on Europe for raw material sourcing and component manufacturing.</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Where co-production occurs, mass-based allocation is assumed for material impacts. For shared transport, emissions are allocated based on the mass of the product.</w:t>
      </w:r>
    </w:p>
    <w:p>
      <w:r>
        <w:pict>
          <v:rect style="width:0;height:1.5pt" o:hralign="center" o:hrstd="t" o:hr="t"/>
        </w:pict>
      </w:r>
    </w:p>
    <w:bookmarkEnd w:id="22"/>
    <w:bookmarkStart w:id="23" w:name="lifecycle-mapping-lci-inventory-stages"/>
    <w:p>
      <w:pPr>
        <w:pStyle w:val="Heading2"/>
      </w:pPr>
      <w:r>
        <w:t xml:space="preserve">2. Lifecycle Mapping (LCI Inventory Stages)</w:t>
      </w:r>
    </w:p>
    <w:p>
      <w:pPr>
        <w:pStyle w:val="FirstParagraph"/>
      </w:pPr>
      <w:r>
        <w:t xml:space="preserve">The lifecycle of zfnntoxzwv has been mapped to identify all relevant stages contributing to its carbon footprint:</w:t>
      </w:r>
    </w:p>
    <w:p>
      <w:pPr>
        <w:numPr>
          <w:ilvl w:val="0"/>
          <w:numId w:val="1002"/>
        </w:numPr>
        <w:pStyle w:val="Compact"/>
      </w:pPr>
      <w:r>
        <w:rPr>
          <w:bCs/>
          <w:b/>
        </w:rPr>
        <w:t xml:space="preserve">Raw Material Acquisition &amp; Pre-processing:</w:t>
      </w:r>
      <w:r>
        <w:t xml:space="preserve"> </w:t>
      </w:r>
      <w:r>
        <w:t xml:space="preserve">Extraction, processing, and initial manufacturing of all materials and components specified in the Bill of Materials (BOM).</w:t>
      </w:r>
    </w:p>
    <w:p>
      <w:pPr>
        <w:numPr>
          <w:ilvl w:val="0"/>
          <w:numId w:val="1002"/>
        </w:numPr>
        <w:pStyle w:val="Compact"/>
      </w:pPr>
      <w:r>
        <w:rPr>
          <w:bCs/>
          <w:b/>
        </w:rPr>
        <w:t xml:space="preserve">Inbound Transportation:</w:t>
      </w:r>
      <w:r>
        <w:t xml:space="preserve"> </w:t>
      </w:r>
      <w:r>
        <w:t xml:space="preserve">Logistics of raw materials and components from their origin (Europe-focused supply chain) to the manufacturing facility in China.</w:t>
      </w:r>
    </w:p>
    <w:p>
      <w:pPr>
        <w:numPr>
          <w:ilvl w:val="0"/>
          <w:numId w:val="1002"/>
        </w:numPr>
        <w:pStyle w:val="Compact"/>
      </w:pPr>
      <w:r>
        <w:rPr>
          <w:bCs/>
          <w:b/>
        </w:rPr>
        <w:t xml:space="preserve">Manufacturing/Production:</w:t>
      </w:r>
      <w:r>
        <w:t xml:space="preserve"> </w:t>
      </w:r>
      <w:r>
        <w:t xml:space="preserve">All energy consumption and processes occurring at the quhkkqedkd production facility in China to assemble zfnntoxzwv.</w:t>
      </w:r>
    </w:p>
    <w:p>
      <w:pPr>
        <w:numPr>
          <w:ilvl w:val="0"/>
          <w:numId w:val="1002"/>
        </w:numPr>
        <w:pStyle w:val="Compact"/>
      </w:pPr>
      <w:r>
        <w:rPr>
          <w:bCs/>
          <w:b/>
        </w:rPr>
        <w:t xml:space="preserve">Distribution (Outbound Logistics):</w:t>
      </w:r>
      <w:r>
        <w:t xml:space="preserve"> </w:t>
      </w:r>
      <w:r>
        <w:t xml:space="preserve">Transportation of the finished product from the factory gate to the customer, including last-mile delivery (assessed as an extended impact).</w:t>
      </w:r>
    </w:p>
    <w:p>
      <w:pPr>
        <w:numPr>
          <w:ilvl w:val="0"/>
          <w:numId w:val="1002"/>
        </w:numPr>
        <w:pStyle w:val="Compact"/>
      </w:pPr>
      <w:r>
        <w:rPr>
          <w:bCs/>
          <w:b/>
        </w:rPr>
        <w:t xml:space="preserve">Use Phase:</w:t>
      </w:r>
      <w:r>
        <w:t xml:space="preserve"> </w:t>
      </w:r>
      <w:r>
        <w:t xml:space="preserve">Energy consumption by the product during its lifespan (assessed as an extended impact).</w:t>
      </w:r>
    </w:p>
    <w:p>
      <w:pPr>
        <w:numPr>
          <w:ilvl w:val="0"/>
          <w:numId w:val="1002"/>
        </w:numPr>
        <w:pStyle w:val="Compact"/>
      </w:pPr>
      <w:r>
        <w:rPr>
          <w:bCs/>
          <w:b/>
        </w:rPr>
        <w:t xml:space="preserve">End-of-Life (EoL):</w:t>
      </w:r>
      <w:r>
        <w:t xml:space="preserve"> </w:t>
      </w:r>
      <w:r>
        <w:t xml:space="preserve">Disposal, recycling, or recovery processes at the end of the product\'s lifespan (assessed as an extended impact).</w:t>
      </w:r>
    </w:p>
    <w:p>
      <w:r>
        <w:pict>
          <v:rect style="width:0;height:1.5pt" o:hralign="center" o:hrstd="t" o:hr="t"/>
        </w:pict>
      </w:r>
    </w:p>
    <w:bookmarkEnd w:id="23"/>
    <w:bookmarkStart w:id="29" w:name="data-collection"/>
    <w:p>
      <w:pPr>
        <w:pStyle w:val="Heading2"/>
      </w:pPr>
      <w:r>
        <w:t xml:space="preserve">3. Data Collection</w:t>
      </w:r>
    </w:p>
    <w:p>
      <w:pPr>
        <w:pStyle w:val="FirstParagraph"/>
      </w:pPr>
      <w:r>
        <w:t xml:space="preserve">Comprehensive data collection involved both primary and secondary sources. Specific parameters provided were integrated directly into the analysis.</w:t>
      </w:r>
    </w:p>
    <w:bookmarkStart w:id="24" w:name="X026abfe90f7b0f0c9cb4ed494061a411dba4b61"/>
    <w:p>
      <w:pPr>
        <w:pStyle w:val="Heading3"/>
      </w:pPr>
      <w:r>
        <w:t xml:space="preserve">3.1. Detailed Bill of Materials (BOM) for zfnntoxzwv</w:t>
      </w:r>
    </w:p>
    <w:p>
      <w:pPr>
        <w:pStyle w:val="FirstParagraph"/>
      </w:pPr>
      <w:r>
        <w:t xml:space="preserve">The following detailed BOM data (representing \'lsjflrxt\' in the parameters) was used to calculate the material impact, including both the quantity (Qty) and an emission factor (EF) to derive the \'Total Carbon\' for each item. This total is considered Scope 3 - Upstream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5.5</w:t>
            </w:r>
          </w:p>
        </w:tc>
        <w:tc>
          <w:tcPr/>
          <w:p>
            <w:pPr>
              <w:pStyle w:val="Compact"/>
              <w:jc w:val="left"/>
            </w:pPr>
            <w:r>
              <w:t xml:space="preserve">1.65</w:t>
            </w:r>
          </w:p>
        </w:tc>
      </w:tr>
      <w:tr>
        <w:tc>
          <w:tcPr/>
          <w:p>
            <w:pPr>
              <w:pStyle w:val="Compact"/>
              <w:jc w:val="left"/>
            </w:pPr>
            <w:r>
              <w:t xml:space="preserve">102</w:t>
            </w:r>
          </w:p>
        </w:tc>
        <w:tc>
          <w:tcPr/>
          <w:p>
            <w:pPr>
              <w:pStyle w:val="Compact"/>
              <w:jc w:val="left"/>
            </w:pPr>
            <w:r>
              <w:t xml:space="preserve">PCBA (Printed Circuit Board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103</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Emissions (Scope 3 - Upstream):</w:t>
            </w:r>
          </w:p>
        </w:tc>
        <w:tc>
          <w:tcPr/>
          <w:p>
            <w:pPr>
              <w:pStyle w:val="Compact"/>
              <w:jc w:val="left"/>
            </w:pPr>
            <w:r>
              <w:rPr>
                <w:bCs/>
                <w:b/>
              </w:rPr>
              <w:t xml:space="preserve">4.65 kgCO2e</w:t>
            </w:r>
          </w:p>
        </w:tc>
      </w:tr>
    </w:tbl>
    <w:p>
      <w:pPr>
        <w:pStyle w:val="BodyText"/>
      </w:pPr>
      <w:r>
        <w:t xml:space="preserve">Total product weight for transport calculations (sum of Qty): 0.75 kg</w:t>
      </w:r>
    </w:p>
    <w:bookmarkEnd w:id="24"/>
    <w:bookmarkStart w:id="25"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lozggsmjkr = 25 kWh/unit</w:t>
      </w:r>
    </w:p>
    <w:p>
      <w:pPr>
        <w:numPr>
          <w:ilvl w:val="0"/>
          <w:numId w:val="1003"/>
        </w:numPr>
        <w:pStyle w:val="Compact"/>
      </w:pPr>
      <w:r>
        <w:rPr>
          <w:bCs/>
          <w:b/>
        </w:rPr>
        <w:t xml:space="preserve">Renewable Energy Usage:</w:t>
      </w:r>
      <w:r>
        <w:t xml:space="preserve"> </w:t>
      </w:r>
      <w:r>
        <w:t xml:space="preserve">jkegvillhp = 30%</w:t>
      </w:r>
    </w:p>
    <w:p>
      <w:pPr>
        <w:numPr>
          <w:ilvl w:val="0"/>
          <w:numId w:val="1003"/>
        </w:numPr>
        <w:pStyle w:val="Compact"/>
      </w:pPr>
      <w:r>
        <w:rPr>
          <w:bCs/>
          <w:b/>
        </w:rPr>
        <w:t xml:space="preserve">Non-renewable Energy Usage:</w:t>
      </w:r>
      <w:r>
        <w:t xml:space="preserve"> </w:t>
      </w:r>
      <w:r>
        <w:t xml:space="preserve">70%</w:t>
      </w:r>
    </w:p>
    <w:p>
      <w:pPr>
        <w:numPr>
          <w:ilvl w:val="0"/>
          <w:numId w:val="1003"/>
        </w:numPr>
        <w:pStyle w:val="Compact"/>
      </w:pPr>
      <w:r>
        <w:rPr>
          <w:bCs/>
          <w:b/>
        </w:rPr>
        <w:t xml:space="preserve">Electricity Grid Emission Factor (China):</w:t>
      </w:r>
      <w:r>
        <w:t xml:space="preserve"> </w:t>
      </w:r>
      <w:r>
        <w:t xml:space="preserve">0.556 kgCO2e/kWh</w:t>
      </w:r>
    </w:p>
    <w:bookmarkEnd w:id="25"/>
    <w:bookmarkStart w:id="26" w:name="logistics-data"/>
    <w:p>
      <w:pPr>
        <w:pStyle w:val="Heading3"/>
      </w:pPr>
      <w:r>
        <w:t xml:space="preserve">3.3. Logistics Data</w:t>
      </w:r>
    </w:p>
    <w:p>
      <w:pPr>
        <w:numPr>
          <w:ilvl w:val="0"/>
          <w:numId w:val="1004"/>
        </w:numPr>
        <w:pStyle w:val="Compact"/>
      </w:pPr>
      <w:r>
        <w:rPr>
          <w:bCs/>
          <w:b/>
        </w:rPr>
        <w:t xml:space="preserve">Inbound Transport Mode:</w:t>
      </w:r>
      <w:r>
        <w:t xml:space="preserve"> </w:t>
      </w:r>
      <w:r>
        <w:t xml:space="preserve">Select Mode = Road freight (HGV &gt; 16t)</w:t>
      </w:r>
    </w:p>
    <w:p>
      <w:pPr>
        <w:numPr>
          <w:ilvl w:val="0"/>
          <w:numId w:val="1004"/>
        </w:numPr>
        <w:pStyle w:val="Compact"/>
      </w:pPr>
      <w:r>
        <w:rPr>
          <w:bCs/>
          <w:b/>
        </w:rPr>
        <w:t xml:space="preserve">Inbound Transport Distance:</w:t>
      </w:r>
      <w:r>
        <w:t xml:space="preserve"> </w:t>
      </w:r>
      <w:r>
        <w:t xml:space="preserve">wxfllgdfjn = 8000 km (for materials to China manufacturing)</w:t>
      </w:r>
    </w:p>
    <w:p>
      <w:pPr>
        <w:numPr>
          <w:ilvl w:val="0"/>
          <w:numId w:val="1004"/>
        </w:numPr>
        <w:pStyle w:val="Compact"/>
      </w:pPr>
      <w:r>
        <w:rPr>
          <w:bCs/>
          <w:b/>
        </w:rPr>
        <w:t xml:space="preserve">Outbound Transport Mode (to distribution hub):</w:t>
      </w:r>
      <w:r>
        <w:t xml:space="preserve"> </w:t>
      </w:r>
      <w:r>
        <w:t xml:space="preserve">Road freight (HGV &gt; 16t)</w:t>
      </w:r>
    </w:p>
    <w:p>
      <w:pPr>
        <w:numPr>
          <w:ilvl w:val="0"/>
          <w:numId w:val="1004"/>
        </w:numPr>
        <w:pStyle w:val="Compact"/>
      </w:pPr>
      <w:r>
        <w:rPr>
          <w:bCs/>
          <w:b/>
        </w:rPr>
        <w:t xml:space="preserve">Outbound Transport Distance (to distribution hub):</w:t>
      </w:r>
      <w:r>
        <w:t xml:space="preserve"> </w:t>
      </w:r>
      <w:r>
        <w:t xml:space="preserve">10000 km (from China to Europe)</w:t>
      </w:r>
    </w:p>
    <w:p>
      <w:pPr>
        <w:numPr>
          <w:ilvl w:val="0"/>
          <w:numId w:val="1004"/>
        </w:numPr>
        <w:pStyle w:val="Compact"/>
      </w:pPr>
      <w:r>
        <w:rPr>
          <w:bCs/>
          <w:b/>
        </w:rPr>
        <w:t xml:space="preserve">Last-Mile Delivery Channel:</w:t>
      </w:r>
      <w:r>
        <w:t xml:space="preserve"> </w:t>
      </w:r>
      <w:r>
        <w:t xml:space="preserve">Delivery Type = Road freight (Light Commercial Vehicle)</w:t>
      </w:r>
    </w:p>
    <w:p>
      <w:pPr>
        <w:numPr>
          <w:ilvl w:val="0"/>
          <w:numId w:val="1004"/>
        </w:numPr>
        <w:pStyle w:val="Compact"/>
      </w:pPr>
      <w:r>
        <w:rPr>
          <w:bCs/>
          <w:b/>
        </w:rPr>
        <w:t xml:space="preserve">Last-Mile Delivery Distance:</w:t>
      </w:r>
      <w:r>
        <w:t xml:space="preserve"> </w:t>
      </w:r>
      <w:r>
        <w:t xml:space="preserve">500 km</w:t>
      </w:r>
    </w:p>
    <w:p>
      <w:pPr>
        <w:numPr>
          <w:ilvl w:val="0"/>
          <w:numId w:val="1004"/>
        </w:numPr>
        <w:pStyle w:val="Compact"/>
      </w:pPr>
      <w:r>
        <w:rPr>
          <w:bCs/>
          <w:b/>
        </w:rPr>
        <w:t xml:space="preserve">Emission Factor - Road freight (HGV &gt; 16t):</w:t>
      </w:r>
      <w:r>
        <w:t xml:space="preserve"> </w:t>
      </w:r>
      <w:r>
        <w:t xml:space="preserve">0.13 kgCO2e/tkm</w:t>
      </w:r>
    </w:p>
    <w:p>
      <w:pPr>
        <w:numPr>
          <w:ilvl w:val="0"/>
          <w:numId w:val="1004"/>
        </w:numPr>
        <w:pStyle w:val="Compact"/>
      </w:pPr>
      <w:r>
        <w:rPr>
          <w:bCs/>
          <w:b/>
        </w:rPr>
        <w:t xml:space="preserve">Emission Factor - Road freight (Light Commercial Vehicle):</w:t>
      </w:r>
      <w:r>
        <w:t xml:space="preserve"> </w:t>
      </w:r>
      <w:r>
        <w:t xml:space="preserve">0.20 kgCO2e/tkm (estimated)</w:t>
      </w:r>
    </w:p>
    <w:bookmarkEnd w:id="26"/>
    <w:bookmarkStart w:id="27" w:name="use-phase-data-extended-impact"/>
    <w:p>
      <w:pPr>
        <w:pStyle w:val="Heading3"/>
      </w:pPr>
      <w:r>
        <w:t xml:space="preserve">3.4. Use Phase Data (Extended Impact)</w:t>
      </w:r>
    </w:p>
    <w:p>
      <w:pPr>
        <w:numPr>
          <w:ilvl w:val="0"/>
          <w:numId w:val="1005"/>
        </w:numPr>
        <w:pStyle w:val="Compact"/>
      </w:pPr>
      <w:r>
        <w:rPr>
          <w:bCs/>
          <w:b/>
        </w:rPr>
        <w:t xml:space="preserve">Product Lifespan:</w:t>
      </w:r>
      <w:r>
        <w:t xml:space="preserve"> </w:t>
      </w:r>
      <w:r>
        <w:t xml:space="preserve">kfpgnmpoel = 5 years</w:t>
      </w:r>
    </w:p>
    <w:p>
      <w:pPr>
        <w:numPr>
          <w:ilvl w:val="0"/>
          <w:numId w:val="1005"/>
        </w:numPr>
        <w:pStyle w:val="Compact"/>
      </w:pPr>
      <w:r>
        <w:rPr>
          <w:bCs/>
          <w:b/>
        </w:rPr>
        <w:t xml:space="preserve">Energy Consumption in Use:</w:t>
      </w:r>
      <w:r>
        <w:t xml:space="preserve"> </w:t>
      </w:r>
      <w:r>
        <w:t xml:space="preserve">vonqkthgrp = 10 kWh/year</w:t>
      </w:r>
    </w:p>
    <w:p>
      <w:pPr>
        <w:numPr>
          <w:ilvl w:val="0"/>
          <w:numId w:val="1005"/>
        </w:numPr>
        <w:pStyle w:val="Compact"/>
      </w:pPr>
      <w:r>
        <w:rPr>
          <w:bCs/>
          <w:b/>
        </w:rPr>
        <w:t xml:space="preserve">Electricity Grid Emission Factor (Europe - average estimate for use phase):</w:t>
      </w:r>
      <w:r>
        <w:t xml:space="preserve"> </w:t>
      </w:r>
      <w:r>
        <w:t xml:space="preserve">0.25 kgCO2e/kWh (illustrative, varies widely by country)</w:t>
      </w:r>
    </w:p>
    <w:bookmarkEnd w:id="27"/>
    <w:bookmarkStart w:id="28" w:name="Xe31e28ae757ef892c3bb059c3327fe6b4a7a51d"/>
    <w:p>
      <w:pPr>
        <w:pStyle w:val="Heading3"/>
      </w:pPr>
      <w:r>
        <w:t xml:space="preserve">3.5. End-of-Life (EoL) Scenarios (Extended Impact)</w:t>
      </w:r>
    </w:p>
    <w:p>
      <w:pPr>
        <w:numPr>
          <w:ilvl w:val="0"/>
          <w:numId w:val="1006"/>
        </w:numPr>
        <w:pStyle w:val="Compact"/>
      </w:pPr>
      <w:r>
        <w:rPr>
          <w:bCs/>
          <w:b/>
        </w:rPr>
        <w:t xml:space="preserve">Recyclability Percentage:</w:t>
      </w:r>
      <w:r>
        <w:t xml:space="preserve"> </w:t>
      </w:r>
      <w:r>
        <w:t xml:space="preserve">idojikkixx = 70%</w:t>
      </w:r>
    </w:p>
    <w:p>
      <w:pPr>
        <w:numPr>
          <w:ilvl w:val="0"/>
          <w:numId w:val="1006"/>
        </w:numPr>
        <w:pStyle w:val="Compact"/>
      </w:pPr>
      <w:r>
        <w:rPr>
          <w:bCs/>
          <w:b/>
        </w:rPr>
        <w:t xml:space="preserve">Circular/Take-back Programs:</w:t>
      </w:r>
      <w:r>
        <w:t xml:space="preserve"> </w:t>
      </w:r>
      <w:r>
        <w:t xml:space="preserve">xseggrsott = quhkkqedkd offers a comprehensive take-back program for end-of-life products, facilitating material recovery and proper disposal.</w:t>
      </w:r>
    </w:p>
    <w:p>
      <w:pPr>
        <w:numPr>
          <w:ilvl w:val="0"/>
          <w:numId w:val="1006"/>
        </w:numPr>
        <w:pStyle w:val="Compact"/>
      </w:pPr>
      <w:r>
        <w:rPr>
          <w:bCs/>
          <w:b/>
        </w:rPr>
        <w:t xml:space="preserve">Waste to Landfill Emission Factor:</w:t>
      </w:r>
      <w:r>
        <w:t xml:space="preserve"> </w:t>
      </w:r>
      <w:r>
        <w:t xml:space="preserve">1.0 kgCO2e/kg (for unrecycled portion)</w:t>
      </w:r>
    </w:p>
    <w:p>
      <w:pPr>
        <w:numPr>
          <w:ilvl w:val="0"/>
          <w:numId w:val="1006"/>
        </w:numPr>
        <w:pStyle w:val="Compact"/>
      </w:pPr>
      <w:r>
        <w:rPr>
          <w:bCs/>
          <w:b/>
        </w:rPr>
        <w:t xml:space="preserve">Avoided Emissions Factor (Recycling Credit):</w:t>
      </w:r>
      <w:r>
        <w:t xml:space="preserve"> </w:t>
      </w:r>
      <w:r>
        <w:t xml:space="preserve">-1.5 kgCO2e/kg (illustrative average credit for virgin material replacement)</w:t>
      </w:r>
    </w:p>
    <w:p>
      <w:r>
        <w:pict>
          <v:rect style="width:0;height:1.5pt" o:hralign="center" o:hrstd="t" o:hr="t"/>
        </w:pict>
      </w:r>
    </w:p>
    <w:bookmarkEnd w:id="28"/>
    <w:bookmarkEnd w:id="29"/>
    <w:bookmarkStart w:id="40"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for each lifecycle stage, categorized according to the GHG Protocol.</w:t>
      </w:r>
    </w:p>
    <w:bookmarkStart w:id="33" w:name="Xe0a4af0bbfc3b165f1fcf4d5897ae35d9bf6abd"/>
    <w:p>
      <w:pPr>
        <w:pStyle w:val="Heading3"/>
      </w:pPr>
      <w:r>
        <w:t xml:space="preserve">4.1. Cradle-to-Gate PCF (Within System Boundary)</w:t>
      </w:r>
    </w:p>
    <w:bookmarkStart w:id="30" w:name="Xff31e690bfe279af69cf88b9219fe5d56042afb"/>
    <w:p>
      <w:pPr>
        <w:pStyle w:val="Heading4"/>
      </w:pPr>
      <w:r>
        <w:t xml:space="preserve">4.1.1. Raw Material Acquisition &amp; Pre-processing (Scope 3 - Upstream)</w:t>
      </w:r>
    </w:p>
    <w:p>
      <w:pPr>
        <w:pStyle w:val="FirstParagraph"/>
      </w:pPr>
      <w:r>
        <w:t xml:space="preserve">As calculated from the Detailed BOM in Section 3.1:</w:t>
      </w:r>
    </w:p>
    <w:p>
      <w:pPr>
        <w:numPr>
          <w:ilvl w:val="0"/>
          <w:numId w:val="1007"/>
        </w:numPr>
        <w:pStyle w:val="Compact"/>
      </w:pPr>
      <w:r>
        <w:rPr>
          <w:bCs/>
          <w:b/>
        </w:rPr>
        <w:t xml:space="preserve">Total Material Emissions:</w:t>
      </w:r>
      <w:r>
        <w:t xml:space="preserve"> </w:t>
      </w:r>
      <w:r>
        <w:t xml:space="preserve">4.65 kgCO2e</w:t>
      </w:r>
    </w:p>
    <w:bookmarkEnd w:id="30"/>
    <w:bookmarkStart w:id="31" w:name="Xe5cf2eb2b92183245e3e85e2ac0ffa01fd94dc8"/>
    <w:p>
      <w:pPr>
        <w:pStyle w:val="Heading4"/>
      </w:pPr>
      <w:r>
        <w:t xml:space="preserve">4.1.2. Inbound Transportation (Scope 3 - Upstream)</w:t>
      </w:r>
    </w:p>
    <w:p>
      <w:pPr>
        <w:pStyle w:val="FirstParagraph"/>
      </w:pPr>
      <w:r>
        <w:t xml:space="preserve">Calculation: Total Product Weight (kg) * Inbound Distance (km) * Inbound EF (kgCO2e/tkm)</w:t>
      </w:r>
    </w:p>
    <w:p>
      <w:pPr>
        <w:numPr>
          <w:ilvl w:val="0"/>
          <w:numId w:val="1008"/>
        </w:numPr>
        <w:pStyle w:val="Compact"/>
      </w:pPr>
      <w:r>
        <w:t xml:space="preserve">Total Product Weight: 0.75 kg (0.00075 tonnes)</w:t>
      </w:r>
    </w:p>
    <w:p>
      <w:pPr>
        <w:numPr>
          <w:ilvl w:val="0"/>
          <w:numId w:val="1008"/>
        </w:numPr>
        <w:pStyle w:val="Compact"/>
      </w:pPr>
      <w:r>
        <w:t xml:space="preserve">Inbound Distance (Europe to China): 8000 km</w:t>
      </w:r>
    </w:p>
    <w:p>
      <w:pPr>
        <w:numPr>
          <w:ilvl w:val="0"/>
          <w:numId w:val="1008"/>
        </w:numPr>
        <w:pStyle w:val="Compact"/>
      </w:pPr>
      <w:r>
        <w:t xml:space="preserve">Inbound EF (HGV &gt; 16t): 0.13 kgCO2e/tkm</w:t>
      </w:r>
    </w:p>
    <w:p>
      <w:pPr>
        <w:numPr>
          <w:ilvl w:val="0"/>
          <w:numId w:val="1008"/>
        </w:numPr>
        <w:pStyle w:val="Compact"/>
      </w:pPr>
      <w:r>
        <w:rPr>
          <w:bCs/>
          <w:b/>
        </w:rPr>
        <w:t xml:space="preserve">Inbound Transport Emissions:</w:t>
      </w:r>
      <w:r>
        <w:t xml:space="preserve"> </w:t>
      </w:r>
      <w:r>
        <w:t xml:space="preserve">0.00075 t * 8000 km * 0.13 kgCO2e/tkm = 0.78 kgCO2e</w:t>
      </w:r>
    </w:p>
    <w:bookmarkEnd w:id="31"/>
    <w:bookmarkStart w:id="32" w:name="Xb5420d90fb060144e22253cf5467f4708389ba0"/>
    <w:p>
      <w:pPr>
        <w:pStyle w:val="Heading4"/>
      </w:pPr>
      <w:r>
        <w:t xml:space="preserve">4.1.3. Manufacturing/Production (Scope 2 - Purchased Electricity)</w:t>
      </w:r>
    </w:p>
    <w:p>
      <w:pPr>
        <w:pStyle w:val="FirstParagraph"/>
      </w:pPr>
      <w:r>
        <w:t xml:space="preserve">Calculation: Energy Intensity (kWh/unit) * (1 - Renewable Energy Usage) * Electricity Grid EF (kgCO2e/kWh)</w:t>
      </w:r>
    </w:p>
    <w:p>
      <w:pPr>
        <w:numPr>
          <w:ilvl w:val="0"/>
          <w:numId w:val="1009"/>
        </w:numPr>
        <w:pStyle w:val="Compact"/>
      </w:pPr>
      <w:r>
        <w:t xml:space="preserve">Energy Intensity: 25 kWh/unit</w:t>
      </w:r>
    </w:p>
    <w:p>
      <w:pPr>
        <w:numPr>
          <w:ilvl w:val="0"/>
          <w:numId w:val="1009"/>
        </w:numPr>
        <w:pStyle w:val="Compact"/>
      </w:pPr>
      <w:r>
        <w:t xml:space="preserve">Non-renewable Energy Usage: 70%</w:t>
      </w:r>
    </w:p>
    <w:p>
      <w:pPr>
        <w:numPr>
          <w:ilvl w:val="0"/>
          <w:numId w:val="1009"/>
        </w:numPr>
        <w:pStyle w:val="Compact"/>
      </w:pPr>
      <w:r>
        <w:t xml:space="preserve">Electricity Grid EF (China): 0.556 kgCO2e/kWh</w:t>
      </w:r>
    </w:p>
    <w:p>
      <w:pPr>
        <w:numPr>
          <w:ilvl w:val="0"/>
          <w:numId w:val="1009"/>
        </w:numPr>
        <w:pStyle w:val="Compact"/>
      </w:pPr>
      <w:r>
        <w:rPr>
          <w:bCs/>
          <w:b/>
        </w:rPr>
        <w:t xml:space="preserve">Manufacturing Emissions:</w:t>
      </w:r>
      <w:r>
        <w:t xml:space="preserve"> </w:t>
      </w:r>
      <w:r>
        <w:t xml:space="preserve">25 kWh/unit * 0.70 * 0.556 kgCO2e/kWh = 9.73 kgCO2e</w:t>
      </w:r>
    </w:p>
    <w:bookmarkEnd w:id="32"/>
    <w:bookmarkEnd w:id="33"/>
    <w:bookmarkStart w:id="34" w:name="X716a7513100bbe00a090e625b36288e7cce7703"/>
    <w:p>
      <w:pPr>
        <w:pStyle w:val="Heading3"/>
      </w:pPr>
      <w:r>
        <w:t xml:space="preserve">Summary of Cradle-to-Gate PCF for zfnntoxzwv</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4.65</w:t>
            </w:r>
          </w:p>
        </w:tc>
      </w:tr>
      <w:tr>
        <w:tc>
          <w:tcPr/>
          <w:p>
            <w:pPr>
              <w:pStyle w:val="Compact"/>
              <w:jc w:val="left"/>
            </w:pPr>
            <w:r>
              <w:t xml:space="preserve">Inbound Transportation</w:t>
            </w:r>
          </w:p>
        </w:tc>
        <w:tc>
          <w:tcPr/>
          <w:p>
            <w:pPr>
              <w:pStyle w:val="Compact"/>
              <w:jc w:val="left"/>
            </w:pPr>
            <w:r>
              <w:t xml:space="preserve">Scope 3 (Upstream)</w:t>
            </w:r>
          </w:p>
        </w:tc>
        <w:tc>
          <w:tcPr/>
          <w:p>
            <w:pPr>
              <w:pStyle w:val="Compact"/>
              <w:jc w:val="left"/>
            </w:pPr>
            <w:r>
              <w:t xml:space="preserve">0.78</w:t>
            </w:r>
          </w:p>
        </w:tc>
      </w:tr>
      <w:tr>
        <w:tc>
          <w:tcPr/>
          <w:p>
            <w:pPr>
              <w:pStyle w:val="Compact"/>
              <w:jc w:val="left"/>
            </w:pPr>
            <w:r>
              <w:t xml:space="preserve">Manufacturing/Production</w:t>
            </w:r>
          </w:p>
        </w:tc>
        <w:tc>
          <w:tcPr/>
          <w:p>
            <w:pPr>
              <w:pStyle w:val="Compact"/>
              <w:jc w:val="left"/>
            </w:pPr>
            <w:r>
              <w:t xml:space="preserve">Scope 2 (Purchased Electricity)</w:t>
            </w:r>
          </w:p>
        </w:tc>
        <w:tc>
          <w:tcPr/>
          <w:p>
            <w:pPr>
              <w:pStyle w:val="Compact"/>
              <w:jc w:val="left"/>
            </w:pPr>
            <w:r>
              <w:t xml:space="preserve">9.73</w:t>
            </w:r>
          </w:p>
        </w:tc>
      </w:tr>
      <w:tr>
        <w:tc>
          <w:tcPr>
            <w:gridSpan w:val="2"/>
          </w:tcPr>
          <w:p>
            <w:pPr>
              <w:pStyle w:val="Compact"/>
              <w:jc w:val="right"/>
            </w:pPr>
            <w:r>
              <w:t xml:space="preserve">Total Cradle-to-Gate PCF:</w:t>
            </w:r>
          </w:p>
        </w:tc>
        <w:tc>
          <w:tcPr/>
          <w:p>
            <w:pPr>
              <w:pStyle w:val="Compact"/>
              <w:jc w:val="left"/>
            </w:pPr>
            <w:r>
              <w:rPr>
                <w:bCs/>
                <w:b/>
              </w:rPr>
              <w:t xml:space="preserve">15.16 kgCO2e/unit</w:t>
            </w:r>
          </w:p>
        </w:tc>
      </w:tr>
    </w:tbl>
    <w:bookmarkEnd w:id="34"/>
    <w:bookmarkStart w:id="38" w:name="Xd32f656a0a87834bfe1ad9bf87087874c371ec6"/>
    <w:p>
      <w:pPr>
        <w:pStyle w:val="Heading3"/>
      </w:pPr>
      <w:r>
        <w:t xml:space="preserve">4.2. Extended Lifecycle Impact Assessment (Beyond factory_gate System Boundary)</w:t>
      </w:r>
    </w:p>
    <w:p>
      <w:pPr>
        <w:pStyle w:val="FirstParagraph"/>
      </w:pPr>
      <w:r>
        <w:t xml:space="preserve">This section provides an assessment of the impacts from distribution, use, and end-of-life, explicitly noting these stages fall outside the defined \'factory_gate\' system boundary for the core PCF but are included for a holistic lifecycle perspective as per reporting requirements.</w:t>
      </w:r>
    </w:p>
    <w:bookmarkStart w:id="35" w:name="Xe8ac07a7a7ee41dbde6bdb3f05e6015e9624f92"/>
    <w:p>
      <w:pPr>
        <w:pStyle w:val="Heading4"/>
      </w:pPr>
      <w:r>
        <w:t xml:space="preserve">4.2.1. Outbound Distribution (Scope 3 - Downstream)</w:t>
      </w:r>
    </w:p>
    <w:p>
      <w:pPr>
        <w:pStyle w:val="FirstParagraph"/>
      </w:pPr>
      <w:r>
        <w:t xml:space="preserve">This covers the transportation of the finished product from the factory gate in China to a European distribution hub, and then last-mile delivery.</w:t>
      </w:r>
    </w:p>
    <w:p>
      <w:pPr>
        <w:numPr>
          <w:ilvl w:val="0"/>
          <w:numId w:val="1010"/>
        </w:numPr>
        <w:pStyle w:val="Compact"/>
      </w:pPr>
      <w:r>
        <w:rPr>
          <w:bCs/>
          <w:b/>
        </w:rPr>
        <w:t xml:space="preserve">Outbound Transport (Factory to Hub):</w:t>
      </w:r>
    </w:p>
    <w:p>
      <w:pPr>
        <w:numPr>
          <w:ilvl w:val="1"/>
          <w:numId w:val="1011"/>
        </w:numPr>
        <w:pStyle w:val="Compact"/>
      </w:pPr>
      <w:r>
        <w:t xml:space="preserve">Product Weight: 0.75 kg (0.00075 tonnes)</w:t>
      </w:r>
    </w:p>
    <w:p>
      <w:pPr>
        <w:numPr>
          <w:ilvl w:val="1"/>
          <w:numId w:val="1011"/>
        </w:numPr>
        <w:pStyle w:val="Compact"/>
      </w:pPr>
      <w:r>
        <w:t xml:space="preserve">Outbound Distance (China to Europe): 10000 km</w:t>
      </w:r>
    </w:p>
    <w:p>
      <w:pPr>
        <w:numPr>
          <w:ilvl w:val="1"/>
          <w:numId w:val="1011"/>
        </w:numPr>
        <w:pStyle w:val="Compact"/>
      </w:pPr>
      <w:r>
        <w:t xml:space="preserve">Outbound EF (HGV &gt; 16t): 0.13 kgCO2e/tkm</w:t>
      </w:r>
    </w:p>
    <w:p>
      <w:pPr>
        <w:numPr>
          <w:ilvl w:val="1"/>
          <w:numId w:val="1011"/>
        </w:numPr>
        <w:pStyle w:val="Compact"/>
      </w:pPr>
      <w:r>
        <w:t xml:space="preserve">Emissions: 0.00075 t * 10000 km * 0.13 kgCO2e/tkm = 0.975 kgCO2e</w:t>
      </w:r>
    </w:p>
    <w:p>
      <w:pPr>
        <w:numPr>
          <w:ilvl w:val="0"/>
          <w:numId w:val="1010"/>
        </w:numPr>
        <w:pStyle w:val="Compact"/>
      </w:pPr>
      <w:r>
        <w:rPr>
          <w:bCs/>
          <w:b/>
        </w:rPr>
        <w:t xml:space="preserve">Last-Mile Delivery:</w:t>
      </w:r>
    </w:p>
    <w:p>
      <w:pPr>
        <w:numPr>
          <w:ilvl w:val="1"/>
          <w:numId w:val="1012"/>
        </w:numPr>
        <w:pStyle w:val="Compact"/>
      </w:pPr>
      <w:r>
        <w:t xml:space="preserve">Product Weight: 0.75 kg (0.00075 tonnes)</w:t>
      </w:r>
    </w:p>
    <w:p>
      <w:pPr>
        <w:numPr>
          <w:ilvl w:val="1"/>
          <w:numId w:val="1012"/>
        </w:numPr>
        <w:pStyle w:val="Compact"/>
      </w:pPr>
      <w:r>
        <w:t xml:space="preserve">Last-Mile Distance: 500 km</w:t>
      </w:r>
    </w:p>
    <w:p>
      <w:pPr>
        <w:numPr>
          <w:ilvl w:val="1"/>
          <w:numId w:val="1012"/>
        </w:numPr>
        <w:pStyle w:val="Compact"/>
      </w:pPr>
      <w:r>
        <w:t xml:space="preserve">Last-Mile EF (Light Commercial Vehicle): 0.20 kgCO2e/tkm</w:t>
      </w:r>
    </w:p>
    <w:p>
      <w:pPr>
        <w:numPr>
          <w:ilvl w:val="1"/>
          <w:numId w:val="1012"/>
        </w:numPr>
        <w:pStyle w:val="Compact"/>
      </w:pPr>
      <w:r>
        <w:t xml:space="preserve">Emissions: 0.00075 t * 500 km * 0.20 kgCO2e/tkm = 0.075 kgCO2e</w:t>
      </w:r>
    </w:p>
    <w:p>
      <w:pPr>
        <w:numPr>
          <w:ilvl w:val="0"/>
          <w:numId w:val="1010"/>
        </w:numPr>
        <w:pStyle w:val="Compact"/>
      </w:pPr>
      <w:r>
        <w:rPr>
          <w:bCs/>
          <w:b/>
        </w:rPr>
        <w:t xml:space="preserve">Total Distribution Emissions:</w:t>
      </w:r>
      <w:r>
        <w:t xml:space="preserve"> </w:t>
      </w:r>
      <w:r>
        <w:t xml:space="preserve">0.975 + 0.075 = 1.05 kgCO2e</w:t>
      </w:r>
    </w:p>
    <w:bookmarkEnd w:id="35"/>
    <w:bookmarkStart w:id="36" w:name="use-phase-scope-3---downstream"/>
    <w:p>
      <w:pPr>
        <w:pStyle w:val="Heading4"/>
      </w:pPr>
      <w:r>
        <w:t xml:space="preserve">4.2.2. Use Phase (Scope 3 - Downstream)</w:t>
      </w:r>
    </w:p>
    <w:p>
      <w:pPr>
        <w:pStyle w:val="FirstParagraph"/>
      </w:pPr>
      <w:r>
        <w:t xml:space="preserve">Calculation: Energy Consumption in Use (kWh/year) * Product Lifespan (years) * Electricity Grid EF (Europe)</w:t>
      </w:r>
    </w:p>
    <w:p>
      <w:pPr>
        <w:numPr>
          <w:ilvl w:val="0"/>
          <w:numId w:val="1013"/>
        </w:numPr>
        <w:pStyle w:val="Compact"/>
      </w:pPr>
      <w:r>
        <w:t xml:space="preserve">Energy Consumption: 10 kWh/year</w:t>
      </w:r>
    </w:p>
    <w:p>
      <w:pPr>
        <w:numPr>
          <w:ilvl w:val="0"/>
          <w:numId w:val="1013"/>
        </w:numPr>
        <w:pStyle w:val="Compact"/>
      </w:pPr>
      <w:r>
        <w:t xml:space="preserve">Product Lifespan: 5 years</w:t>
      </w:r>
    </w:p>
    <w:p>
      <w:pPr>
        <w:numPr>
          <w:ilvl w:val="0"/>
          <w:numId w:val="1013"/>
        </w:numPr>
        <w:pStyle w:val="Compact"/>
      </w:pPr>
      <w:r>
        <w:t xml:space="preserve">Electricity Grid EF (Europe - illustrative): 0.25 kgCO2e/kWh</w:t>
      </w:r>
    </w:p>
    <w:p>
      <w:pPr>
        <w:numPr>
          <w:ilvl w:val="0"/>
          <w:numId w:val="1013"/>
        </w:numPr>
        <w:pStyle w:val="Compact"/>
      </w:pPr>
      <w:r>
        <w:rPr>
          <w:bCs/>
          <w:b/>
        </w:rPr>
        <w:t xml:space="preserve">Use Phase Emissions:</w:t>
      </w:r>
      <w:r>
        <w:t xml:space="preserve"> </w:t>
      </w:r>
      <w:r>
        <w:t xml:space="preserve">10 kWh/year * 5 years * 0.25 kgCO2e/kWh = 12.50 kgCO2e</w:t>
      </w:r>
    </w:p>
    <w:bookmarkEnd w:id="36"/>
    <w:bookmarkStart w:id="37" w:name="end-of-life-eol-scope-3---downstream"/>
    <w:p>
      <w:pPr>
        <w:pStyle w:val="Heading4"/>
      </w:pPr>
      <w:r>
        <w:t xml:space="preserve">4.2.3. End-of-Life (EoL) (Scope 3 - Downstream)</w:t>
      </w:r>
    </w:p>
    <w:p>
      <w:pPr>
        <w:pStyle w:val="FirstParagraph"/>
      </w:pPr>
      <w:r>
        <w:t xml:space="preserve">Considering both landfill and recycling scenarios, with a credit for circularity.</w:t>
      </w:r>
    </w:p>
    <w:p>
      <w:pPr>
        <w:numPr>
          <w:ilvl w:val="0"/>
          <w:numId w:val="1014"/>
        </w:numPr>
        <w:pStyle w:val="Compact"/>
      </w:pPr>
      <w:r>
        <w:rPr>
          <w:bCs/>
          <w:b/>
        </w:rPr>
        <w:t xml:space="preserve">Landfill Emissions (Unrecycled Portion):</w:t>
      </w:r>
    </w:p>
    <w:p>
      <w:pPr>
        <w:numPr>
          <w:ilvl w:val="1"/>
          <w:numId w:val="1015"/>
        </w:numPr>
        <w:pStyle w:val="Compact"/>
      </w:pPr>
      <w:r>
        <w:t xml:space="preserve">Product Weight: 0.75 kg</w:t>
      </w:r>
    </w:p>
    <w:p>
      <w:pPr>
        <w:numPr>
          <w:ilvl w:val="1"/>
          <w:numId w:val="1015"/>
        </w:numPr>
        <w:pStyle w:val="Compact"/>
      </w:pPr>
      <w:r>
        <w:t xml:space="preserve">Unrecycled Portion: (1 - 70% Recyclability) = 30%</w:t>
      </w:r>
    </w:p>
    <w:p>
      <w:pPr>
        <w:numPr>
          <w:ilvl w:val="1"/>
          <w:numId w:val="1015"/>
        </w:numPr>
        <w:pStyle w:val="Compact"/>
      </w:pPr>
      <w:r>
        <w:t xml:space="preserve">Waste to Landfill EF: 1.0 kgCO2e/kg</w:t>
      </w:r>
    </w:p>
    <w:p>
      <w:pPr>
        <w:numPr>
          <w:ilvl w:val="1"/>
          <w:numId w:val="1015"/>
        </w:numPr>
        <w:pStyle w:val="Compact"/>
      </w:pPr>
      <w:r>
        <w:t xml:space="preserve">Emissions: 0.75 kg * 0.30 * 1.0 kgCO2e/kg = 0.225 kgCO2e</w:t>
      </w:r>
    </w:p>
    <w:p>
      <w:pPr>
        <w:numPr>
          <w:ilvl w:val="0"/>
          <w:numId w:val="1014"/>
        </w:numPr>
        <w:pStyle w:val="Compact"/>
      </w:pPr>
      <w:r>
        <w:rPr>
          <w:bCs/>
          <w:b/>
        </w:rPr>
        <w:t xml:space="preserve">Recycling Credit (Recycled Portion):</w:t>
      </w:r>
    </w:p>
    <w:p>
      <w:pPr>
        <w:numPr>
          <w:ilvl w:val="1"/>
          <w:numId w:val="1016"/>
        </w:numPr>
        <w:pStyle w:val="Compact"/>
      </w:pPr>
      <w:r>
        <w:t xml:space="preserve">Product Weight: 0.75 kg</w:t>
      </w:r>
    </w:p>
    <w:p>
      <w:pPr>
        <w:numPr>
          <w:ilvl w:val="1"/>
          <w:numId w:val="1016"/>
        </w:numPr>
        <w:pStyle w:val="Compact"/>
      </w:pPr>
      <w:r>
        <w:t xml:space="preserve">Recycled Portion: 70%</w:t>
      </w:r>
    </w:p>
    <w:p>
      <w:pPr>
        <w:numPr>
          <w:ilvl w:val="1"/>
          <w:numId w:val="1016"/>
        </w:numPr>
        <w:pStyle w:val="Compact"/>
      </w:pPr>
      <w:r>
        <w:t xml:space="preserve">Avoided Emissions Factor: -1.5 kgCO2e/kg</w:t>
      </w:r>
    </w:p>
    <w:p>
      <w:pPr>
        <w:numPr>
          <w:ilvl w:val="1"/>
          <w:numId w:val="1016"/>
        </w:numPr>
        <w:pStyle w:val="Compact"/>
      </w:pPr>
      <w:r>
        <w:t xml:space="preserve">Emissions (Credit): 0.75 kg * 0.70 * -1.5 kgCO2e/kg = -0.7875 kgCO2e</w:t>
      </w:r>
    </w:p>
    <w:p>
      <w:pPr>
        <w:numPr>
          <w:ilvl w:val="0"/>
          <w:numId w:val="1014"/>
        </w:numPr>
        <w:pStyle w:val="Compact"/>
      </w:pPr>
      <w:r>
        <w:rPr>
          <w:bCs/>
          <w:b/>
        </w:rPr>
        <w:t xml:space="preserve">Total End-of-Life Emissions:</w:t>
      </w:r>
      <w:r>
        <w:t xml:space="preserve"> </w:t>
      </w:r>
      <w:r>
        <w:t xml:space="preserve">0.225 - 0.7875 = -0.5625 kgCO2e (Net Carbon Removal/Avoidance)</w:t>
      </w:r>
    </w:p>
    <w:bookmarkEnd w:id="37"/>
    <w:bookmarkEnd w:id="38"/>
    <w:bookmarkStart w:id="39" w:name="X057debde525aacfa34900d0b3dc6577a60a13ea"/>
    <w:p>
      <w:pPr>
        <w:pStyle w:val="Heading3"/>
      </w:pPr>
      <w:r>
        <w:t xml:space="preserve">Summary of Extended Lifecycle Impacts for zfnntoxzwv</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Outbound Distribution</w:t>
            </w:r>
          </w:p>
        </w:tc>
        <w:tc>
          <w:tcPr/>
          <w:p>
            <w:pPr>
              <w:pStyle w:val="Compact"/>
              <w:jc w:val="left"/>
            </w:pPr>
            <w:r>
              <w:t xml:space="preserve">Scope 3 (Downstream)</w:t>
            </w:r>
          </w:p>
        </w:tc>
        <w:tc>
          <w:tcPr/>
          <w:p>
            <w:pPr>
              <w:pStyle w:val="Compact"/>
              <w:jc w:val="left"/>
            </w:pPr>
            <w:r>
              <w:t xml:space="preserve">1.05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-0.56</w:t>
            </w:r>
          </w:p>
        </w:tc>
      </w:tr>
      <w:tr>
        <w:tc>
          <w:tcPr>
            <w:gridSpan w:val="2"/>
          </w:tcPr>
          <w:p>
            <w:pPr>
              <w:pStyle w:val="Compact"/>
              <w:jc w:val="right"/>
            </w:pPr>
            <w:r>
              <w:t xml:space="preserve">Total Extended Lifecycle Impact:</w:t>
            </w:r>
          </w:p>
        </w:tc>
        <w:tc>
          <w:tcPr/>
          <w:p>
            <w:pPr>
              <w:pStyle w:val="Compact"/>
              <w:jc w:val="left"/>
            </w:pPr>
            <w:r>
              <w:rPr>
                <w:bCs/>
                <w:b/>
              </w:rPr>
              <w:t xml:space="preserve">12.99 kgCO2e/unit</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analysis, the primary emission hotspots for zfnntoxzwv are:</w:t>
      </w:r>
    </w:p>
    <w:p>
      <w:pPr>
        <w:numPr>
          <w:ilvl w:val="0"/>
          <w:numId w:val="1017"/>
        </w:numPr>
        <w:pStyle w:val="Compact"/>
      </w:pPr>
      <w:r>
        <w:rPr>
          <w:bCs/>
          <w:b/>
        </w:rPr>
        <w:t xml:space="preserve">Manufacturing/Production (Scope 2):</w:t>
      </w:r>
      <w:r>
        <w:t xml:space="preserve"> </w:t>
      </w:r>
      <w:r>
        <w:t xml:space="preserve">The energy consumed during the manufacturing process in China is a significant contributor due to the electricity grid\'s emission factor and the non-renewable energy mix. At 9.73 kgCO2e/unit, this represents a major area for improvement.</w:t>
      </w:r>
    </w:p>
    <w:p>
      <w:pPr>
        <w:numPr>
          <w:ilvl w:val="0"/>
          <w:numId w:val="1017"/>
        </w:numPr>
        <w:pStyle w:val="Compact"/>
      </w:pPr>
      <w:r>
        <w:rPr>
          <w:bCs/>
          <w:b/>
        </w:rPr>
        <w:t xml:space="preserve">Use Phase (Scope 3):</w:t>
      </w:r>
      <w:r>
        <w:t xml:space="preserve"> </w:t>
      </w:r>
      <w:r>
        <w:t xml:space="preserve">For the extended lifecycle, the energy consumption during the product\'s 5-year lifespan contributes substantially, totaling 12.50 kgCO2e/unit. This highlights the importance of energy-efficient design.</w:t>
      </w:r>
    </w:p>
    <w:p>
      <w:pPr>
        <w:numPr>
          <w:ilvl w:val="0"/>
          <w:numId w:val="1017"/>
        </w:numPr>
        <w:pStyle w:val="Compact"/>
      </w:pPr>
      <w:r>
        <w:rPr>
          <w:bCs/>
          <w:b/>
        </w:rPr>
        <w:t xml:space="preserve">Raw Material Acquisition &amp; Pre-processing (Scope 3):</w:t>
      </w:r>
      <w:r>
        <w:t xml:space="preserve"> </w:t>
      </w:r>
      <w:r>
        <w:t xml:space="preserve">The inherent carbon intensity of materials, particularly electronics (PCBA) and aluminum, contributes 4.65 kgCO2e/unit.</w:t>
      </w:r>
    </w:p>
    <w:p>
      <w:pPr>
        <w:numPr>
          <w:ilvl w:val="0"/>
          <w:numId w:val="1017"/>
        </w:numPr>
        <w:pStyle w:val="Compact"/>
      </w:pPr>
      <w:r>
        <w:rPr>
          <w:bCs/>
          <w:b/>
        </w:rPr>
        <w:t xml:space="preserve">Distribution (Scope 3):</w:t>
      </w:r>
      <w:r>
        <w:t xml:space="preserve"> </w:t>
      </w:r>
      <w:r>
        <w:t xml:space="preserve">Long-distance inbound and outbound transportation contributes 1.83 kgCO2e (0.78 + 1.05) to the overall lifecycle.</w:t>
      </w:r>
    </w:p>
    <w:bookmarkEnd w:id="41"/>
    <w:bookmarkStart w:id="42" w:name="reliability-and-data-quality"/>
    <w:p>
      <w:pPr>
        <w:pStyle w:val="Heading3"/>
      </w:pPr>
      <w:r>
        <w:t xml:space="preserve">5.2. Reliability and Data Quality</w:t>
      </w:r>
    </w:p>
    <w:p>
      <w:pPr>
        <w:pStyle w:val="FirstParagraph"/>
      </w:pPr>
      <w:r>
        <w:t xml:space="preserve">The calculations in this report are based on the provided parameters and a combination of primary (simulated BOM, energy usage, distances) and secondary (industry-standard emission factors) data. The reliability is influenced by:</w:t>
      </w:r>
    </w:p>
    <w:p>
      <w:pPr>
        <w:numPr>
          <w:ilvl w:val="0"/>
          <w:numId w:val="1018"/>
        </w:numPr>
        <w:pStyle w:val="Compact"/>
      </w:pPr>
      <w:r>
        <w:rPr>
          <w:bCs/>
          <w:b/>
        </w:rPr>
        <w:t xml:space="preserve">Primary Data Accuracy:</w:t>
      </w:r>
      <w:r>
        <w:t xml:space="preserve"> </w:t>
      </w:r>
      <w:r>
        <w:t xml:space="preserve">The precision of the provided BOM, energy consumption, and logistics data is crucial.</w:t>
      </w:r>
    </w:p>
    <w:p>
      <w:pPr>
        <w:numPr>
          <w:ilvl w:val="0"/>
          <w:numId w:val="1018"/>
        </w:numPr>
        <w:pStyle w:val="Compact"/>
      </w:pPr>
      <w:r>
        <w:rPr>
          <w:bCs/>
          <w:b/>
        </w:rPr>
        <w:t xml:space="preserve">Secondary Data Representativeness:</w:t>
      </w:r>
      <w:r>
        <w:t xml:space="preserve"> </w:t>
      </w:r>
      <w:r>
        <w:t xml:space="preserve">Generic emission factors from Ecoinvent/DEFRA equivalents (as used illustratively) are representative industry averages but may not perfectly reflect specific supplier or process efficiencies.</w:t>
      </w:r>
    </w:p>
    <w:p>
      <w:pPr>
        <w:numPr>
          <w:ilvl w:val="0"/>
          <w:numId w:val="1018"/>
        </w:numPr>
        <w:pStyle w:val="Compact"/>
      </w:pPr>
      <w:r>
        <w:rPr>
          <w:bCs/>
          <w:b/>
        </w:rPr>
        <w:t xml:space="preserve">System Boundary Assumptions:</w:t>
      </w:r>
      <w:r>
        <w:t xml:space="preserve"> </w:t>
      </w:r>
      <w:r>
        <w:t xml:space="preserve">The \'factory_gate\' boundary is adhered to for the core PCF, with downstream impacts reported separately for clarity.</w:t>
      </w:r>
    </w:p>
    <w:bookmarkEnd w:id="42"/>
    <w:bookmarkStart w:id="43" w:name="X659839d91fd99b9c1312e5baaf931415fce1a8c"/>
    <w:p>
      <w:pPr>
        <w:pStyle w:val="Heading3"/>
      </w:pPr>
      <w:r>
        <w:t xml:space="preserve">5.3. Adherence to GHG Protocol &amp; 2026 LSR Update</w:t>
      </w:r>
    </w:p>
    <w:p>
      <w:pPr>
        <w:numPr>
          <w:ilvl w:val="0"/>
          <w:numId w:val="1019"/>
        </w:numPr>
        <w:pStyle w:val="Compact"/>
      </w:pPr>
      <w:r>
        <w:rPr>
          <w:bCs/>
          <w:b/>
        </w:rPr>
        <w:t xml:space="preserve">GHG Protocol:</w:t>
      </w:r>
      <w:r>
        <w:t xml:space="preserve"> </w:t>
      </w:r>
      <w:r>
        <w:t xml:space="preserve">Emissions are categorized into Scope 1, Scope 2, and Scope 3, ensuring compliance with the GHG Protocol Product Standard.</w:t>
      </w:r>
    </w:p>
    <w:p>
      <w:pPr>
        <w:numPr>
          <w:ilvl w:val="0"/>
          <w:numId w:val="1019"/>
        </w:numPr>
        <w:pStyle w:val="Compact"/>
      </w:pPr>
      <w:r>
        <w:rPr>
          <w:bCs/>
          <w:b/>
        </w:rPr>
        <w:t xml:space="preserve">2026 LSR Update:</w:t>
      </w:r>
      <w:r>
        <w:t xml:space="preserve"> </w:t>
      </w:r>
      <w:r>
        <w:t xml:space="preserve">The Land Sector and Removals (LSR) Standard is a critical update for comprehensive GHG accounting. While specific land use data for zfnntoxzwv was not provided for direct quantification in this illustrative report, quhkkqedkd acknowledges the importance of applying the LSR Standard for future, more granular analyses, particularly concerning any biomass-derived materials or land-intensive processes within its supply chain, to account for land use change and carbon removals accurately.</w:t>
      </w:r>
    </w:p>
    <w:p>
      <w:pPr>
        <w:numPr>
          <w:ilvl w:val="0"/>
          <w:numId w:val="1019"/>
        </w:numPr>
        <w:pStyle w:val="Compact"/>
      </w:pPr>
      <w:r>
        <w:rPr>
          <w:bCs/>
          <w:b/>
        </w:rPr>
        <w:t xml:space="preserve">Scope 3 Compliance:</w:t>
      </w:r>
      <w:r>
        <w:t xml:space="preserve"> </w:t>
      </w:r>
      <w:r>
        <w:t xml:space="preserve">The report strives for comprehensive Scope 3 coverage. With detailed material, transport, use, and EoL data, the assessment aims to cover at least 95% of relevant Scope 3 emissions, aligning with 2026 requirements for robust value chain reporting.</w:t>
      </w:r>
    </w:p>
    <w:bookmarkEnd w:id="43"/>
    <w:bookmarkStart w:id="44" w:name="circular-economy-impacts"/>
    <w:p>
      <w:pPr>
        <w:pStyle w:val="Heading3"/>
      </w:pPr>
      <w:r>
        <w:t xml:space="preserve">5.4. Circular Economy Impacts</w:t>
      </w:r>
    </w:p>
    <w:p>
      <w:pPr>
        <w:pStyle w:val="FirstParagraph"/>
      </w:pPr>
      <w:r>
        <w:t xml:space="preserve">quhkkqedkd\'s commitment to circularity is reflected in the 70% recyclability of zfnntoxzwv and the existence of take-back programs. This significantly reduces the end-of-life impact, leading to a net carbon avoidance in this stage due to the credit for replacing virgin materials.</w:t>
      </w:r>
    </w:p>
    <w:p>
      <w:r>
        <w:pict>
          <v:rect style="width:0;height:1.5pt" o:hralign="center" o:hrstd="t" o:hr="t"/>
        </w:pict>
      </w:r>
    </w:p>
    <w:bookmarkEnd w:id="44"/>
    <w:bookmarkEnd w:id="45"/>
    <w:bookmarkStart w:id="46" w:name="recommendations"/>
    <w:p>
      <w:pPr>
        <w:pStyle w:val="Heading2"/>
      </w:pPr>
      <w:r>
        <w:t xml:space="preserve">Recommendations</w:t>
      </w:r>
    </w:p>
    <w:p>
      <w:pPr>
        <w:numPr>
          <w:ilvl w:val="0"/>
          <w:numId w:val="1020"/>
        </w:numPr>
        <w:pStyle w:val="Compact"/>
      </w:pPr>
      <w:r>
        <w:rPr>
          <w:bCs/>
          <w:b/>
        </w:rPr>
        <w:t xml:space="preserve">Supply Chain Optimization:</w:t>
      </w:r>
      <w:r>
        <w:t xml:space="preserve"> </w:t>
      </w:r>
      <w:r>
        <w:t xml:space="preserve">Investigate opportunities for lower-carbon material alternatives and optimize inbound logistics routes or modes (e.g., shifting to sea freight or rail where feasible for longer distances).</w:t>
      </w:r>
    </w:p>
    <w:p>
      <w:pPr>
        <w:numPr>
          <w:ilvl w:val="0"/>
          <w:numId w:val="1020"/>
        </w:numPr>
        <w:pStyle w:val="Compact"/>
      </w:pPr>
      <w:r>
        <w:rPr>
          <w:bCs/>
          <w:b/>
        </w:rPr>
        <w:t xml:space="preserve">Manufacturing Decarbonization:</w:t>
      </w:r>
      <w:r>
        <w:t xml:space="preserve"> </w:t>
      </w:r>
      <w:r>
        <w:t xml:space="preserve">Increase the proportion of renewable energy used in manufacturing beyond 30% through on-site generation or renewable energy procurement (e.g., Power Purchase Agreements).</w:t>
      </w:r>
    </w:p>
    <w:p>
      <w:pPr>
        <w:numPr>
          <w:ilvl w:val="0"/>
          <w:numId w:val="1020"/>
        </w:numPr>
        <w:pStyle w:val="Compact"/>
      </w:pPr>
      <w:r>
        <w:rPr>
          <w:bCs/>
          <w:b/>
        </w:rPr>
        <w:t xml:space="preserve">Product Design for Efficiency:</w:t>
      </w:r>
      <w:r>
        <w:t xml:space="preserve"> </w:t>
      </w:r>
      <w:r>
        <w:t xml:space="preserve">Focus on designing zfnntoxzwv for lower energy consumption during its use phase to significantly reduce its overall lifecycle footprint.</w:t>
      </w:r>
    </w:p>
    <w:p>
      <w:pPr>
        <w:numPr>
          <w:ilvl w:val="0"/>
          <w:numId w:val="1020"/>
        </w:numPr>
        <w:pStyle w:val="Compact"/>
      </w:pPr>
      <w:r>
        <w:rPr>
          <w:bCs/>
          <w:b/>
        </w:rPr>
        <w:t xml:space="preserve">Enhanced Circularity:</w:t>
      </w:r>
      <w:r>
        <w:t xml:space="preserve"> </w:t>
      </w:r>
      <w:r>
        <w:t xml:space="preserve">Continue to strengthen circular/take-back programs and explore designs that facilitate easier disassembly and higher quality material recovery, potentially increasing recyclability beyond 70%.</w:t>
      </w:r>
    </w:p>
    <w:p>
      <w:pPr>
        <w:numPr>
          <w:ilvl w:val="0"/>
          <w:numId w:val="1020"/>
        </w:numPr>
        <w:pStyle w:val="Compact"/>
      </w:pPr>
      <w:r>
        <w:rPr>
          <w:bCs/>
          <w:b/>
        </w:rPr>
        <w:t xml:space="preserve">Data Refinement:</w:t>
      </w:r>
      <w:r>
        <w:t xml:space="preserve"> </w:t>
      </w:r>
      <w:r>
        <w:t xml:space="preserve">Implement systems for collecting primary data for all supply chain tiers, specifically for emission factors of purchased goods and services, to enhance the accuracy of Scope 3 reporting.</w: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zfnntoxzwv</dc:title>
  <dc:creator/>
  <dc:description>High-detail Product Carbon Footprint (PCF) analysis for zfnntoxzwv, developed by Senior Sustainability Consultant sjojrwrose for quhkkqedkd, adhering to GHG Protocol standards and 2026 LSR updates.</dc:description>
  <dc:language>en</dc:language>
  <cp:keywords/>
  <dcterms:created xsi:type="dcterms:W3CDTF">2026-07-17T03:59:05Z</dcterms:created>
  <dcterms:modified xsi:type="dcterms:W3CDTF">2026-07-17T03:59:05Z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