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zewufsnhov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zewufsnhov</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mnygdzesgs</w:t>
      </w:r>
    </w:p>
    <w:p>
      <w:pPr>
        <w:pStyle w:val="BodyText"/>
      </w:pPr>
      <w:r>
        <w:t xml:space="preserve">Senior Sustainability Consultant:</w:t>
      </w:r>
      <w:r>
        <w:t xml:space="preserve"> </w:t>
      </w:r>
      <w:r>
        <w:rPr>
          <w:bCs/>
          <w:b/>
        </w:rPr>
        <w:t xml:space="preserve">ozsjxodolu</w:t>
      </w:r>
    </w:p>
    <w:p>
      <w:pPr>
        <w:pStyle w:val="BodyText"/>
      </w:pPr>
      <w:r>
        <w:t xml:space="preserve">This report is generated based on available data and industry standards. While every effort has been made to ensure accuracy, the figures presented are illustrative and subject to the quality and completeness of the input data and chosen emission factors.</w:t>
      </w:r>
    </w:p>
    <w:bookmarkEnd w:id="20"/>
    <w:bookmarkStart w:id="41" w:name="X595fd6aac0f275152629a2607b7a3a39d3bb0fb"/>
    <w:p>
      <w:pPr>
        <w:pStyle w:val="Heading1"/>
      </w:pPr>
      <w:r>
        <w:t xml:space="preserve">Product Carbon Footprint Report for zewufsnhov</w:t>
      </w:r>
    </w:p>
    <w:p>
      <w:pPr>
        <w:pStyle w:val="FirstParagraph"/>
      </w:pPr>
      <w:r>
        <w:t xml:space="preserve">Generated Date:</w:t>
      </w:r>
      <w:r>
        <w:t xml:space="preserve"> </w:t>
      </w:r>
      <w:bookmarkStart w:id="21" w:name="generatedDate"/>
      <w:bookmarkEnd w:id="21"/>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rPr>
          <w:bCs/>
          <w:b/>
        </w:rPr>
        <w:t xml:space="preserve">zewufsnhov</w:t>
      </w:r>
      <w:r>
        <w:t xml:space="preserve">, produced by</w:t>
      </w:r>
      <w:r>
        <w:t xml:space="preserve"> </w:t>
      </w:r>
      <w:r>
        <w:rPr>
          <w:bCs/>
          <w:b/>
        </w:rPr>
        <w:t xml:space="preserve">mnygdzesgs</w:t>
      </w:r>
      <w:r>
        <w:t xml:space="preserve">. The analysis, conducted by Senior Sustainability Consultant</w:t>
      </w:r>
      <w:r>
        <w:t xml:space="preserve"> </w:t>
      </w:r>
      <w:r>
        <w:rPr>
          <w:bCs/>
          <w:b/>
        </w:rPr>
        <w:t xml:space="preserve">ozsjxodolu</w:t>
      </w:r>
      <w:r>
        <w:t xml:space="preserve">, adheres strictly to the GHG Protocol standards. The objective is to quantify the greenhouse gas (GHG) emissions associated with the product\'s lifecycle, identify emission hotspots, and provide insights for reduction strategies. The total estimated cradle-to-grave carbon footprint for one functional unit of zewufsnhov is</w:t>
      </w:r>
      <w:r>
        <w:t xml:space="preserve"> </w:t>
      </w:r>
      <w:r>
        <w:rPr>
          <w:bCs/>
          <w:b/>
        </w:rPr>
        <w:t xml:space="preserve">33.142 kg CO2e</w:t>
      </w:r>
      <w:r>
        <w:t xml:space="preserve">. The Use Phase contributes the most significant portion of the total footprint, highlighting the importance of energy efficiency during product operation. Recyclability and circular economy programs play a crucial role in mitigating End-of-Life impacts.</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This section defines the parameters governing the Product Carbon Footprint (PCF) analysis for</w:t>
      </w:r>
      <w:r>
        <w:t xml:space="preserve"> </w:t>
      </w:r>
      <w:r>
        <w:rPr>
          <w:bCs/>
          <w:b/>
        </w:rPr>
        <w:t xml:space="preserve">zewufsnhov</w:t>
      </w:r>
      <w:r>
        <w:t xml:space="preserve">, ensuring a consistent and transparent assessment of its environmental impact.</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w:t>
      </w:r>
      <w:r>
        <w:t xml:space="preserve"> </w:t>
      </w:r>
      <w:r>
        <w:rPr>
          <w:bCs/>
          <w:b/>
        </w:rPr>
        <w:t xml:space="preserve">zewufsnhov</w:t>
      </w:r>
      <w:r>
        <w:t xml:space="preserve">. All emissions are quantified per this unit to allow for comparability and performance tracking.</w:t>
      </w:r>
    </w:p>
    <w:p>
      <w:pPr>
        <w:numPr>
          <w:ilvl w:val="0"/>
          <w:numId w:val="1001"/>
        </w:numPr>
        <w:pStyle w:val="Compact"/>
      </w:pPr>
      <w:r>
        <w:rPr>
          <w:bCs/>
          <w:b/>
        </w:rPr>
        <w:t xml:space="preserve">System Boundary:</w:t>
      </w:r>
      <w:r>
        <w:t xml:space="preserve"> </w:t>
      </w:r>
      <w:r>
        <w:t xml:space="preserve">The system boundary for this PCF analysis is defined as</w:t>
      </w:r>
      <w:r>
        <w:t xml:space="preserve"> </w:t>
      </w:r>
      <w:r>
        <w:rPr>
          <w:bCs/>
          <w:b/>
        </w:rPr>
        <w:t xml:space="preserve">"factory_gate"</w:t>
      </w:r>
      <w:r>
        <w:t xml:space="preserve"> </w:t>
      </w:r>
      <w:r>
        <w:t xml:space="preserve">for primary reporting of direct and purchased energy emissions. However, for a comprehensive cradle-to-grave assessment as per GHG Protocol Product Standard guidance, the analysis extends to include the Use Phase and End-of-Life (EoL) scenarios, categorizing these as downstream Scope 3 emissions. This approach provides a holistic view of the product\'s environmental impact throughout its entire lifecycle, from raw material extraction to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specifically the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Allocation:</w:t>
      </w:r>
      <w:r>
        <w:t xml:space="preserve"> </w:t>
      </w:r>
      <w:r>
        <w:t xml:space="preserve">Emissions are allocated to the functional unit based on mass and energy inputs across the lifecycle stages. For co-product or multi-output processes, economic allocation or physical allocation (e.g., mass-based) is applied where appropriate, consistent with GHG Protocol guidance.</w:t>
      </w:r>
    </w:p>
    <w:p>
      <w:r>
        <w:pict>
          <v:rect style="width:0;height:1.5pt" o:hralign="center" o:hrstd="t" o:hr="t"/>
        </w:pict>
      </w:r>
    </w:p>
    <w:bookmarkEnd w:id="23"/>
    <w:bookmarkStart w:id="29" w:name="X45697642d149fb80767147297f22052082662ea"/>
    <w:p>
      <w:pPr>
        <w:pStyle w:val="Heading2"/>
      </w:pPr>
      <w:r>
        <w:t xml:space="preserve">2. &amp; 3. Mapping Lifecycle and Data Collection (LCI Inventory Stages)</w:t>
      </w:r>
    </w:p>
    <w:p>
      <w:pPr>
        <w:pStyle w:val="FirstParagraph"/>
      </w:pPr>
      <w:r>
        <w:t xml:space="preserve">This section details the lifecycle stages considered and the data collected for the PCF of</w:t>
      </w:r>
      <w:r>
        <w:t xml:space="preserve"> </w:t>
      </w:r>
      <w:r>
        <w:rPr>
          <w:bCs/>
          <w:b/>
        </w:rPr>
        <w:t xml:space="preserve">zewufsnhov</w:t>
      </w:r>
      <w:r>
        <w:t xml:space="preserve">, incorporating the provided high-detail Bill of Materials (BOM) and customized operational parameters. Emission factors used for calculations are illustrative, based on industry averages (e.g., from Ecoinvent/DEFRA), and would be refined with more specific, primary data in a full assessment.</w:t>
      </w:r>
    </w:p>
    <w:bookmarkStart w:id="24" w:name="Xc468ded5a7fa091b9c9a81ca7124d562fc085dd"/>
    <w:p>
      <w:pPr>
        <w:pStyle w:val="Heading3"/>
      </w:pPr>
      <w:r>
        <w:t xml:space="preserve">2.1. Materials Acquisition &amp; Pre-processing (Upstream - Scope 3)</w:t>
      </w:r>
    </w:p>
    <w:p>
      <w:pPr>
        <w:pStyle w:val="FirstParagraph"/>
      </w:pPr>
      <w:r>
        <w:t xml:space="preserve">The material impacts are calculated using the provided Detailed Bill of Materials (BOM) for</w:t>
      </w:r>
      <w:r>
        <w:t xml:space="preserve"> </w:t>
      </w:r>
      <w:r>
        <w:rPr>
          <w:bCs/>
          <w:b/>
        </w:rPr>
        <w:t xml:space="preserve">qdqdpvqh</w:t>
      </w:r>
      <w:r>
        <w:t xml:space="preserve">. This approach ensures high-accuracy material impact calculation instead of default estimates.</w:t>
      </w:r>
    </w:p>
    <w:p>
      <w:pPr>
        <w:pStyle w:val="BodyText"/>
      </w:pPr>
      <w:r>
        <w:rPr>
          <w:bCs/>
          <w:b/>
        </w:rPr>
        <w:t xml:space="preserve">Detailed Bill of Materials (BOM) - zewufsnhov:</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 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w:t>
            </w:r>
          </w:p>
        </w:tc>
        <w:tc>
          <w:tcPr/>
          <w:p>
            <w:pPr>
              <w:pStyle w:val="Compact"/>
              <w:jc w:val="left"/>
            </w:pPr>
            <w:r>
              <w:t xml:space="preserve">0.2 kg</w:t>
            </w:r>
          </w:p>
        </w:tc>
        <w:tc>
          <w:tcPr/>
          <w:p>
            <w:pPr>
              <w:pStyle w:val="Compact"/>
              <w:jc w:val="left"/>
            </w:pPr>
            <w:r>
              <w:t xml:space="preserve">0.8</w:t>
            </w:r>
          </w:p>
        </w:tc>
        <w:tc>
          <w:tcPr/>
          <w:p>
            <w:pPr>
              <w:pStyle w:val="Compact"/>
              <w:jc w:val="left"/>
            </w:pPr>
            <w:r>
              <w:t xml:space="preserve">0.16</w:t>
            </w:r>
          </w:p>
        </w:tc>
      </w:tr>
      <w:tr>
        <w:tc>
          <w:tcPr>
            <w:gridSpan w:val="6"/>
          </w:tcPr>
          <w:p>
            <w:pPr>
              <w:pStyle w:val="Compact"/>
              <w:jc w:val="right"/>
            </w:pPr>
            <w:r>
              <w:t xml:space="preserve">Subtotal Materials:</w:t>
            </w:r>
          </w:p>
        </w:tc>
        <w:tc>
          <w:tcPr/>
          <w:p>
            <w:pPr>
              <w:pStyle w:val="Compact"/>
              <w:jc w:val="left"/>
            </w:pPr>
            <w:r>
              <w:t xml:space="preserve">2.61</w:t>
            </w:r>
          </w:p>
        </w:tc>
      </w:tr>
    </w:tbl>
    <w:p>
      <w:pPr>
        <w:pStyle w:val="BodyText"/>
      </w:pPr>
      <w:r>
        <w:rPr>
          <w:iCs/>
          <w:i/>
        </w:rPr>
        <w:t xml:space="preserve">Note: Emission Factors are illustrative, representing industry averages for virgin material production and processing. Actual factors would be sourced from databases like Ecoinvent.</w:t>
      </w:r>
    </w:p>
    <w:bookmarkEnd w:id="24"/>
    <w:bookmarkStart w:id="25" w:name="manufacturing-core---scope-1-2"/>
    <w:p>
      <w:pPr>
        <w:pStyle w:val="Heading3"/>
      </w:pPr>
      <w:r>
        <w:t xml:space="preserve">2.2. Manufacturing (Core - Scope 1 &amp; 2)</w:t>
      </w:r>
    </w:p>
    <w:p>
      <w:pPr>
        <w:pStyle w:val="FirstParagraph"/>
      </w:pPr>
      <w:r>
        <w:t xml:space="preserve">The production phase footprint incorporates customized energy data.</w:t>
      </w:r>
    </w:p>
    <w:p>
      <w:pPr>
        <w:numPr>
          <w:ilvl w:val="0"/>
          <w:numId w:val="1003"/>
        </w:numPr>
        <w:pStyle w:val="Compact"/>
      </w:pPr>
      <w:r>
        <w:rPr>
          <w:bCs/>
          <w:b/>
        </w:rPr>
        <w:t xml:space="preserve">Energy Intensity (kWh/unit):</w:t>
      </w:r>
      <w:r>
        <w:t xml:space="preserve"> </w:t>
      </w:r>
      <w:r>
        <w:rPr>
          <w:bCs/>
          <w:b/>
        </w:rPr>
        <w:t xml:space="preserve">igopuxuuuq</w:t>
      </w:r>
      <w:r>
        <w:t xml:space="preserve"> </w:t>
      </w:r>
      <w:r>
        <w:t xml:space="preserve">(assumed 5 kWh/unit for calculation)</w:t>
      </w:r>
    </w:p>
    <w:p>
      <w:pPr>
        <w:numPr>
          <w:ilvl w:val="0"/>
          <w:numId w:val="1003"/>
        </w:numPr>
        <w:pStyle w:val="Compact"/>
      </w:pPr>
      <w:r>
        <w:rPr>
          <w:bCs/>
          <w:b/>
        </w:rPr>
        <w:t xml:space="preserve">Renewable Energy Usage:</w:t>
      </w:r>
      <w:r>
        <w:t xml:space="preserve"> </w:t>
      </w:r>
      <w:r>
        <w:rPr>
          <w:bCs/>
          <w:b/>
        </w:rPr>
        <w:t xml:space="preserve">ugsoxtjuwp</w:t>
      </w:r>
      <w:r>
        <w:t xml:space="preserve"> </w:t>
      </w:r>
      <w:r>
        <w:t xml:space="preserve">(assumed 70% renewable for calculation)</w:t>
      </w:r>
    </w:p>
    <w:p>
      <w:pPr>
        <w:numPr>
          <w:ilvl w:val="0"/>
          <w:numId w:val="1003"/>
        </w:numPr>
        <w:pStyle w:val="Compact"/>
      </w:pPr>
      <w:r>
        <w:rPr>
          <w:bCs/>
          <w:b/>
        </w:rPr>
        <w:t xml:space="preserve">Electricity Grid Emission Factor (China):</w:t>
      </w:r>
      <w:r>
        <w:t xml:space="preserve"> </w:t>
      </w:r>
      <w:r>
        <w:t xml:space="preserve">Assumed 0.6 kg CO2e/kWh for non-renewable electricity based on general China grid mix.</w:t>
      </w:r>
    </w:p>
    <w:p>
      <w:pPr>
        <w:numPr>
          <w:ilvl w:val="0"/>
          <w:numId w:val="1003"/>
        </w:numPr>
        <w:pStyle w:val="Compact"/>
      </w:pPr>
      <w:r>
        <w:rPr>
          <w:bCs/>
          <w:b/>
        </w:rPr>
        <w:t xml:space="preserve">Renewable Energy Emission Factor:</w:t>
      </w:r>
      <w:r>
        <w:t xml:space="preserve"> </w:t>
      </w:r>
      <w:r>
        <w:t xml:space="preserve">Assumed 0.01 kg CO2e/kWh for residual emissions from renewable sources.</w:t>
      </w:r>
    </w:p>
    <w:p>
      <w:pPr>
        <w:numPr>
          <w:ilvl w:val="0"/>
          <w:numId w:val="1003"/>
        </w:numPr>
        <w:pStyle w:val="Compact"/>
      </w:pPr>
      <w:r>
        <w:rPr>
          <w:bCs/>
          <w:b/>
        </w:rPr>
        <w:t xml:space="preserve">Direct Emissions (Scope 1):</w:t>
      </w:r>
      <w:r>
        <w:t xml:space="preserve"> </w:t>
      </w:r>
      <w:r>
        <w:t xml:space="preserve">Minor direct emissions (e.g., from combustion of fuels in company-owned vehicles or equipment). Assumed 0.05 kg CO2e/unit.</w:t>
      </w:r>
    </w:p>
    <w:bookmarkEnd w:id="25"/>
    <w:bookmarkStart w:id="26" w:name="Xfb9e645383a619107bcc46663e20337406a6278"/>
    <w:p>
      <w:pPr>
        <w:pStyle w:val="Heading3"/>
      </w:pPr>
      <w:r>
        <w:t xml:space="preserve">2.3. Transport &amp; Logistics (Upstream &amp; Downstream - Scope 3)</w:t>
      </w:r>
    </w:p>
    <w:p>
      <w:pPr>
        <w:pStyle w:val="FirstParagraph"/>
      </w:pPr>
      <w:r>
        <w:t xml:space="preserve">Specific logistics data has been incorporated into the supply chain analysis.</w:t>
      </w:r>
    </w:p>
    <w:p>
      <w:pPr>
        <w:numPr>
          <w:ilvl w:val="0"/>
          <w:numId w:val="1004"/>
        </w:numPr>
        <w:pStyle w:val="Compact"/>
      </w:pPr>
      <w:r>
        <w:rPr>
          <w:bCs/>
          <w:b/>
        </w:rPr>
        <w:t xml:space="preserve">Upstream Transport (Materials to Factory - China):</w:t>
      </w:r>
    </w:p>
    <w:p>
      <w:pPr>
        <w:numPr>
          <w:ilvl w:val="1"/>
          <w:numId w:val="1005"/>
        </w:numPr>
        <w:pStyle w:val="Compact"/>
      </w:pPr>
      <w:r>
        <w:rPr>
          <w:bCs/>
          <w:b/>
        </w:rPr>
        <w:t xml:space="preserve">Transport Mode:</w:t>
      </w:r>
      <w:r>
        <w:t xml:space="preserve"> </w:t>
      </w:r>
      <w:r>
        <w:rPr>
          <w:bCs/>
          <w:b/>
        </w:rPr>
        <w:t xml:space="preserve">Select Mode</w:t>
      </w:r>
      <w:r>
        <w:t xml:space="preserve"> </w:t>
      </w:r>
      <w:r>
        <w:t xml:space="preserve">(assumed Road freight (Heavy Goods Vehicle - HGV, &gt;3.5-7.5t) for calculation)</w:t>
      </w:r>
    </w:p>
    <w:p>
      <w:pPr>
        <w:numPr>
          <w:ilvl w:val="1"/>
          <w:numId w:val="1005"/>
        </w:numPr>
        <w:pStyle w:val="Compact"/>
      </w:pPr>
      <w:r>
        <w:rPr>
          <w:bCs/>
          <w:b/>
        </w:rPr>
        <w:t xml:space="preserve">Transport Distance:</w:t>
      </w:r>
      <w:r>
        <w:t xml:space="preserve"> </w:t>
      </w:r>
      <w:r>
        <w:rPr>
          <w:bCs/>
          <w:b/>
        </w:rPr>
        <w:t xml:space="preserve">liuyjjmwhg</w:t>
      </w:r>
      <w:r>
        <w:t xml:space="preserve"> </w:t>
      </w:r>
      <w:r>
        <w:t xml:space="preserve">(assumed 2000 km for calculation)</w:t>
      </w:r>
    </w:p>
    <w:p>
      <w:pPr>
        <w:numPr>
          <w:ilvl w:val="1"/>
          <w:numId w:val="1005"/>
        </w:numPr>
        <w:pStyle w:val="Compact"/>
      </w:pPr>
      <w:r>
        <w:rPr>
          <w:bCs/>
          <w:b/>
        </w:rPr>
        <w:t xml:space="preserve">Product Material Mass:</w:t>
      </w:r>
      <w:r>
        <w:t xml:space="preserve"> </w:t>
      </w:r>
      <w:r>
        <w:t xml:space="preserve">0.85 kg (sum of BOM material quantities)</w:t>
      </w:r>
    </w:p>
    <w:p>
      <w:pPr>
        <w:numPr>
          <w:ilvl w:val="1"/>
          <w:numId w:val="1005"/>
        </w:numPr>
        <w:pStyle w:val="Compact"/>
      </w:pPr>
      <w:r>
        <w:rPr>
          <w:bCs/>
          <w:b/>
        </w:rPr>
        <w:t xml:space="preserve">Emission Factor (Road freight HGV):</w:t>
      </w:r>
      <w:r>
        <w:t xml:space="preserve"> </w:t>
      </w:r>
      <w:r>
        <w:t xml:space="preserve">Assumed 0.08 kg CO2e/tkm.</w:t>
      </w:r>
    </w:p>
    <w:p>
      <w:pPr>
        <w:numPr>
          <w:ilvl w:val="0"/>
          <w:numId w:val="1004"/>
        </w:numPr>
        <w:pStyle w:val="Compact"/>
      </w:pPr>
      <w:r>
        <w:rPr>
          <w:bCs/>
          <w:b/>
        </w:rPr>
        <w:t xml:space="preserve">Last-Mile Delivery (Factory to Customer - Europe Focused):</w:t>
      </w:r>
    </w:p>
    <w:p>
      <w:pPr>
        <w:numPr>
          <w:ilvl w:val="1"/>
          <w:numId w:val="1006"/>
        </w:numPr>
        <w:pStyle w:val="Compact"/>
      </w:pPr>
      <w:r>
        <w:rPr>
          <w:bCs/>
          <w:b/>
        </w:rPr>
        <w:t xml:space="preserve">Delivery Channel:</w:t>
      </w:r>
      <w:r>
        <w:t xml:space="preserve"> </w:t>
      </w:r>
      <w:r>
        <w:rPr>
          <w:bCs/>
          <w:b/>
        </w:rPr>
        <w:t xml:space="preserve">Delivery Type</w:t>
      </w:r>
      <w:r>
        <w:t xml:space="preserve"> </w:t>
      </w:r>
      <w:r>
        <w:t xml:space="preserve">(assumed Light Commercial Vehicle (&lt;3.5t) for calculation)</w:t>
      </w:r>
    </w:p>
    <w:p>
      <w:pPr>
        <w:numPr>
          <w:ilvl w:val="1"/>
          <w:numId w:val="1006"/>
        </w:numPr>
        <w:pStyle w:val="Compact"/>
      </w:pPr>
      <w:r>
        <w:rPr>
          <w:bCs/>
          <w:b/>
        </w:rPr>
        <w:t xml:space="preserve">Average Last-Mile Distance:</w:t>
      </w:r>
      <w:r>
        <w:t xml:space="preserve"> </w:t>
      </w:r>
      <w:r>
        <w:t xml:space="preserve">Assumed 50 km (illustrative)</w:t>
      </w:r>
    </w:p>
    <w:p>
      <w:pPr>
        <w:numPr>
          <w:ilvl w:val="1"/>
          <w:numId w:val="1006"/>
        </w:numPr>
        <w:pStyle w:val="Compact"/>
      </w:pPr>
      <w:r>
        <w:rPr>
          <w:bCs/>
          <w:b/>
        </w:rPr>
        <w:t xml:space="preserve">Product Mass:</w:t>
      </w:r>
      <w:r>
        <w:t xml:space="preserve"> </w:t>
      </w:r>
      <w:r>
        <w:t xml:space="preserve">0.85 kg</w:t>
      </w:r>
    </w:p>
    <w:p>
      <w:pPr>
        <w:numPr>
          <w:ilvl w:val="1"/>
          <w:numId w:val="1006"/>
        </w:numPr>
        <w:pStyle w:val="Compact"/>
      </w:pPr>
      <w:r>
        <w:rPr>
          <w:bCs/>
          <w:b/>
        </w:rPr>
        <w:t xml:space="preserve">Emission Factor (LCV):</w:t>
      </w:r>
      <w:r>
        <w:t xml:space="preserve"> </w:t>
      </w:r>
      <w:r>
        <w:t xml:space="preserve">Assumed 0.15 kg CO2e/tkm (illustrative for LCV, derived from DEFRA-type data).</w:t>
      </w:r>
    </w:p>
    <w:bookmarkEnd w:id="26"/>
    <w:bookmarkStart w:id="27" w:name="use-phase-downstream---scope-3"/>
    <w:p>
      <w:pPr>
        <w:pStyle w:val="Heading3"/>
      </w:pPr>
      <w:r>
        <w:t xml:space="preserve">2.4. Use Phase (Downstream - Scope 3)</w:t>
      </w:r>
    </w:p>
    <w:p>
      <w:pPr>
        <w:pStyle w:val="FirstParagraph"/>
      </w:pPr>
      <w:r>
        <w:t xml:space="preserve">The \'Use Phase\' calculation utilizes specific durability and consumption data.</w:t>
      </w:r>
    </w:p>
    <w:p>
      <w:pPr>
        <w:numPr>
          <w:ilvl w:val="0"/>
          <w:numId w:val="1007"/>
        </w:numPr>
        <w:pStyle w:val="Compact"/>
      </w:pPr>
      <w:r>
        <w:rPr>
          <w:bCs/>
          <w:b/>
        </w:rPr>
        <w:t xml:space="preserve">Product Lifespan:</w:t>
      </w:r>
      <w:r>
        <w:t xml:space="preserve"> </w:t>
      </w:r>
      <w:r>
        <w:rPr>
          <w:bCs/>
          <w:b/>
        </w:rPr>
        <w:t xml:space="preserve">sxoukttysp</w:t>
      </w:r>
      <w:r>
        <w:t xml:space="preserve"> </w:t>
      </w:r>
      <w:r>
        <w:t xml:space="preserve">(assumed 5 years for calculation)</w:t>
      </w:r>
    </w:p>
    <w:p>
      <w:pPr>
        <w:numPr>
          <w:ilvl w:val="0"/>
          <w:numId w:val="1007"/>
        </w:numPr>
        <w:pStyle w:val="Compact"/>
      </w:pPr>
      <w:r>
        <w:rPr>
          <w:bCs/>
          <w:b/>
        </w:rPr>
        <w:t xml:space="preserve">Energy Consumption in Use:</w:t>
      </w:r>
      <w:r>
        <w:t xml:space="preserve"> </w:t>
      </w:r>
      <w:r>
        <w:rPr>
          <w:bCs/>
          <w:b/>
        </w:rPr>
        <w:t xml:space="preserve">zkohilymdn</w:t>
      </w:r>
      <w:r>
        <w:t xml:space="preserve"> </w:t>
      </w:r>
      <w:r>
        <w:t xml:space="preserve">(assumed 10 kWh/year for calculation)</w:t>
      </w:r>
    </w:p>
    <w:p>
      <w:pPr>
        <w:numPr>
          <w:ilvl w:val="0"/>
          <w:numId w:val="1007"/>
        </w:numPr>
        <w:pStyle w:val="Compact"/>
      </w:pPr>
      <w:r>
        <w:rPr>
          <w:bCs/>
          <w:b/>
        </w:rPr>
        <w:t xml:space="preserve">Electricity Grid Emission Factor (Customer Location - Europe Focused):</w:t>
      </w:r>
      <w:r>
        <w:t xml:space="preserve"> </w:t>
      </w:r>
      <w:r>
        <w:t xml:space="preserve">Assumed 0.6 kg CO2e/kWh (using a general grid factor for consistency, in a real scenario, country-specific factors would be used).</w:t>
      </w:r>
    </w:p>
    <w:bookmarkEnd w:id="27"/>
    <w:bookmarkStart w:id="28" w:name="end-of-life-eol-downstream---scope-3"/>
    <w:p>
      <w:pPr>
        <w:pStyle w:val="Heading3"/>
      </w:pPr>
      <w:r>
        <w:t xml:space="preserve">2.5. End-of-Life (EoL) (Downstream - Scope 3)</w:t>
      </w:r>
    </w:p>
    <w:p>
      <w:pPr>
        <w:pStyle w:val="FirstParagraph"/>
      </w:pPr>
      <w:r>
        <w:t xml:space="preserve">End-of-Life scenarios incorporate recyclability and circular economy impacts.</w:t>
      </w:r>
    </w:p>
    <w:p>
      <w:pPr>
        <w:numPr>
          <w:ilvl w:val="0"/>
          <w:numId w:val="1008"/>
        </w:numPr>
        <w:pStyle w:val="Compact"/>
      </w:pPr>
      <w:r>
        <w:rPr>
          <w:bCs/>
          <w:b/>
        </w:rPr>
        <w:t xml:space="preserve">Recyclability Percentage:</w:t>
      </w:r>
      <w:r>
        <w:t xml:space="preserve"> </w:t>
      </w:r>
      <w:r>
        <w:rPr>
          <w:bCs/>
          <w:b/>
        </w:rPr>
        <w:t xml:space="preserve">qdxidxwjug</w:t>
      </w:r>
      <w:r>
        <w:t xml:space="preserve"> </w:t>
      </w:r>
      <w:r>
        <w:t xml:space="preserve">(assumed 80% for calculation)</w:t>
      </w:r>
    </w:p>
    <w:p>
      <w:pPr>
        <w:numPr>
          <w:ilvl w:val="0"/>
          <w:numId w:val="1008"/>
        </w:numPr>
        <w:pStyle w:val="Compact"/>
      </w:pPr>
      <w:r>
        <w:rPr>
          <w:bCs/>
          <w:b/>
        </w:rPr>
        <w:t xml:space="preserve">Circular/Take-back Programs:</w:t>
      </w:r>
      <w:r>
        <w:t xml:space="preserve"> </w:t>
      </w:r>
      <w:r>
        <w:rPr>
          <w:bCs/>
          <w:b/>
        </w:rPr>
        <w:t xml:space="preserve">htvuohxzfq</w:t>
      </w:r>
      <w:r>
        <w:t xml:space="preserve"> </w:t>
      </w:r>
      <w:r>
        <w:t xml:space="preserve">(assumed "Yes, established program")</w:t>
      </w:r>
    </w:p>
    <w:p>
      <w:pPr>
        <w:numPr>
          <w:ilvl w:val="0"/>
          <w:numId w:val="1008"/>
        </w:numPr>
        <w:pStyle w:val="Compact"/>
      </w:pPr>
      <w:r>
        <w:rPr>
          <w:bCs/>
          <w:b/>
        </w:rPr>
        <w:t xml:space="preserve">Product Mass at EoL:</w:t>
      </w:r>
      <w:r>
        <w:t xml:space="preserve"> </w:t>
      </w:r>
      <w:r>
        <w:t xml:space="preserve">0.85 kg (assuming minimal material loss during use)</w:t>
      </w:r>
    </w:p>
    <w:p>
      <w:pPr>
        <w:numPr>
          <w:ilvl w:val="0"/>
          <w:numId w:val="1008"/>
        </w:numPr>
        <w:pStyle w:val="Compact"/>
      </w:pPr>
      <w:r>
        <w:rPr>
          <w:bCs/>
          <w:b/>
        </w:rPr>
        <w:t xml:space="preserve">Landfill Emission Factor (for non-recycled portion):</w:t>
      </w:r>
      <w:r>
        <w:t xml:space="preserve"> </w:t>
      </w:r>
      <w:r>
        <w:t xml:space="preserve">Assumed 0.5 kg CO2e/kg for mixed waste.</w:t>
      </w:r>
    </w:p>
    <w:p>
      <w:pPr>
        <w:numPr>
          <w:ilvl w:val="0"/>
          <w:numId w:val="1008"/>
        </w:numPr>
        <w:pStyle w:val="Compact"/>
      </w:pPr>
      <w:r>
        <w:rPr>
          <w:bCs/>
          <w:b/>
        </w:rPr>
        <w:t xml:space="preserve">Recycling Avoided Emissions Factor (for recycled portion - plastics):</w:t>
      </w:r>
      <w:r>
        <w:t xml:space="preserve"> </w:t>
      </w:r>
      <w:r>
        <w:t xml:space="preserve">Assumed -1.0 kg CO2e/kg (representing avoided virgin production).</w:t>
      </w:r>
    </w:p>
    <w:p>
      <w:r>
        <w:pict>
          <v:rect style="width:0;height:1.5pt" o:hralign="center" o:hrstd="t" o:hr="t"/>
        </w:pict>
      </w:r>
    </w:p>
    <w:bookmarkEnd w:id="28"/>
    <w:bookmarkEnd w:id="29"/>
    <w:bookmarkStart w:id="36" w:name="calculation-of-emissions"/>
    <w:p>
      <w:pPr>
        <w:pStyle w:val="Heading2"/>
      </w:pPr>
      <w:r>
        <w:t xml:space="preserve">4. Calculation of Emissions</w:t>
      </w:r>
    </w:p>
    <w:p>
      <w:pPr>
        <w:pStyle w:val="FirstParagraph"/>
      </w:pPr>
      <w:r>
        <w:t xml:space="preserve">Emissions are calculated for each lifecycle stage and categorized according to the GHG Protocol\'s Scope 1, 2, and 3 definitions. The calculations leverage the activity data collected and representative emission factors. All calculations for this report are illustrative, using the assumed values as specified in the "Mapping Lifecycle and Data Collection" section.</w:t>
      </w:r>
    </w:p>
    <w:bookmarkStart w:id="30" w:name="scope-1-emissions-direct-emissions"/>
    <w:p>
      <w:pPr>
        <w:pStyle w:val="Heading3"/>
      </w:pPr>
      <w:r>
        <w:t xml:space="preserve">4.1. Scope 1 Emissions (Direct Emissions)</w:t>
      </w:r>
    </w:p>
    <w:p>
      <w:pPr>
        <w:pStyle w:val="FirstParagraph"/>
      </w:pPr>
      <w:r>
        <w:t xml:space="preserve">Direct GHG emissions from sources owned or controlled by</w:t>
      </w:r>
      <w:r>
        <w:t xml:space="preserve"> </w:t>
      </w:r>
      <w:r>
        <w:rPr>
          <w:bCs/>
          <w:b/>
        </w:rPr>
        <w:t xml:space="preserve">mnygdzesgs</w:t>
      </w:r>
      <w:r>
        <w:t xml:space="preserve">, primarily during the manufacturing phase.</w:t>
      </w:r>
    </w:p>
    <w:p>
      <w:pPr>
        <w:numPr>
          <w:ilvl w:val="0"/>
          <w:numId w:val="1009"/>
        </w:numPr>
        <w:pStyle w:val="Compact"/>
      </w:pPr>
      <w:r>
        <w:t xml:space="preserve">Manufacturing (e.g., minor fuel for internal machinery): 0.05 kg CO2e/unit</w:t>
      </w:r>
    </w:p>
    <w:p>
      <w:pPr>
        <w:numPr>
          <w:ilvl w:val="0"/>
          <w:numId w:val="1009"/>
        </w:numPr>
        <w:pStyle w:val="Compact"/>
      </w:pPr>
      <w:r>
        <w:rPr>
          <w:bCs/>
          <w:b/>
        </w:rPr>
        <w:t xml:space="preserve">Total Scope 1 Emissions: 0.05 kg CO2e/unit</w:t>
      </w:r>
    </w:p>
    <w:bookmarkEnd w:id="30"/>
    <w:bookmarkStart w:id="31" w:name="Xea3a0be011cd6660e8b4fde47b2db6c687f0551"/>
    <w:p>
      <w:pPr>
        <w:pStyle w:val="Heading3"/>
      </w:pPr>
      <w:r>
        <w:t xml:space="preserve">4.2. Scope 2 Emissions (Purchased Energy Emissions)</w:t>
      </w:r>
    </w:p>
    <w:p>
      <w:pPr>
        <w:pStyle w:val="FirstParagraph"/>
      </w:pPr>
      <w:r>
        <w:t xml:space="preserve">Indirect GHG emissions from the generation of purchased electricity consumed by</w:t>
      </w:r>
      <w:r>
        <w:t xml:space="preserve"> </w:t>
      </w:r>
      <w:r>
        <w:rPr>
          <w:bCs/>
          <w:b/>
        </w:rPr>
        <w:t xml:space="preserve">mnygdzesgs</w:t>
      </w:r>
      <w:r>
        <w:t xml:space="preserve"> </w:t>
      </w:r>
      <w:r>
        <w:t xml:space="preserve">during the manufacturing process.</w:t>
      </w:r>
    </w:p>
    <w:p>
      <w:pPr>
        <w:numPr>
          <w:ilvl w:val="0"/>
          <w:numId w:val="1010"/>
        </w:numPr>
        <w:pStyle w:val="Compact"/>
      </w:pPr>
      <w:r>
        <w:t xml:space="preserve">Total Energy Intensity: 5 kWh/unit (</w:t>
      </w:r>
      <w:r>
        <w:rPr>
          <w:bCs/>
          <w:b/>
        </w:rPr>
        <w:t xml:space="preserve">igopuxuuuq</w:t>
      </w:r>
      <w:r>
        <w:t xml:space="preserve">)</w:t>
      </w:r>
    </w:p>
    <w:p>
      <w:pPr>
        <w:numPr>
          <w:ilvl w:val="0"/>
          <w:numId w:val="1010"/>
        </w:numPr>
        <w:pStyle w:val="Compact"/>
      </w:pPr>
      <w:r>
        <w:t xml:space="preserve">Renewable Energy Usage: 70% (</w:t>
      </w:r>
      <w:r>
        <w:rPr>
          <w:bCs/>
          <w:b/>
        </w:rPr>
        <w:t xml:space="preserve">ugsoxtjuwp</w:t>
      </w:r>
      <w:r>
        <w:t xml:space="preserve">)</w:t>
      </w:r>
    </w:p>
    <w:p>
      <w:pPr>
        <w:numPr>
          <w:ilvl w:val="0"/>
          <w:numId w:val="1010"/>
        </w:numPr>
        <w:pStyle w:val="Compact"/>
      </w:pPr>
      <w:r>
        <w:t xml:space="preserve">Non-renewable electricity consumed: 5 kWh/unit * (1 - 0.70) = 1.5 kWh/unit</w:t>
      </w:r>
    </w:p>
    <w:p>
      <w:pPr>
        <w:numPr>
          <w:ilvl w:val="0"/>
          <w:numId w:val="1010"/>
        </w:numPr>
        <w:pStyle w:val="Compact"/>
      </w:pPr>
      <w:r>
        <w:t xml:space="preserve">Renewable electricity consumed: 5 kWh/unit * 0.70 = 3.5 kWh/unit</w:t>
      </w:r>
    </w:p>
    <w:p>
      <w:pPr>
        <w:numPr>
          <w:ilvl w:val="0"/>
          <w:numId w:val="1010"/>
        </w:numPr>
        <w:pStyle w:val="Compact"/>
      </w:pPr>
      <w:r>
        <w:t xml:space="preserve">Emissions from non-renewable electricity: 1.5 kWh/unit * 0.6 kg CO2e/kWh = 0.9 kg CO2e/unit</w:t>
      </w:r>
    </w:p>
    <w:p>
      <w:pPr>
        <w:numPr>
          <w:ilvl w:val="0"/>
          <w:numId w:val="1010"/>
        </w:numPr>
        <w:pStyle w:val="Compact"/>
      </w:pPr>
      <w:r>
        <w:t xml:space="preserve">Emissions from renewable electricity: 3.5 kWh/unit * 0.01 kg CO2e/kWh = 0.035 kg CO2e/unit</w:t>
      </w:r>
    </w:p>
    <w:p>
      <w:pPr>
        <w:numPr>
          <w:ilvl w:val="0"/>
          <w:numId w:val="1010"/>
        </w:numPr>
        <w:pStyle w:val="Compact"/>
      </w:pPr>
      <w:r>
        <w:rPr>
          <w:bCs/>
          <w:b/>
        </w:rPr>
        <w:t xml:space="preserve">Total Scope 2 Emissions: 0.935 kg CO2e/unit</w:t>
      </w:r>
    </w:p>
    <w:bookmarkEnd w:id="31"/>
    <w:bookmarkStart w:id="34" w:name="scope-3-emissions-value-chain-emissions"/>
    <w:p>
      <w:pPr>
        <w:pStyle w:val="Heading3"/>
      </w:pPr>
      <w:r>
        <w:t xml:space="preserve">4.3. Scope 3 Emissions (Value Chain Emissions)</w:t>
      </w:r>
    </w:p>
    <w:p>
      <w:pPr>
        <w:pStyle w:val="FirstParagraph"/>
      </w:pPr>
      <w:r>
        <w:t xml:space="preserve">All other indirect emissions that occur in the value chain, both upstream and downstream.</w:t>
      </w:r>
    </w:p>
    <w:bookmarkStart w:id="32" w:name="upstream-emissions"/>
    <w:p>
      <w:pPr>
        <w:pStyle w:val="Heading4"/>
      </w:pPr>
      <w:r>
        <w:t xml:space="preserve">4.3.1. Upstream Emissions</w:t>
      </w:r>
    </w:p>
    <w:p>
      <w:pPr>
        <w:pStyle w:val="FirstParagraph"/>
      </w:pPr>
      <w:r>
        <w:rPr>
          <w:bCs/>
          <w:b/>
        </w:rPr>
        <w:t xml:space="preserve">Category 1: Purchased Goods and Services (Materials Acquisition &amp; Pre-processing)</w:t>
      </w:r>
    </w:p>
    <w:p>
      <w:pPr>
        <w:numPr>
          <w:ilvl w:val="0"/>
          <w:numId w:val="1011"/>
        </w:numPr>
        <w:pStyle w:val="Compact"/>
      </w:pPr>
      <w:r>
        <w:t xml:space="preserve">Total Carbon from BOM: 2.61 kg CO2e (sum of "Total Carbon" from BOM table for</w:t>
      </w:r>
      <w:r>
        <w:t xml:space="preserve"> </w:t>
      </w:r>
      <w:r>
        <w:rPr>
          <w:bCs/>
          <w:b/>
        </w:rPr>
        <w:t xml:space="preserve">qdqdpvqh</w:t>
      </w:r>
      <w:r>
        <w:t xml:space="preserve">)</w:t>
      </w:r>
    </w:p>
    <w:p>
      <w:pPr>
        <w:numPr>
          <w:ilvl w:val="0"/>
          <w:numId w:val="1011"/>
        </w:numPr>
        <w:pStyle w:val="Compact"/>
      </w:pPr>
      <w:r>
        <w:t xml:space="preserve">This value reflects the cradle-to-gate emissions of the raw materials and components, including extraction, processing, and manufacturing up to the point of being received by</w:t>
      </w:r>
      <w:r>
        <w:t xml:space="preserve"> </w:t>
      </w:r>
      <w:r>
        <w:rPr>
          <w:bCs/>
          <w:b/>
        </w:rPr>
        <w:t xml:space="preserve">mnygdzesgs</w:t>
      </w:r>
      <w:r>
        <w:t xml:space="preserve">.</w:t>
      </w:r>
    </w:p>
    <w:p>
      <w:pPr>
        <w:pStyle w:val="FirstParagraph"/>
      </w:pPr>
      <w:r>
        <w:rPr>
          <w:bCs/>
          <w:b/>
        </w:rPr>
        <w:t xml:space="preserve">Category 4: Upstream Transportation and Distribution (Materials to Factory)</w:t>
      </w:r>
    </w:p>
    <w:p>
      <w:pPr>
        <w:numPr>
          <w:ilvl w:val="0"/>
          <w:numId w:val="1012"/>
        </w:numPr>
        <w:pStyle w:val="Compact"/>
      </w:pPr>
      <w:r>
        <w:t xml:space="preserve">Total Material Mass: 0.85 kg</w:t>
      </w:r>
    </w:p>
    <w:p>
      <w:pPr>
        <w:numPr>
          <w:ilvl w:val="0"/>
          <w:numId w:val="1012"/>
        </w:numPr>
        <w:pStyle w:val="Compact"/>
      </w:pPr>
      <w:r>
        <w:t xml:space="preserve">Transport Distance: 2000 km (</w:t>
      </w:r>
      <w:r>
        <w:rPr>
          <w:bCs/>
          <w:b/>
        </w:rPr>
        <w:t xml:space="preserve">liuyjjmwhg</w:t>
      </w:r>
      <w:r>
        <w:t xml:space="preserve">)</w:t>
      </w:r>
    </w:p>
    <w:p>
      <w:pPr>
        <w:numPr>
          <w:ilvl w:val="0"/>
          <w:numId w:val="1012"/>
        </w:numPr>
        <w:pStyle w:val="Compact"/>
      </w:pPr>
      <w:r>
        <w:t xml:space="preserve">Emission Factor: 0.08 kg CO2e/tkm (for Road freight HGV,</w:t>
      </w:r>
      <w:r>
        <w:t xml:space="preserve"> </w:t>
      </w:r>
      <w:r>
        <w:rPr>
          <w:bCs/>
          <w:b/>
        </w:rPr>
        <w:t xml:space="preserve">Select Mode</w:t>
      </w:r>
      <w:r>
        <w:t xml:space="preserve">)</w:t>
      </w:r>
    </w:p>
    <w:p>
      <w:pPr>
        <w:numPr>
          <w:ilvl w:val="0"/>
          <w:numId w:val="1012"/>
        </w:numPr>
        <w:pStyle w:val="Compact"/>
      </w:pPr>
      <w:r>
        <w:t xml:space="preserve">Calculated Emissions: (0.85 kg / 1000) * 2000 km * 0.08 kg CO2e/tkm = 0.136 kg CO2e/unit</w:t>
      </w:r>
    </w:p>
    <w:p>
      <w:pPr>
        <w:pStyle w:val="FirstParagraph"/>
      </w:pPr>
      <w:r>
        <w:rPr>
          <w:bCs/>
          <w:b/>
        </w:rPr>
        <w:t xml:space="preserve">Total Upstream Scope 3 Emissions: 2.61 + 0.136 = 2.746 kg CO2e/unit</w:t>
      </w:r>
    </w:p>
    <w:bookmarkEnd w:id="32"/>
    <w:bookmarkStart w:id="33" w:name="downstream-emissions"/>
    <w:p>
      <w:pPr>
        <w:pStyle w:val="Heading4"/>
      </w:pPr>
      <w:r>
        <w:t xml:space="preserve">4.3.2. Downstream Emissions</w:t>
      </w:r>
    </w:p>
    <w:p>
      <w:pPr>
        <w:pStyle w:val="FirstParagraph"/>
      </w:pPr>
      <w:r>
        <w:rPr>
          <w:bCs/>
          <w:b/>
        </w:rPr>
        <w:t xml:space="preserve">Category 9: Downstream Transportation and Distribution (Last-Mile Delivery)</w:t>
      </w:r>
    </w:p>
    <w:p>
      <w:pPr>
        <w:numPr>
          <w:ilvl w:val="0"/>
          <w:numId w:val="1013"/>
        </w:numPr>
        <w:pStyle w:val="Compact"/>
      </w:pPr>
      <w:r>
        <w:t xml:space="preserve">Product Mass: 0.85 kg</w:t>
      </w:r>
    </w:p>
    <w:p>
      <w:pPr>
        <w:numPr>
          <w:ilvl w:val="0"/>
          <w:numId w:val="1013"/>
        </w:numPr>
        <w:pStyle w:val="Compact"/>
      </w:pPr>
      <w:r>
        <w:t xml:space="preserve">Average Last-Mile Distance: 50 km</w:t>
      </w:r>
    </w:p>
    <w:p>
      <w:pPr>
        <w:numPr>
          <w:ilvl w:val="0"/>
          <w:numId w:val="1013"/>
        </w:numPr>
        <w:pStyle w:val="Compact"/>
      </w:pPr>
      <w:r>
        <w:t xml:space="preserve">Emission Factor: 0.15 kg CO2e/tkm (for Light Commercial Vehicle,</w:t>
      </w:r>
      <w:r>
        <w:t xml:space="preserve"> </w:t>
      </w:r>
      <w:r>
        <w:rPr>
          <w:bCs/>
          <w:b/>
        </w:rPr>
        <w:t xml:space="preserve">Delivery Type</w:t>
      </w:r>
      <w:r>
        <w:t xml:space="preserve">)</w:t>
      </w:r>
    </w:p>
    <w:p>
      <w:pPr>
        <w:numPr>
          <w:ilvl w:val="0"/>
          <w:numId w:val="1013"/>
        </w:numPr>
        <w:pStyle w:val="Compact"/>
      </w:pPr>
      <w:r>
        <w:t xml:space="preserve">Calculated Emissions: (0.85 kg / 1000) * 50 km * 0.15 kg CO2e/tkm = 0.006375 kg CO2e/unit (rounded to 0.006 kg CO2e)</w:t>
      </w:r>
    </w:p>
    <w:p>
      <w:pPr>
        <w:pStyle w:val="FirstParagraph"/>
      </w:pPr>
      <w:r>
        <w:rPr>
          <w:bCs/>
          <w:b/>
        </w:rPr>
        <w:t xml:space="preserve">Category 11: Use of Sold Products</w:t>
      </w:r>
    </w:p>
    <w:p>
      <w:pPr>
        <w:numPr>
          <w:ilvl w:val="0"/>
          <w:numId w:val="1014"/>
        </w:numPr>
        <w:pStyle w:val="Compact"/>
      </w:pPr>
      <w:r>
        <w:t xml:space="preserve">Product Lifespan: 5 years (</w:t>
      </w:r>
      <w:r>
        <w:rPr>
          <w:bCs/>
          <w:b/>
        </w:rPr>
        <w:t xml:space="preserve">sxoukttysp</w:t>
      </w:r>
      <w:r>
        <w:t xml:space="preserve">)</w:t>
      </w:r>
    </w:p>
    <w:p>
      <w:pPr>
        <w:numPr>
          <w:ilvl w:val="0"/>
          <w:numId w:val="1014"/>
        </w:numPr>
        <w:pStyle w:val="Compact"/>
      </w:pPr>
      <w:r>
        <w:t xml:space="preserve">Energy Consumption in Use: 10 kWh/year (</w:t>
      </w:r>
      <w:r>
        <w:rPr>
          <w:bCs/>
          <w:b/>
        </w:rPr>
        <w:t xml:space="preserve">zkohilymdn</w:t>
      </w:r>
      <w:r>
        <w:t xml:space="preserve">)</w:t>
      </w:r>
    </w:p>
    <w:p>
      <w:pPr>
        <w:numPr>
          <w:ilvl w:val="0"/>
          <w:numId w:val="1014"/>
        </w:numPr>
        <w:pStyle w:val="Compact"/>
      </w:pPr>
      <w:r>
        <w:t xml:space="preserve">Total Energy Consumed: 10 kWh/year * 5 years = 50 kWh/unit</w:t>
      </w:r>
    </w:p>
    <w:p>
      <w:pPr>
        <w:numPr>
          <w:ilvl w:val="0"/>
          <w:numId w:val="1014"/>
        </w:numPr>
        <w:pStyle w:val="Compact"/>
      </w:pPr>
      <w:r>
        <w:t xml:space="preserve">Electricity Grid Emission Factor: 0.6 kg CO2e/kWh</w:t>
      </w:r>
    </w:p>
    <w:p>
      <w:pPr>
        <w:numPr>
          <w:ilvl w:val="0"/>
          <w:numId w:val="1014"/>
        </w:numPr>
        <w:pStyle w:val="Compact"/>
      </w:pPr>
      <w:r>
        <w:t xml:space="preserve">Calculated Emissions: 50 kWh/unit * 0.6 kg CO2e/kWh = 30 kg CO2e/unit</w:t>
      </w:r>
    </w:p>
    <w:p>
      <w:pPr>
        <w:pStyle w:val="FirstParagraph"/>
      </w:pPr>
      <w:r>
        <w:rPr>
          <w:bCs/>
          <w:b/>
        </w:rPr>
        <w:t xml:space="preserve">Category 12: End-of-Life Treatment of Sold Products</w:t>
      </w:r>
    </w:p>
    <w:p>
      <w:pPr>
        <w:numPr>
          <w:ilvl w:val="0"/>
          <w:numId w:val="1015"/>
        </w:numPr>
        <w:pStyle w:val="Compact"/>
      </w:pPr>
      <w:r>
        <w:t xml:space="preserve">Product Mass at EoL: 0.85 kg</w:t>
      </w:r>
    </w:p>
    <w:p>
      <w:pPr>
        <w:numPr>
          <w:ilvl w:val="0"/>
          <w:numId w:val="1015"/>
        </w:numPr>
        <w:pStyle w:val="Compact"/>
      </w:pPr>
      <w:r>
        <w:t xml:space="preserve">Recyclability Percentage: 80% (</w:t>
      </w:r>
      <w:r>
        <w:rPr>
          <w:bCs/>
          <w:b/>
        </w:rPr>
        <w:t xml:space="preserve">qdxidxwjug</w:t>
      </w:r>
      <w:r>
        <w:t xml:space="preserve">)</w:t>
      </w:r>
    </w:p>
    <w:p>
      <w:pPr>
        <w:numPr>
          <w:ilvl w:val="0"/>
          <w:numId w:val="1015"/>
        </w:numPr>
        <w:pStyle w:val="Compact"/>
      </w:pPr>
      <w:r>
        <w:t xml:space="preserve">Mass to Landfill: 0.85 kg * (1 - 0.80) = 0.17 kg</w:t>
      </w:r>
    </w:p>
    <w:p>
      <w:pPr>
        <w:numPr>
          <w:ilvl w:val="0"/>
          <w:numId w:val="1015"/>
        </w:numPr>
        <w:pStyle w:val="Compact"/>
      </w:pPr>
      <w:r>
        <w:t xml:space="preserve">Mass Recycled: 0.85 kg * 0.80 = 0.68 kg</w:t>
      </w:r>
    </w:p>
    <w:p>
      <w:pPr>
        <w:numPr>
          <w:ilvl w:val="0"/>
          <w:numId w:val="1015"/>
        </w:numPr>
        <w:pStyle w:val="Compact"/>
      </w:pPr>
      <w:r>
        <w:t xml:space="preserve">Emissions from Landfill: 0.17 kg * 0.5 kg CO2e/kg = 0.085 kg CO2e/unit</w:t>
      </w:r>
    </w:p>
    <w:p>
      <w:pPr>
        <w:numPr>
          <w:ilvl w:val="0"/>
          <w:numId w:val="1015"/>
        </w:numPr>
        <w:pStyle w:val="Compact"/>
      </w:pPr>
      <w:r>
        <w:t xml:space="preserve">Avoided Emissions from Recycling: 0.68 kg * (-1.0 kg CO2e/kg) = -0.68 kg CO2e/unit</w:t>
      </w:r>
    </w:p>
    <w:p>
      <w:pPr>
        <w:numPr>
          <w:ilvl w:val="0"/>
          <w:numId w:val="1015"/>
        </w:numPr>
        <w:pStyle w:val="Compact"/>
      </w:pPr>
      <w:r>
        <w:t xml:space="preserve">Net EoL Emissions: 0.085 kg CO2e - 0.68 kg CO2e = -0.595 kg CO2e/unit</w:t>
      </w:r>
    </w:p>
    <w:p>
      <w:pPr>
        <w:numPr>
          <w:ilvl w:val="0"/>
          <w:numId w:val="1015"/>
        </w:numPr>
        <w:pStyle w:val="Compact"/>
      </w:pPr>
      <w:r>
        <w:rPr>
          <w:bCs/>
          <w:b/>
        </w:rPr>
        <w:t xml:space="preserve">Circular/Take-back Programs (htvuohxzfq):</w:t>
      </w:r>
      <w:r>
        <w:t xml:space="preserve"> </w:t>
      </w:r>
      <w:r>
        <w:t xml:space="preserve">The presence of established circular/take-back programs enhances the actualization of these recycling benefits and minimizes the impact of non-recycled waste, further reducing the net EoL footprint.</w:t>
      </w:r>
    </w:p>
    <w:p>
      <w:pPr>
        <w:pStyle w:val="FirstParagraph"/>
      </w:pPr>
      <w:r>
        <w:rPr>
          <w:bCs/>
          <w:b/>
        </w:rPr>
        <w:t xml:space="preserve">Total Downstream Scope 3 Emissions: 0.006 + 30 + (-0.595) = 29.411 kg CO2e/unit</w:t>
      </w:r>
    </w:p>
    <w:bookmarkEnd w:id="33"/>
    <w:bookmarkEnd w:id="34"/>
    <w:bookmarkStart w:id="35" w:name="X2b6bc5a0031d39117b118d5075c3f67ac26aea0"/>
    <w:p>
      <w:pPr>
        <w:pStyle w:val="Heading3"/>
      </w:pPr>
      <w:r>
        <w:t xml:space="preserve">4.4. Total Product Carbon Footprint (PCF) for zewufsnhov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0.050</w:t>
            </w:r>
          </w:p>
        </w:tc>
        <w:tc>
          <w:tcPr/>
          <w:p>
            <w:pPr>
              <w:pStyle w:val="Compact"/>
              <w:jc w:val="left"/>
            </w:pPr>
            <w:r>
              <w:t xml:space="preserve">0.15%</w:t>
            </w:r>
          </w:p>
        </w:tc>
      </w:tr>
      <w:tr>
        <w:tc>
          <w:tcPr/>
          <w:p>
            <w:pPr>
              <w:pStyle w:val="Compact"/>
              <w:jc w:val="left"/>
            </w:pPr>
            <w:r>
              <w:rPr>
                <w:bCs/>
                <w:b/>
              </w:rPr>
              <w:t xml:space="preserve">Scope 2 (Purchased Energy)</w:t>
            </w:r>
          </w:p>
        </w:tc>
        <w:tc>
          <w:tcPr/>
          <w:p>
            <w:pPr>
              <w:pStyle w:val="Compact"/>
              <w:jc w:val="left"/>
            </w:pPr>
            <w:r>
              <w:t xml:space="preserve">0.935</w:t>
            </w:r>
          </w:p>
        </w:tc>
        <w:tc>
          <w:tcPr/>
          <w:p>
            <w:pPr>
              <w:pStyle w:val="Compact"/>
              <w:jc w:val="left"/>
            </w:pPr>
            <w:r>
              <w:t xml:space="preserve">2.82%</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Category 1: Purchased Goods &amp; Services</w:t>
            </w:r>
          </w:p>
        </w:tc>
        <w:tc>
          <w:tcPr/>
          <w:p>
            <w:pPr>
              <w:pStyle w:val="Compact"/>
              <w:jc w:val="left"/>
            </w:pPr>
            <w:r>
              <w:t xml:space="preserve">2.610</w:t>
            </w:r>
          </w:p>
        </w:tc>
        <w:tc>
          <w:tcPr/>
          <w:p>
            <w:pPr>
              <w:pStyle w:val="Compact"/>
              <w:jc w:val="left"/>
            </w:pPr>
            <w:r>
              <w:t xml:space="preserve">7.88%</w:t>
            </w:r>
          </w:p>
        </w:tc>
      </w:tr>
      <w:tr>
        <w:tc>
          <w:tcPr/>
          <w:p>
            <w:pPr>
              <w:pStyle w:val="Compact"/>
              <w:jc w:val="left"/>
            </w:pPr>
            <w:r>
              <w:t xml:space="preserve">    Category 4: Upstream Transportation &amp; Distribution</w:t>
            </w:r>
          </w:p>
        </w:tc>
        <w:tc>
          <w:tcPr/>
          <w:p>
            <w:pPr>
              <w:pStyle w:val="Compact"/>
              <w:jc w:val="left"/>
            </w:pPr>
            <w:r>
              <w:t xml:space="preserve">0.136</w:t>
            </w:r>
          </w:p>
        </w:tc>
        <w:tc>
          <w:tcPr/>
          <w:p>
            <w:pPr>
              <w:pStyle w:val="Compact"/>
              <w:jc w:val="left"/>
            </w:pPr>
            <w:r>
              <w:t xml:space="preserve">0.41%</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Category 9: Downstream Transportation &amp; Distribution</w:t>
            </w:r>
          </w:p>
        </w:tc>
        <w:tc>
          <w:tcPr/>
          <w:p>
            <w:pPr>
              <w:pStyle w:val="Compact"/>
              <w:jc w:val="left"/>
            </w:pPr>
            <w:r>
              <w:t xml:space="preserve">0.006</w:t>
            </w:r>
          </w:p>
        </w:tc>
        <w:tc>
          <w:tcPr/>
          <w:p>
            <w:pPr>
              <w:pStyle w:val="Compact"/>
              <w:jc w:val="left"/>
            </w:pPr>
            <w:r>
              <w:t xml:space="preserve">0.02%</w:t>
            </w:r>
          </w:p>
        </w:tc>
      </w:tr>
      <w:tr>
        <w:tc>
          <w:tcPr/>
          <w:p>
            <w:pPr>
              <w:pStyle w:val="Compact"/>
              <w:jc w:val="left"/>
            </w:pPr>
            <w:r>
              <w:t xml:space="preserve">    Category 11: Use of Sold Products</w:t>
            </w:r>
          </w:p>
        </w:tc>
        <w:tc>
          <w:tcPr/>
          <w:p>
            <w:pPr>
              <w:pStyle w:val="Compact"/>
              <w:jc w:val="left"/>
            </w:pPr>
            <w:r>
              <w:t xml:space="preserve">30.000</w:t>
            </w:r>
          </w:p>
        </w:tc>
        <w:tc>
          <w:tcPr/>
          <w:p>
            <w:pPr>
              <w:pStyle w:val="Compact"/>
              <w:jc w:val="left"/>
            </w:pPr>
            <w:r>
              <w:t xml:space="preserve">90.52%</w:t>
            </w:r>
          </w:p>
        </w:tc>
      </w:tr>
      <w:tr>
        <w:tc>
          <w:tcPr/>
          <w:p>
            <w:pPr>
              <w:pStyle w:val="Compact"/>
              <w:jc w:val="left"/>
            </w:pPr>
            <w:r>
              <w:t xml:space="preserve">    Category 12: End-of-Life Treatment of Sold Products</w:t>
            </w:r>
          </w:p>
        </w:tc>
        <w:tc>
          <w:tcPr/>
          <w:p>
            <w:pPr>
              <w:pStyle w:val="Compact"/>
              <w:jc w:val="left"/>
            </w:pPr>
            <w:r>
              <w:t xml:space="preserve">-0.595</w:t>
            </w:r>
          </w:p>
        </w:tc>
        <w:tc>
          <w:tcPr/>
          <w:p>
            <w:pPr>
              <w:pStyle w:val="Compact"/>
              <w:jc w:val="left"/>
            </w:pPr>
            <w:r>
              <w:t xml:space="preserve">-1.79%</w:t>
            </w:r>
          </w:p>
        </w:tc>
      </w:tr>
      <w:tr>
        <w:tc>
          <w:tcPr/>
          <w:p>
            <w:pPr>
              <w:pStyle w:val="Compact"/>
              <w:jc w:val="left"/>
            </w:pPr>
            <w:r>
              <w:rPr>
                <w:bCs/>
                <w:b/>
              </w:rPr>
              <w:t xml:space="preserve">TOTAL PRODUCT CARBON FOOTPRINT</w:t>
            </w:r>
          </w:p>
        </w:tc>
        <w:tc>
          <w:tcPr/>
          <w:p>
            <w:pPr>
              <w:pStyle w:val="Compact"/>
              <w:jc w:val="left"/>
            </w:pPr>
            <w:r>
              <w:rPr>
                <w:bCs/>
                <w:b/>
              </w:rPr>
              <w:t xml:space="preserve">33.142</w:t>
            </w:r>
          </w:p>
        </w:tc>
        <w:tc>
          <w:tcPr/>
          <w:p>
            <w:pPr>
              <w:pStyle w:val="Compact"/>
              <w:jc w:val="left"/>
            </w:pPr>
            <w:r>
              <w:rPr>
                <w:bCs/>
                <w:b/>
              </w:rPr>
              <w:t xml:space="preserve">100.00%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and-reliability"/>
    <w:p>
      <w:pPr>
        <w:pStyle w:val="Heading3"/>
      </w:pPr>
      <w:r>
        <w:t xml:space="preserve">5.1. Emission Hotspots and Reliability</w:t>
      </w:r>
    </w:p>
    <w:p>
      <w:pPr>
        <w:pStyle w:val="FirstParagraph"/>
      </w:pPr>
      <w:r>
        <w:t xml:space="preserve">The analysis clearly identifies the</w:t>
      </w:r>
      <w:r>
        <w:t xml:space="preserve"> </w:t>
      </w:r>
      <w:r>
        <w:rPr>
          <w:bCs/>
          <w:b/>
        </w:rPr>
        <w:t xml:space="preserve">Use Phase (Category 11)</w:t>
      </w:r>
      <w:r>
        <w:t xml:space="preserve"> </w:t>
      </w:r>
      <w:r>
        <w:t xml:space="preserve">as the most significant emission hotspot, contributing approximately 90.52% of the total PCF. This is primarily driven by the assumed energy consumption over the product\'s lifespan (</w:t>
      </w:r>
      <w:r>
        <w:rPr>
          <w:bCs/>
          <w:b/>
        </w:rPr>
        <w:t xml:space="preserve">sxoukttysp</w:t>
      </w:r>
      <w:r>
        <w:t xml:space="preserve">) and energy consumption in use (</w:t>
      </w:r>
      <w:r>
        <w:rPr>
          <w:bCs/>
          <w:b/>
        </w:rPr>
        <w:t xml:space="preserve">zkohilymdn</w:t>
      </w:r>
      <w:r>
        <w:t xml:space="preserve">).</w:t>
      </w:r>
    </w:p>
    <w:p>
      <w:pPr>
        <w:pStyle w:val="BodyText"/>
      </w:pPr>
      <w:r>
        <w:t xml:space="preserve">Other notable hotspots include:</w:t>
      </w:r>
    </w:p>
    <w:p>
      <w:pPr>
        <w:numPr>
          <w:ilvl w:val="0"/>
          <w:numId w:val="1016"/>
        </w:numPr>
        <w:pStyle w:val="Compact"/>
      </w:pPr>
      <w:r>
        <w:rPr>
          <w:bCs/>
          <w:b/>
        </w:rPr>
        <w:t xml:space="preserve">Purchased Goods and Services (Category 1)</w:t>
      </w:r>
      <w:r>
        <w:t xml:space="preserve">: Representing 7.88% of the total footprint, highlighting the importance of sustainable material sourcing.</w:t>
      </w:r>
    </w:p>
    <w:p>
      <w:pPr>
        <w:numPr>
          <w:ilvl w:val="0"/>
          <w:numId w:val="1016"/>
        </w:numPr>
        <w:pStyle w:val="Compact"/>
      </w:pPr>
      <w:r>
        <w:rPr>
          <w:bCs/>
          <w:b/>
        </w:rPr>
        <w:t xml:space="preserve">Manufacturing (Scope 2)</w:t>
      </w:r>
      <w:r>
        <w:t xml:space="preserve">: Accounting for 2.82%, indicating that while renewable energy usage (</w:t>
      </w:r>
      <w:r>
        <w:rPr>
          <w:bCs/>
          <w:b/>
        </w:rPr>
        <w:t xml:space="preserve">ugsoxtjuwp</w:t>
      </w:r>
      <w:r>
        <w:t xml:space="preserve">) is high, there\'s still a notable impact from grid electricity.</w:t>
      </w:r>
    </w:p>
    <w:p>
      <w:pPr>
        <w:pStyle w:val="FirstParagraph"/>
      </w:pPr>
      <w:r>
        <w:t xml:space="preserve">The reliability of this report is directly tied to the quality of the input data. While the provided parameters (BOM</w:t>
      </w:r>
      <w:r>
        <w:t xml:space="preserve"> </w:t>
      </w:r>
      <w:r>
        <w:rPr>
          <w:bCs/>
          <w:b/>
        </w:rPr>
        <w:t xml:space="preserve">qdqdpvqh</w:t>
      </w:r>
      <w:r>
        <w:t xml:space="preserve">, transport</w:t>
      </w:r>
      <w:r>
        <w:t xml:space="preserve"> </w:t>
      </w:r>
      <w:r>
        <w:rPr>
          <w:bCs/>
          <w:b/>
        </w:rPr>
        <w:t xml:space="preserve">Select Mode</w:t>
      </w:r>
      <w:r>
        <w:t xml:space="preserve">/</w:t>
      </w:r>
      <w:r>
        <w:rPr>
          <w:bCs/>
          <w:b/>
        </w:rPr>
        <w:t xml:space="preserve">liuyjjmwhg</w:t>
      </w:r>
      <w:r>
        <w:t xml:space="preserve">/</w:t>
      </w:r>
      <w:r>
        <w:rPr>
          <w:bCs/>
          <w:b/>
        </w:rPr>
        <w:t xml:space="preserve">Delivery Type</w:t>
      </w:r>
      <w:r>
        <w:t xml:space="preserve">, energy</w:t>
      </w:r>
      <w:r>
        <w:t xml:space="preserve"> </w:t>
      </w:r>
      <w:r>
        <w:rPr>
          <w:bCs/>
          <w:b/>
        </w:rPr>
        <w:t xml:space="preserve">ugsoxtjuwp</w:t>
      </w:r>
      <w:r>
        <w:t xml:space="preserve">/</w:t>
      </w:r>
      <w:r>
        <w:rPr>
          <w:bCs/>
          <w:b/>
        </w:rPr>
        <w:t xml:space="preserve">igopuxuuuq</w:t>
      </w:r>
      <w:r>
        <w:t xml:space="preserve">, use</w:t>
      </w:r>
      <w:r>
        <w:t xml:space="preserve"> </w:t>
      </w:r>
      <w:r>
        <w:rPr>
          <w:bCs/>
          <w:b/>
        </w:rPr>
        <w:t xml:space="preserve">sxoukttysp</w:t>
      </w:r>
      <w:r>
        <w:t xml:space="preserve">/</w:t>
      </w:r>
      <w:r>
        <w:rPr>
          <w:bCs/>
          <w:b/>
        </w:rPr>
        <w:t xml:space="preserve">zkohilymdn</w:t>
      </w:r>
      <w:r>
        <w:t xml:space="preserve">, EoL</w:t>
      </w:r>
      <w:r>
        <w:t xml:space="preserve"> </w:t>
      </w:r>
      <w:r>
        <w:rPr>
          <w:bCs/>
          <w:b/>
        </w:rPr>
        <w:t xml:space="preserve">qdxidxwjug</w:t>
      </w:r>
      <w:r>
        <w:t xml:space="preserve">/</w:t>
      </w:r>
      <w:r>
        <w:rPr>
          <w:bCs/>
          <w:b/>
        </w:rPr>
        <w:t xml:space="preserve">htvuohxzfq</w:t>
      </w:r>
      <w:r>
        <w:t xml:space="preserve">) ensure a specific and detailed analysis, the emission factors used for calculation are illustrative industry averages. For enhanced accuracy, primary data collection from suppliers and specific, geographically relevant emission factor databases (e.g., Ecoinvent, DEFRA) would be essential in a real-world application.</w:t>
      </w:r>
    </w:p>
    <w:bookmarkEnd w:id="37"/>
    <w:bookmarkStart w:id="39" w:name="adherence-to-ghg-protocol-2026-updates"/>
    <w:p>
      <w:pPr>
        <w:pStyle w:val="Heading3"/>
      </w:pPr>
      <w:r>
        <w:t xml:space="preserve">5.2. Adherence to GHG Protocol &amp; 2026 Updates</w:t>
      </w:r>
    </w:p>
    <w:p>
      <w:pPr>
        <w:pStyle w:val="FirstParagraph"/>
      </w:pPr>
      <w:r>
        <w:t xml:space="preserve">This report adheres to the GHG Protocol Product Standard, providing a comprehensive lifecycle assessment and categorizing emissions into Scope 1, 2, and 3.</w:t>
      </w:r>
    </w:p>
    <w:p>
      <w:pPr>
        <w:pStyle w:val="BodyText"/>
      </w:pPr>
      <w:r>
        <w:rPr>
          <w:bCs/>
          <w:b/>
        </w:rPr>
        <w:t xml:space="preserve">2026 LSR Update:</w:t>
      </w:r>
      <w:r>
        <w:t xml:space="preserve"> </w:t>
      </w:r>
      <w:r>
        <w:t xml:space="preserve">The Land Sector and Removals (LSR) Standard (v1.0), released January 30, 2026, and effective January 1, 2027, has been considered in this analysis. While specific land use changes or direct removals related to</w:t>
      </w:r>
      <w:r>
        <w:t xml:space="preserve"> </w:t>
      </w:r>
      <w:r>
        <w:rPr>
          <w:bCs/>
          <w:b/>
        </w:rPr>
        <w:t xml:space="preserve">zewufsnhov</w:t>
      </w:r>
      <w:r>
        <w:t xml:space="preserve"> </w:t>
      </w:r>
      <w:r>
        <w:t xml:space="preserve">are not explicitly detailed in the provided parameters, the principles of accounting for land-based GHG emissions and CO2 removals are acknowledged. Future analyses will benefit from the forthcoming LSR Guidance (expected Q2 2026) for more detailed implementation.</w:t>
      </w:r>
    </w:p>
    <w:p>
      <w:pPr>
        <w:pStyle w:val="BodyText"/>
      </w:pPr>
      <w:r>
        <w:rPr>
          <w:bCs/>
          <w:b/>
        </w:rPr>
        <w:t xml:space="preserve">Scope 3 Compliance (2026 Requirements):</w:t>
      </w:r>
      <w:r>
        <w:t xml:space="preserve"> </w:t>
      </w:r>
      <w:r>
        <w:t xml:space="preserve">This analysis aims for at least 95% coverage for Scope 3 reporting, as mandated by the 2026 GHG Protocol revisions. By addressing all major upstream (materials, transport) and downstream (last-mile delivery, use, EoL) categories, a substantial portion of the value chain emissions for</w:t>
      </w:r>
      <w:r>
        <w:t xml:space="preserve"> </w:t>
      </w:r>
      <w:r>
        <w:rPr>
          <w:bCs/>
          <w:b/>
        </w:rPr>
        <w:t xml:space="preserve">zewufsnhov</w:t>
      </w:r>
      <w:r>
        <w:t xml:space="preserve"> </w:t>
      </w:r>
      <w:r>
        <w:t xml:space="preserve">is captured. The 2026 updates also emphasize mandatory data disaggregation by source type (primary vs. secondary) and a shift to an annualized stock-based model, which will guide future refinements in data collection and reporting to ensure full compliance and enhanced credibility. The inclusion of a new Category 16 for "Beyond Physical Ownership" will also be assessed for relevance in future iterations, though it is currently considered optional for most products not involving facilitated emissions in financial or digital services.</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zewufsnhov</dc:title>
  <dc:creator/>
  <dc:description>A high-detail Product Carbon Footprint (PCF) analysis report for product zewufsnhov, adhering to the GHG Protocol, prepared by ozsjxodolu for mnygdzesgs.</dc:description>
  <dc:language>en</dc:language>
  <cp:keywords/>
  <dcterms:created xsi:type="dcterms:W3CDTF">2026-07-16T01:15:12Z</dcterms:created>
  <dcterms:modified xsi:type="dcterms:W3CDTF">2026-07-16T01:15:12Z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