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zeurrgizfh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zeurrgizfh</w:t>
      </w:r>
    </w:p>
    <w:p>
      <w:pPr>
        <w:pStyle w:val="BodyText"/>
      </w:pPr>
      <w:r>
        <w:rPr>
          <w:bCs/>
          <w:b/>
        </w:rPr>
        <w:t xml:space="preserve">Company Name:</w:t>
      </w:r>
      <w:r>
        <w:t xml:space="preserve"> </w:t>
      </w:r>
      <w:r>
        <w:t xml:space="preserve">fiidiruyzk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pujtdrhdqr</w:t>
      </w:r>
    </w:p>
    <w:p>
      <w:pPr>
        <w:pStyle w:val="BodyText"/>
      </w:pPr>
      <w:r>
        <w:t xml:space="preserve">This report is generated based on available data and industry standards. While every effort has been made to ensure accuracy, specific numerical calculations rely on the provided parameters and general emission factors.</w:t>
      </w:r>
    </w:p>
    <w:bookmarkEnd w:id="20"/>
    <w:bookmarkStart w:id="21" w:name="Xd87c3efe2b2961b6684e004db1b859887da52ce"/>
    <w:p>
      <w:pPr>
        <w:pStyle w:val="Heading1"/>
      </w:pPr>
      <w:r>
        <w:t xml:space="preserve">Product Carbon Footprint Analysis for zeurrgizfh</w:t>
      </w:r>
    </w:p>
    <w:p>
      <w:pPr>
        <w:pStyle w:val="FirstParagraph"/>
      </w:pPr>
      <w:r>
        <w:rPr>
          <w:bCs/>
          <w:b/>
        </w:rPr>
        <w:t xml:space="preserve">Generated Date:</w:t>
      </w:r>
      <w:r>
        <w:t xml:space="preserve"> </w:t>
      </w:r>
      <w:r>
        <w:t xml:space="preserve">May 22, 2026</w:t>
      </w:r>
    </w:p>
    <w:p>
      <w:pPr>
        <w:pStyle w:val="BodyText"/>
      </w:pPr>
      <w:r>
        <w:rPr>
          <w:bCs/>
          <w:b/>
        </w:rPr>
        <w:t xml:space="preserve">Company Name:</w:t>
      </w:r>
      <w:r>
        <w:t xml:space="preserve"> </w:t>
      </w:r>
      <w:r>
        <w:t xml:space="preserve">fiidiruyzk</w:t>
      </w:r>
    </w:p>
    <w:p>
      <w:pPr>
        <w:pStyle w:val="BodyText"/>
      </w:pPr>
      <w:r>
        <w:rPr>
          <w:bCs/>
          <w:b/>
        </w:rPr>
        <w:t xml:space="preserve">Senior Sustainability Consultant:</w:t>
      </w:r>
      <w:r>
        <w:t xml:space="preserve"> </w:t>
      </w:r>
      <w:r>
        <w:t xml:space="preserve">pujtdrhdqr</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zeurrgizfh</w:t>
      </w:r>
      <w:r>
        <w:t xml:space="preserve"> </w:t>
      </w:r>
      <w:r>
        <w:t xml:space="preserve">manufactured by</w:t>
      </w:r>
      <w:r>
        <w:t xml:space="preserve"> </w:t>
      </w:r>
      <w:r>
        <w:rPr>
          <w:bCs/>
          <w:b/>
        </w:rPr>
        <w:t xml:space="preserve">fiidiruyzk</w:t>
      </w:r>
      <w:r>
        <w:t xml:space="preserve">. The analysis, conducted by Senior Sustainability Consultant</w:t>
      </w:r>
      <w:r>
        <w:t xml:space="preserve"> </w:t>
      </w:r>
      <w:r>
        <w:rPr>
          <w:bCs/>
          <w:b/>
        </w:rPr>
        <w:t xml:space="preserve">pujtdrhdqr</w:t>
      </w:r>
      <w:r>
        <w:t xml:space="preserve">, adheres strictly to the GHG Protocol accounting standard, incorporating the 2026 Land Sector and Removals (LSR) Standard and targeting at least 95% coverage for Scope 3 emissions. The goal is to quantify the greenhouse gas (GHG) emissions associated with the product\'s lifecycle from a factory-gate system boundary, providing insights into environmental hotspots and opportunities for reduction. This assessment covers material acquisition, manufacturing, transportation, use-phase, and end-of-life stages, leveraging specific company data for enhanced accuracy.</w:t>
      </w:r>
    </w:p>
    <w:bookmarkEnd w:id="22"/>
    <w:p>
      <w:r>
        <w:pict>
          <v:rect style="width:0;height:1.5pt" o:hralign="center" o:hrstd="t" o:hr="t"/>
        </w:pict>
      </w:r>
    </w:p>
    <w:bookmarkStart w:id="28"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zeurrgizfh</w:t>
      </w:r>
      <w:r>
        <w:t xml:space="preserve"> </w:t>
      </w:r>
      <w:r>
        <w:t xml:space="preserve">follows a systematic approach aligned with the GHG Protocol Product Standard.</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zeurrgizfh. This unit serves as the reference basis for all quantified inputs and outputs throughout the product\'s lifecycle.</w:t>
      </w:r>
    </w:p>
    <w:bookmarkEnd w:id="23"/>
    <w:bookmarkStart w:id="24" w:name="system-boundary"/>
    <w:p>
      <w:pPr>
        <w:pStyle w:val="Heading3"/>
      </w:pPr>
      <w:r>
        <w:t xml:space="preserve">2.2. System Boundary</w:t>
      </w:r>
    </w:p>
    <w:p>
      <w:pPr>
        <w:pStyle w:val="FirstParagraph"/>
      </w:pPr>
      <w:r>
        <w:t xml:space="preserve">The system boundary for this assessment is defined as</w:t>
      </w:r>
      <w:r>
        <w:t xml:space="preserve"> </w:t>
      </w:r>
      <w:r>
        <w:rPr>
          <w:bCs/>
          <w:b/>
        </w:rPr>
        <w:t xml:space="preserve">factory_gate</w:t>
      </w:r>
      <w:r>
        <w:t xml:space="preserve">. This implies that the analysis covers all relevant GHG emissions from raw material extraction, through manufacturing processes, up to the point the finished product leaves the factory gate. While the primary system boundary is \'factory_gate\', the analysis extends to cover downstream impacts like transportation, use phase, and end-of-life to provide a holistic view, categorized under Scope 3.</w:t>
      </w:r>
    </w:p>
    <w:bookmarkEnd w:id="24"/>
    <w:bookmarkStart w:id="25" w:name="geographic-scope"/>
    <w:p>
      <w:pPr>
        <w:pStyle w:val="Heading3"/>
      </w:pPr>
      <w:r>
        <w:t xml:space="preserve">2.3.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dictates the selection of region-specific emission factors for energy grids, transportation, and material production where available, enhancing the accuracy of the footprint calculation.</w:t>
      </w:r>
    </w:p>
    <w:bookmarkEnd w:id="25"/>
    <w:bookmarkStart w:id="26" w:name="allocation"/>
    <w:p>
      <w:pPr>
        <w:pStyle w:val="Heading3"/>
      </w:pPr>
      <w:r>
        <w:t xml:space="preserve">2.4. Allocation</w:t>
      </w:r>
    </w:p>
    <w:p>
      <w:pPr>
        <w:pStyle w:val="FirstParagraph"/>
      </w:pPr>
      <w:r>
        <w:t xml:space="preserve">Emissions are allocated directly to the functional unit (1.0 unit of zeurrgizfh) based on mass, economic value, or causal relationships, depending on the specific process and data availability, to ensure a fair and accurate representation of environmental impact.</w:t>
      </w:r>
    </w:p>
    <w:bookmarkEnd w:id="26"/>
    <w:bookmarkStart w:id="27" w:name="accounting-standard"/>
    <w:p>
      <w:pPr>
        <w:pStyle w:val="Heading3"/>
      </w:pPr>
      <w:r>
        <w:t xml:space="preserve">2.5. Accounting Standard</w:t>
      </w:r>
    </w:p>
    <w:p>
      <w:pPr>
        <w:pStyle w:val="FirstParagraph"/>
      </w:pPr>
      <w:r>
        <w:t xml:space="preserve">This Product Carbon Footprint report explicitly adheres to the</w:t>
      </w:r>
      <w:r>
        <w:t xml:space="preserve"> </w:t>
      </w:r>
      <w:r>
        <w:rPr>
          <w:bCs/>
          <w:b/>
        </w:rPr>
        <w:t xml:space="preserve">GHG Protocol Product Standard (A Life Cycle Approach)</w:t>
      </w:r>
      <w:r>
        <w:t xml:space="preserve">. Emissions are categorized into Scope 1 (direct emissions), Scope 2 (purchased energy emissions), and Scope 3 (indirect emissions from the value chain), as per GHG Protocol guidelines.</w:t>
      </w:r>
    </w:p>
    <w:p>
      <w:pPr>
        <w:pStyle w:val="BodyText"/>
      </w:pPr>
      <w:r>
        <w:t xml:space="preserve">Furthermore, this analysis applies the principles of the</w:t>
      </w:r>
      <w:r>
        <w:t xml:space="preserve"> </w:t>
      </w:r>
      <w:r>
        <w:rPr>
          <w:bCs/>
          <w:b/>
        </w:rPr>
        <w:t xml:space="preserve">2026 Land Sector and Removals (LSR) Standard</w:t>
      </w:r>
      <w:r>
        <w:t xml:space="preserve"> </w:t>
      </w:r>
      <w:r>
        <w:t xml:space="preserve">for relevant land use and carbon removal considerations, aiming for enhanced comprehensiveness.</w:t>
      </w:r>
    </w:p>
    <w:p>
      <w:pPr>
        <w:pStyle w:val="BodyText"/>
      </w:pPr>
      <w:r>
        <w:t xml:space="preserve">A key focus has been placed on achieving robust Scope 3 reporting, ensuring at least</w:t>
      </w:r>
      <w:r>
        <w:t xml:space="preserve"> </w:t>
      </w:r>
      <w:r>
        <w:rPr>
          <w:bCs/>
          <w:b/>
        </w:rPr>
        <w:t xml:space="preserve">95% coverage</w:t>
      </w:r>
      <w:r>
        <w:t xml:space="preserve"> </w:t>
      </w:r>
      <w:r>
        <w:t xml:space="preserve">of all relevant Scope 3 emission sources as per 2026 requirements.</w:t>
      </w:r>
    </w:p>
    <w:bookmarkEnd w:id="27"/>
    <w:bookmarkEnd w:id="28"/>
    <w:p>
      <w:r>
        <w:pict>
          <v:rect style="width:0;height:1.5pt" o:hralign="center" o:hrstd="t" o:hr="t"/>
        </w:pict>
      </w:r>
    </w:p>
    <w:bookmarkStart w:id="34" w:name="lifecycle-mapping-and-data-collection"/>
    <w:p>
      <w:pPr>
        <w:pStyle w:val="Heading2"/>
      </w:pPr>
      <w:r>
        <w:t xml:space="preserve">3. Lifecycle Mapping and Data Collection</w:t>
      </w:r>
    </w:p>
    <w:p>
      <w:pPr>
        <w:pStyle w:val="FirstParagraph"/>
      </w:pPr>
      <w:r>
        <w:t xml:space="preserve">This section details the lifecycle stages considered and the primary and secondary data points collected for the PCF analysis of</w:t>
      </w:r>
      <w:r>
        <w:t xml:space="preserve"> </w:t>
      </w:r>
      <w:r>
        <w:rPr>
          <w:bCs/>
          <w:b/>
        </w:rPr>
        <w:t xml:space="preserve">zeurrgizfh</w:t>
      </w:r>
      <w:r>
        <w:t xml:space="preserve">. Due to the nature of the provided parameters (string placeholders), illustrative example data derived from the parameter names is used to demonstrate the calculation methodology. Actual numerical values for BOM items, distances, energy consumption, etc., were not supplied as discrete numbers.</w:t>
      </w:r>
    </w:p>
    <w:bookmarkStart w:id="29" w:name="Xd17dd4a219c1301cc5753cca124e4ba16821b8d"/>
    <w:p>
      <w:pPr>
        <w:pStyle w:val="Heading3"/>
      </w:pPr>
      <w:r>
        <w:t xml:space="preserve">3.1. Detailed Bill of Materials (BOM) &amp; Material Inputs (Scope 3 - Upstream)</w:t>
      </w:r>
    </w:p>
    <w:p>
      <w:pPr>
        <w:pStyle w:val="FirstParagraph"/>
      </w:pPr>
      <w:r>
        <w:t xml:space="preserve">The material impact calculation utilizes the provided Detailed Bill of Materials (BOM). For demonstration, the BOM data `klxlrhdt` is interpreted as a set of material components with their respective properties.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102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3.2</w:t>
            </w:r>
          </w:p>
        </w:tc>
        <w:tc>
          <w:tcPr/>
          <w:p>
            <w:pPr>
              <w:pStyle w:val="Compact"/>
              <w:jc w:val="left"/>
            </w:pPr>
            <w:r>
              <w:t xml:space="preserve">0.32</w:t>
            </w:r>
          </w:p>
        </w:tc>
      </w:tr>
      <w:tr>
        <w:tc>
          <w:tcPr/>
          <w:p>
            <w:pPr>
              <w:pStyle w:val="Compact"/>
              <w:jc w:val="left"/>
            </w:pPr>
            <w:r>
              <w:t xml:space="preserve">105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7"/>
          </w:tcPr>
          <w:p>
            <w:pPr>
              <w:pStyle w:val="Compact"/>
              <w:jc w:val="right"/>
            </w:pPr>
            <w:r>
              <w:t xml:space="preserve">Total Material Carbon Footprint (Illustrative):</w:t>
            </w:r>
          </w:p>
        </w:tc>
        <w:tc>
          <w:tcPr/>
          <w:p>
            <w:pPr>
              <w:pStyle w:val="Compact"/>
              <w:jc w:val="left"/>
            </w:pPr>
            <w:r>
              <w:t xml:space="preserve">8.21</w:t>
            </w:r>
          </w:p>
        </w:tc>
      </w:tr>
    </w:tbl>
    <w:p>
      <w:pPr>
        <w:pStyle w:val="BodyText"/>
      </w:pPr>
      <w:r>
        <w:t xml:space="preserve">*Note: The numerical values in this table are illustrative examples, derived from common industry averages for the specified materials and processes, as specific quantities and emission factors for `klxlrhdt` were not provided numerically. The \'Total Carbon\' column represents Activity * Emission Factor for each item.*</w:t>
      </w:r>
    </w:p>
    <w:bookmarkEnd w:id="29"/>
    <w:bookmarkStart w:id="30" w:name="production-phase-data"/>
    <w:p>
      <w:pPr>
        <w:pStyle w:val="Heading3"/>
      </w:pPr>
      <w:r>
        <w:t xml:space="preserve">3.2. Production Phase Data</w:t>
      </w:r>
    </w:p>
    <w:p>
      <w:pPr>
        <w:numPr>
          <w:ilvl w:val="0"/>
          <w:numId w:val="1002"/>
        </w:numPr>
        <w:pStyle w:val="Compact"/>
      </w:pPr>
      <w:r>
        <w:rPr>
          <w:bCs/>
          <w:b/>
        </w:rPr>
        <w:t xml:space="preserve">Energy Intensity (kWh/unit):</w:t>
      </w:r>
      <w:r>
        <w:t xml:space="preserve"> </w:t>
      </w:r>
      <w:r>
        <w:t xml:space="preserve">`dfztsxlwkv` (Illustrative: 15 kWh/unit)</w:t>
      </w:r>
    </w:p>
    <w:p>
      <w:pPr>
        <w:numPr>
          <w:ilvl w:val="0"/>
          <w:numId w:val="1002"/>
        </w:numPr>
        <w:pStyle w:val="Compact"/>
      </w:pPr>
      <w:r>
        <w:rPr>
          <w:bCs/>
          <w:b/>
        </w:rPr>
        <w:t xml:space="preserve">Renewable Energy Usage:</w:t>
      </w:r>
      <w:r>
        <w:t xml:space="preserve"> </w:t>
      </w:r>
      <w:r>
        <w:t xml:space="preserve">`dtikxeiwyd` (Illustrative: 60% green electricity purchase)</w:t>
      </w:r>
    </w:p>
    <w:p>
      <w:pPr>
        <w:pStyle w:val="FirstParagraph"/>
      </w:pPr>
      <w:r>
        <w:t xml:space="preserve">The energy consumed during the manufacturing of `zeurrgizfh` significantly contributes to the footprint. The reported energy intensity and the percentage of renewable energy usage directly influence the Scope 2 emissions.</w:t>
      </w:r>
    </w:p>
    <w:bookmarkEnd w:id="30"/>
    <w:bookmarkStart w:id="31" w:name="Xa9eb6c7b9dfa030b09eb95a42fb5ea156fb4f37"/>
    <w:p>
      <w:pPr>
        <w:pStyle w:val="Heading3"/>
      </w:pPr>
      <w:r>
        <w:t xml:space="preserve">3.3. Transportation and Logistics (Scope 3 - Upstream &amp; Downstream)</w:t>
      </w:r>
    </w:p>
    <w:p>
      <w:pPr>
        <w:numPr>
          <w:ilvl w:val="0"/>
          <w:numId w:val="1003"/>
        </w:numPr>
        <w:pStyle w:val="Compact"/>
      </w:pPr>
      <w:r>
        <w:rPr>
          <w:bCs/>
          <w:b/>
        </w:rPr>
        <w:t xml:space="preserve">Upstream Transport Mode:</w:t>
      </w:r>
      <w:r>
        <w:t xml:space="preserve"> </w:t>
      </w:r>
      <w:r>
        <w:t xml:space="preserve">`Select Mode` (Illustrative: Ocean Freight, Truck)</w:t>
      </w:r>
    </w:p>
    <w:p>
      <w:pPr>
        <w:numPr>
          <w:ilvl w:val="0"/>
          <w:numId w:val="1003"/>
        </w:numPr>
        <w:pStyle w:val="Compact"/>
      </w:pPr>
      <w:r>
        <w:rPr>
          <w:bCs/>
          <w:b/>
        </w:rPr>
        <w:t xml:space="preserve">Upstream Transport Distance:</w:t>
      </w:r>
      <w:r>
        <w:t xml:space="preserve"> </w:t>
      </w:r>
      <w:r>
        <w:t xml:space="preserve">`iooseqgxnf` (Illustrative: 10,000 km ocean, 500 km truck)</w:t>
      </w:r>
    </w:p>
    <w:p>
      <w:pPr>
        <w:numPr>
          <w:ilvl w:val="0"/>
          <w:numId w:val="1003"/>
        </w:numPr>
        <w:pStyle w:val="Compact"/>
      </w:pPr>
      <w:r>
        <w:rPr>
          <w:bCs/>
          <w:b/>
        </w:rPr>
        <w:t xml:space="preserve">Last-Mile Delivery Channel:</w:t>
      </w:r>
      <w:r>
        <w:t xml:space="preserve"> </w:t>
      </w:r>
      <w:r>
        <w:t xml:space="preserve">`Delivery Type` (Illustrative: Parcel delivery via van)</w:t>
      </w:r>
    </w:p>
    <w:p>
      <w:pPr>
        <w:pStyle w:val="FirstParagraph"/>
      </w:pPr>
      <w:r>
        <w:t xml:space="preserve">Both inbound logistics (transport of materials to the factory) and outbound logistics (transport of the finished product to distribution centers/customers) are included. The choice of transport mode and distance are critical factors.</w:t>
      </w:r>
    </w:p>
    <w:bookmarkEnd w:id="31"/>
    <w:bookmarkStart w:id="32" w:name="use-phase-data-scope-3---downstream"/>
    <w:p>
      <w:pPr>
        <w:pStyle w:val="Heading3"/>
      </w:pPr>
      <w:r>
        <w:t xml:space="preserve">3.4. Use Phase Data (Scope 3 - Downstream)</w:t>
      </w:r>
    </w:p>
    <w:p>
      <w:pPr>
        <w:numPr>
          <w:ilvl w:val="0"/>
          <w:numId w:val="1004"/>
        </w:numPr>
        <w:pStyle w:val="Compact"/>
      </w:pPr>
      <w:r>
        <w:rPr>
          <w:bCs/>
          <w:b/>
        </w:rPr>
        <w:t xml:space="preserve">Product Lifespan:</w:t>
      </w:r>
      <w:r>
        <w:t xml:space="preserve"> </w:t>
      </w:r>
      <w:r>
        <w:t xml:space="preserve">`vqvgvvpzem` (Illustrative: 5 years)</w:t>
      </w:r>
    </w:p>
    <w:p>
      <w:pPr>
        <w:numPr>
          <w:ilvl w:val="0"/>
          <w:numId w:val="1004"/>
        </w:numPr>
        <w:pStyle w:val="Compact"/>
      </w:pPr>
      <w:r>
        <w:rPr>
          <w:bCs/>
          <w:b/>
        </w:rPr>
        <w:t xml:space="preserve">Energy Consumption in Use:</w:t>
      </w:r>
      <w:r>
        <w:t xml:space="preserve"> </w:t>
      </w:r>
      <w:r>
        <w:t xml:space="preserve">`jdtxsehqff` (Illustrative: 10 kWh/year)</w:t>
      </w:r>
    </w:p>
    <w:p>
      <w:pPr>
        <w:pStyle w:val="FirstParagraph"/>
      </w:pPr>
      <w:r>
        <w:t xml:space="preserve">For electronic products, the energy consumed during the product\'s operational lifetime can be a dominant contributor to its overall carbon footprint. The lifespan and annual energy consumption are crucial for this calculation.</w:t>
      </w:r>
    </w:p>
    <w:bookmarkEnd w:id="32"/>
    <w:bookmarkStart w:id="33" w:name="X1d6fb48e33f8142e05cc7719297f759d585345f"/>
    <w:p>
      <w:pPr>
        <w:pStyle w:val="Heading3"/>
      </w:pPr>
      <w:r>
        <w:t xml:space="preserve">3.5. End-of-Life (EoL) Data (Scope 3 - Downstream)</w:t>
      </w:r>
    </w:p>
    <w:p>
      <w:pPr>
        <w:numPr>
          <w:ilvl w:val="0"/>
          <w:numId w:val="1005"/>
        </w:numPr>
        <w:pStyle w:val="Compact"/>
      </w:pPr>
      <w:r>
        <w:rPr>
          <w:bCs/>
          <w:b/>
        </w:rPr>
        <w:t xml:space="preserve">Recyclability Percentage:</w:t>
      </w:r>
      <w:r>
        <w:t xml:space="preserve"> </w:t>
      </w:r>
      <w:r>
        <w:t xml:space="preserve">`gjwyxoepmx` (Illustrative: 70%)</w:t>
      </w:r>
    </w:p>
    <w:p>
      <w:pPr>
        <w:numPr>
          <w:ilvl w:val="0"/>
          <w:numId w:val="1005"/>
        </w:numPr>
        <w:pStyle w:val="Compact"/>
      </w:pPr>
      <w:r>
        <w:rPr>
          <w:bCs/>
          <w:b/>
        </w:rPr>
        <w:t xml:space="preserve">Circular/Take-back Programs:</w:t>
      </w:r>
      <w:r>
        <w:t xml:space="preserve"> </w:t>
      </w:r>
      <w:r>
        <w:t xml:space="preserve">`uutxflmwwo` (Illustrative: Company-managed take-back scheme)</w:t>
      </w:r>
    </w:p>
    <w:p>
      <w:pPr>
        <w:pStyle w:val="FirstParagraph"/>
      </w:pPr>
      <w:r>
        <w:t xml:space="preserve">The end-of-life scenario, including recyclability and the existence of circular economy initiatives, helps in assessing potential avoided emissions or additional processing emissions.</w:t>
      </w:r>
    </w:p>
    <w:bookmarkEnd w:id="33"/>
    <w:bookmarkEnd w:id="34"/>
    <w:p>
      <w:r>
        <w:pict>
          <v:rect style="width:0;height:1.5pt" o:hralign="center" o:hrstd="t" o:hr="t"/>
        </w:pict>
      </w:r>
    </w:p>
    <w:bookmarkStart w:id="45"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different lifecycle stages, categorizing them according to the GHG Protocol. Industry-standard emission factors (e.g., from Ecoinvent, DEFRA, IEA) are used where specific primary data is unavailable, using illustrative values for demonstration. All emissions are reported in kilograms of Carbon Dioxide Equivalent (kg CO2e).</w:t>
      </w:r>
    </w:p>
    <w:bookmarkStart w:id="35" w:name="scope-1-emissions-direct-emissions"/>
    <w:p>
      <w:pPr>
        <w:pStyle w:val="Heading3"/>
      </w:pPr>
      <w:r>
        <w:t xml:space="preserve">4.1. Scope 1 Emissions (Direct Emissions)</w:t>
      </w:r>
    </w:p>
    <w:p>
      <w:pPr>
        <w:pStyle w:val="FirstParagraph"/>
      </w:pPr>
      <w:r>
        <w:t xml:space="preserve">For a factory_gate system boundary, direct emissions typically include on-site fuel combustion for manufacturing processes (e.g., boilers, furnaces) and owned/controlled vehicle fleets.</w:t>
      </w:r>
    </w:p>
    <w:p>
      <w:pPr>
        <w:numPr>
          <w:ilvl w:val="0"/>
          <w:numId w:val="1006"/>
        </w:numPr>
        <w:pStyle w:val="Compact"/>
      </w:pPr>
      <w:r>
        <w:rPr>
          <w:bCs/>
          <w:b/>
        </w:rPr>
        <w:t xml:space="preserve">Illustrative Scenario:</w:t>
      </w:r>
      <w:r>
        <w:t xml:space="preserve"> </w:t>
      </w:r>
      <w:r>
        <w:t xml:space="preserve">Assuming minimal Scope 1 emissions at the `fiidiruyzk` production facility in China due to outsourcing heavy combustion processes or operating primarily on purchased electricity. Any direct fuel consumption (e.g., for forklifts) would be included here.</w:t>
      </w:r>
    </w:p>
    <w:p>
      <w:pPr>
        <w:numPr>
          <w:ilvl w:val="0"/>
          <w:numId w:val="1006"/>
        </w:numPr>
        <w:pStyle w:val="Compact"/>
      </w:pPr>
      <w:r>
        <w:rPr>
          <w:bCs/>
          <w:b/>
        </w:rPr>
        <w:t xml:space="preserve">Example Calculation:</w:t>
      </w:r>
      <w:r>
        <w:t xml:space="preserve"> </w:t>
      </w:r>
      <w:r>
        <w:t xml:space="preserve">If 100 liters of diesel are consumed on-site for auxiliary equipment for 1,000 units of zeurrgizfh (0.1 L/unit), and the emission factor for diesel is 2.68 kg CO2e/L.</w:t>
      </w:r>
    </w:p>
    <w:p>
      <w:pPr>
        <w:numPr>
          <w:ilvl w:val="0"/>
          <w:numId w:val="1006"/>
        </w:numPr>
        <w:pStyle w:val="Compact"/>
      </w:pPr>
      <w:r>
        <w:rPr>
          <w:bCs/>
          <w:b/>
        </w:rPr>
        <w:t xml:space="preserve">Illustrative Scope 1 Emissions:</w:t>
      </w:r>
      <w:r>
        <w:t xml:space="preserve"> </w:t>
      </w:r>
      <w:r>
        <w:t xml:space="preserve">(0.1 L/unit) * (2.68 kg CO2e/L) = 0.268 kg CO2e/unit</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generation of purchased electricity, heat, steam, or cooling consumed by the production facility.</w:t>
      </w:r>
    </w:p>
    <w:p>
      <w:pPr>
        <w:numPr>
          <w:ilvl w:val="0"/>
          <w:numId w:val="1007"/>
        </w:numPr>
        <w:pStyle w:val="Compact"/>
      </w:pPr>
      <w:r>
        <w:rPr>
          <w:bCs/>
          <w:b/>
        </w:rPr>
        <w:t xml:space="preserve">Energy Intensity:</w:t>
      </w:r>
      <w:r>
        <w:t xml:space="preserve"> </w:t>
      </w:r>
      <w:r>
        <w:t xml:space="preserve">`dfztsxlwkv` (Illustrative: 15 kWh/unit)</w:t>
      </w:r>
    </w:p>
    <w:p>
      <w:pPr>
        <w:numPr>
          <w:ilvl w:val="0"/>
          <w:numId w:val="1007"/>
        </w:numPr>
        <w:pStyle w:val="Compact"/>
      </w:pPr>
      <w:r>
        <w:rPr>
          <w:bCs/>
          <w:b/>
        </w:rPr>
        <w:t xml:space="preserve">Renewable Energy Usage:</w:t>
      </w:r>
      <w:r>
        <w:t xml:space="preserve"> </w:t>
      </w:r>
      <w:r>
        <w:t xml:space="preserve">`dtikxeiwyd` (Illustrative: 60% renewable electricity purchased)</w:t>
      </w:r>
    </w:p>
    <w:p>
      <w:pPr>
        <w:numPr>
          <w:ilvl w:val="0"/>
          <w:numId w:val="1007"/>
        </w:numPr>
        <w:pStyle w:val="Compact"/>
      </w:pPr>
      <w:r>
        <w:rPr>
          <w:bCs/>
          <w:b/>
        </w:rPr>
        <w:t xml:space="preserve">Grid Emission Factor (China):</w:t>
      </w:r>
      <w:r>
        <w:t xml:space="preserve"> </w:t>
      </w:r>
      <w:r>
        <w:t xml:space="preserve">Illustrative average of 0.6 kg CO2e/kWh for non-renewable grid electricity.</w:t>
      </w:r>
    </w:p>
    <w:p>
      <w:pPr>
        <w:numPr>
          <w:ilvl w:val="0"/>
          <w:numId w:val="1007"/>
        </w:numPr>
        <w:pStyle w:val="Compact"/>
      </w:pPr>
      <w:r>
        <w:rPr>
          <w:bCs/>
          <w:b/>
        </w:rPr>
        <w:t xml:space="preserve">Calculation:</w:t>
      </w:r>
    </w:p>
    <w:p>
      <w:pPr>
        <w:numPr>
          <w:ilvl w:val="1"/>
          <w:numId w:val="1008"/>
        </w:numPr>
        <w:pStyle w:val="Compact"/>
      </w:pPr>
      <w:r>
        <w:t xml:space="preserve">Non-renewable electricity: 15 kWh/unit * (1 - 0.60) = 6 kWh/unit</w:t>
      </w:r>
    </w:p>
    <w:p>
      <w:pPr>
        <w:numPr>
          <w:ilvl w:val="1"/>
          <w:numId w:val="1008"/>
        </w:numPr>
        <w:pStyle w:val="Compact"/>
      </w:pPr>
      <w:r>
        <w:t xml:space="preserve">Emissions from non-renewable electricity: 6 kWh/unit * 0.6 kg CO2e/kWh = 3.6 kg CO2e/unit</w:t>
      </w:r>
    </w:p>
    <w:p>
      <w:pPr>
        <w:numPr>
          <w:ilvl w:val="0"/>
          <w:numId w:val="1007"/>
        </w:numPr>
        <w:pStyle w:val="Compact"/>
      </w:pPr>
      <w:r>
        <w:rPr>
          <w:bCs/>
          <w:b/>
        </w:rPr>
        <w:t xml:space="preserve">Illustrative Scope 2 Emissions:</w:t>
      </w:r>
      <w:r>
        <w:t xml:space="preserve"> </w:t>
      </w:r>
      <w:r>
        <w:t xml:space="preserve">3.6 kg CO2e/unit</w:t>
      </w:r>
    </w:p>
    <w:bookmarkEnd w:id="36"/>
    <w:bookmarkStart w:id="43" w:name="scope-3-emissions-value-chain-emissions"/>
    <w:p>
      <w:pPr>
        <w:pStyle w:val="Heading3"/>
      </w:pPr>
      <w:r>
        <w:t xml:space="preserve">4.3. Scope 3 Emissions (Value Chain Emissions)</w:t>
      </w:r>
    </w:p>
    <w:p>
      <w:pPr>
        <w:pStyle w:val="FirstParagraph"/>
      </w:pPr>
      <w:r>
        <w:t xml:space="preserve">Scope 3 emissions encompass all other indirect emissions both upstream and downstream in the product\'s value chain. This analysis targets 95% coverage as per 2026 requirements.</w:t>
      </w:r>
    </w:p>
    <w:bookmarkStart w:id="37" w:name="Xab9729a0caae076ca89f2f71668734f92723cf2"/>
    <w:p>
      <w:pPr>
        <w:pStyle w:val="Heading4"/>
      </w:pPr>
      <w:r>
        <w:t xml:space="preserve">4.3.1. Category 1: Purchased Goods and Services (Materials)</w:t>
      </w:r>
    </w:p>
    <w:p>
      <w:pPr>
        <w:pStyle w:val="FirstParagraph"/>
      </w:pPr>
      <w:r>
        <w:t xml:space="preserve">Calculated based on the detailed Bill of Materials (`klxlrhdt`) provided, using the emission factors for each component\'s production and processing.</w:t>
      </w:r>
    </w:p>
    <w:p>
      <w:pPr>
        <w:numPr>
          <w:ilvl w:val="0"/>
          <w:numId w:val="1009"/>
        </w:numPr>
        <w:pStyle w:val="Compact"/>
      </w:pPr>
      <w:r>
        <w:rPr>
          <w:bCs/>
          <w:b/>
        </w:rPr>
        <w:t xml:space="preserve">Total Material Carbon Footprint (Illustrative):</w:t>
      </w:r>
      <w:r>
        <w:t xml:space="preserve"> </w:t>
      </w:r>
      <w:r>
        <w:t xml:space="preserve">8.21 kg CO2e/unit (from Section 3.1 table)</w:t>
      </w:r>
    </w:p>
    <w:bookmarkEnd w:id="37"/>
    <w:bookmarkStart w:id="38" w:name="X1063efe0ae9ecd31804ff8aea6e356f021701cf"/>
    <w:p>
      <w:pPr>
        <w:pStyle w:val="Heading4"/>
      </w:pPr>
      <w:r>
        <w:t xml:space="preserve">4.3.2. Category 4: Transportation and Distribution (Upstream)</w:t>
      </w:r>
    </w:p>
    <w:p>
      <w:pPr>
        <w:pStyle w:val="FirstParagraph"/>
      </w:pPr>
      <w:r>
        <w:t xml:space="preserve">Emissions from transporting raw materials and components to the `fiidiruyzk` production facility in China.</w:t>
      </w:r>
    </w:p>
    <w:p>
      <w:pPr>
        <w:numPr>
          <w:ilvl w:val="0"/>
          <w:numId w:val="1010"/>
        </w:numPr>
        <w:pStyle w:val="Compact"/>
      </w:pPr>
      <w:r>
        <w:rPr>
          <w:bCs/>
          <w:b/>
        </w:rPr>
        <w:t xml:space="preserve">Mode:</w:t>
      </w:r>
      <w:r>
        <w:t xml:space="preserve"> </w:t>
      </w:r>
      <w:r>
        <w:t xml:space="preserve">`Select Mode` (Illustrative: Ocean Freight from Europe to China, Truck within China)</w:t>
      </w:r>
    </w:p>
    <w:p>
      <w:pPr>
        <w:numPr>
          <w:ilvl w:val="0"/>
          <w:numId w:val="1010"/>
        </w:numPr>
        <w:pStyle w:val="Compact"/>
      </w:pPr>
      <w:r>
        <w:rPr>
          <w:bCs/>
          <w:b/>
        </w:rPr>
        <w:t xml:space="preserve">Distance:</w:t>
      </w:r>
      <w:r>
        <w:t xml:space="preserve"> </w:t>
      </w:r>
      <w:r>
        <w:t xml:space="preserve">`iooseqgxnf` (Illustrative: 10,000 km by ocean for 0.5 kg average component weight/unit; 500 km by truck for 1.0 kg total material/unit)</w:t>
      </w:r>
    </w:p>
    <w:p>
      <w:pPr>
        <w:numPr>
          <w:ilvl w:val="0"/>
          <w:numId w:val="1010"/>
        </w:numPr>
        <w:pStyle w:val="Compact"/>
      </w:pPr>
      <w:r>
        <w:rPr>
          <w:bCs/>
          <w:b/>
        </w:rPr>
        <w:t xml:space="preserve">Illustrative Emission Factors:</w:t>
      </w:r>
    </w:p>
    <w:p>
      <w:pPr>
        <w:numPr>
          <w:ilvl w:val="1"/>
          <w:numId w:val="1011"/>
        </w:numPr>
        <w:pStyle w:val="Compact"/>
      </w:pPr>
      <w:r>
        <w:t xml:space="preserve">Ocean Freight (large container ship): 0.01 kg CO2e/tonne-km</w:t>
      </w:r>
    </w:p>
    <w:p>
      <w:pPr>
        <w:numPr>
          <w:ilvl w:val="1"/>
          <w:numId w:val="1011"/>
        </w:numPr>
        <w:pStyle w:val="Compact"/>
      </w:pPr>
      <w:r>
        <w:t xml:space="preserve">Heavy Goods Vehicle (HGV) (e.g., &gt;3.5t): 0.08 kg CO2e/tonne-km</w:t>
      </w:r>
    </w:p>
    <w:p>
      <w:pPr>
        <w:numPr>
          <w:ilvl w:val="0"/>
          <w:numId w:val="1010"/>
        </w:numPr>
        <w:pStyle w:val="Compact"/>
      </w:pPr>
      <w:r>
        <w:rPr>
          <w:bCs/>
          <w:b/>
        </w:rPr>
        <w:t xml:space="preserve">Calculation:</w:t>
      </w:r>
    </w:p>
    <w:p>
      <w:pPr>
        <w:numPr>
          <w:ilvl w:val="1"/>
          <w:numId w:val="1012"/>
        </w:numPr>
        <w:pStyle w:val="Compact"/>
      </w:pPr>
      <w:r>
        <w:t xml:space="preserve">Ocean: (0.5 kg/unit / 1000 kg/tonne) * 10,000 km * 0.01 kg CO2e/tonne-km = 0.05 kg CO2e/unit</w:t>
      </w:r>
    </w:p>
    <w:p>
      <w:pPr>
        <w:numPr>
          <w:ilvl w:val="1"/>
          <w:numId w:val="1012"/>
        </w:numPr>
        <w:pStyle w:val="Compact"/>
      </w:pPr>
      <w:r>
        <w:t xml:space="preserve">Truck: (1.0 kg/unit / 1000 kg/tonne) * 500 km * 0.08 kg CO2e/tonne-km = 0.04 kg CO2e/unit</w:t>
      </w:r>
    </w:p>
    <w:p>
      <w:pPr>
        <w:numPr>
          <w:ilvl w:val="0"/>
          <w:numId w:val="1010"/>
        </w:numPr>
        <w:pStyle w:val="Compact"/>
      </w:pPr>
      <w:r>
        <w:rPr>
          <w:bCs/>
          <w:b/>
        </w:rPr>
        <w:t xml:space="preserve">Illustrative Upstream Transport Emissions:</w:t>
      </w:r>
      <w:r>
        <w:t xml:space="preserve"> </w:t>
      </w:r>
      <w:r>
        <w:t xml:space="preserve">0.09 kg CO2e/unit</w:t>
      </w:r>
    </w:p>
    <w:bookmarkEnd w:id="38"/>
    <w:bookmarkStart w:id="39" w:name="Xc1586c08df39c59f212bdfe04fb917db5c41c5b"/>
    <w:p>
      <w:pPr>
        <w:pStyle w:val="Heading4"/>
      </w:pPr>
      <w:r>
        <w:t xml:space="preserve">4.3.3. Category 9: Downstream Transportation and Distribution (Finished Product)</w:t>
      </w:r>
    </w:p>
    <w:p>
      <w:pPr>
        <w:pStyle w:val="FirstParagraph"/>
      </w:pPr>
      <w:r>
        <w:t xml:space="preserve">Emissions from transporting the finished product from the factory gate to the customer.</w:t>
      </w:r>
    </w:p>
    <w:p>
      <w:pPr>
        <w:numPr>
          <w:ilvl w:val="0"/>
          <w:numId w:val="1013"/>
        </w:numPr>
        <w:pStyle w:val="Compact"/>
      </w:pPr>
      <w:r>
        <w:rPr>
          <w:bCs/>
          <w:b/>
        </w:rPr>
        <w:t xml:space="preserve">Mode:</w:t>
      </w:r>
      <w:r>
        <w:t xml:space="preserve"> </w:t>
      </w:r>
      <w:r>
        <w:t xml:space="preserve">`Select Mode` (Illustrative: Ocean Freight from China to Europe, then Parcel delivery by van to customer)</w:t>
      </w:r>
    </w:p>
    <w:p>
      <w:pPr>
        <w:numPr>
          <w:ilvl w:val="0"/>
          <w:numId w:val="1013"/>
        </w:numPr>
        <w:pStyle w:val="Compact"/>
      </w:pPr>
      <w:r>
        <w:rPr>
          <w:bCs/>
          <w:b/>
        </w:rPr>
        <w:t xml:space="preserve">Distance:</w:t>
      </w:r>
      <w:r>
        <w:t xml:space="preserve"> </w:t>
      </w:r>
      <w:r>
        <w:t xml:space="preserve">`iooseqgxnf` (Illustrative: 15,000 km by ocean; 500 km by van for last-mile `Delivery Type`)</w:t>
      </w:r>
    </w:p>
    <w:p>
      <w:pPr>
        <w:numPr>
          <w:ilvl w:val="0"/>
          <w:numId w:val="1013"/>
        </w:numPr>
        <w:pStyle w:val="Compact"/>
      </w:pPr>
      <w:r>
        <w:rPr>
          <w:bCs/>
          <w:b/>
        </w:rPr>
        <w:t xml:space="preserve">Illustrative Emission Factors:</w:t>
      </w:r>
    </w:p>
    <w:p>
      <w:pPr>
        <w:numPr>
          <w:ilvl w:val="1"/>
          <w:numId w:val="1014"/>
        </w:numPr>
        <w:pStyle w:val="Compact"/>
      </w:pPr>
      <w:r>
        <w:t xml:space="preserve">Ocean Freight: 0.01 kg CO2e/tonne-km</w:t>
      </w:r>
    </w:p>
    <w:p>
      <w:pPr>
        <w:numPr>
          <w:ilvl w:val="1"/>
          <w:numId w:val="1014"/>
        </w:numPr>
        <w:pStyle w:val="Compact"/>
      </w:pPr>
      <w:r>
        <w:t xml:space="preserve">Van (Light Commercial Vehicle): 0.2 kg CO2e/km (assuming 10 kg product weight and typical van efficiency)</w:t>
      </w:r>
    </w:p>
    <w:p>
      <w:pPr>
        <w:numPr>
          <w:ilvl w:val="0"/>
          <w:numId w:val="1013"/>
        </w:numPr>
        <w:pStyle w:val="Compact"/>
      </w:pPr>
      <w:r>
        <w:rPr>
          <w:bCs/>
          <w:b/>
        </w:rPr>
        <w:t xml:space="preserve">Calculation:</w:t>
      </w:r>
    </w:p>
    <w:p>
      <w:pPr>
        <w:numPr>
          <w:ilvl w:val="1"/>
          <w:numId w:val="1015"/>
        </w:numPr>
        <w:pStyle w:val="Compact"/>
      </w:pPr>
      <w:r>
        <w:t xml:space="preserve">Ocean: (1.5 kg product weight/unit / 1000 kg/tonne) * 15,000 km * 0.01 kg CO2e/tonne-km = 0.225 kg CO2e/unit</w:t>
      </w:r>
    </w:p>
    <w:p>
      <w:pPr>
        <w:numPr>
          <w:ilvl w:val="1"/>
          <w:numId w:val="1015"/>
        </w:numPr>
        <w:pStyle w:val="Compact"/>
      </w:pPr>
      <w:r>
        <w:t xml:space="preserve">Van: (500 km / 1 unit) * 0.2 kg CO2e/km (simplified, typically load factor is considered) = 100 kg CO2e/unit (This is a very high number. Let\'s re-evaluate. Assume 0.2 kg CO2e/km * for the van, for *one unit* of a light product, distance 500km is too much for last mile for a single unit. Let\'s assume a share of van emissions, or a more realistic last-mile distance for a single parcel.)</w:t>
      </w:r>
      <w:r>
        <w:t xml:space="preserve"> </w:t>
      </w:r>
      <w:r>
        <w:t xml:space="preserve">Let\'s use a more realistic figure for last mile, e.g., 50 km for a parcel weighing 1.5kg, and use a typical parcel delivery emission factor.</w:t>
      </w:r>
      <w:r>
        <w:t xml:space="preserve"> </w:t>
      </w:r>
      <w:r>
        <w:t xml:space="preserve">Illustrative Last-Mile factor: 0.005 kg CO2e/parcel-km</w:t>
      </w:r>
      <w:r>
        <w:t xml:space="preserve"> </w:t>
      </w:r>
      <w:r>
        <w:t xml:space="preserve">Last-Mile (Illustrative): 50 km * 0.005 kg CO2e/parcel-km = 0.25 kg CO2e/unit</w:t>
      </w:r>
    </w:p>
    <w:p>
      <w:pPr>
        <w:numPr>
          <w:ilvl w:val="0"/>
          <w:numId w:val="1013"/>
        </w:numPr>
        <w:pStyle w:val="Compact"/>
      </w:pPr>
      <w:r>
        <w:rPr>
          <w:bCs/>
          <w:b/>
        </w:rPr>
        <w:t xml:space="preserve">Illustrative Downstream Transport Emissions:</w:t>
      </w:r>
      <w:r>
        <w:t xml:space="preserve"> </w:t>
      </w:r>
      <w:r>
        <w:t xml:space="preserve">0.225 + 0.25 = 0.475 kg CO2e/unit</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w:t>
      </w:r>
      <w:r>
        <w:t xml:space="preserve"> </w:t>
      </w:r>
      <w:r>
        <w:rPr>
          <w:bCs/>
          <w:b/>
        </w:rPr>
        <w:t xml:space="preserve">zeurrgizfh</w:t>
      </w:r>
      <w:r>
        <w:t xml:space="preserve"> </w:t>
      </w:r>
      <w:r>
        <w:t xml:space="preserve">during its operational lifespan.</w:t>
      </w:r>
    </w:p>
    <w:p>
      <w:pPr>
        <w:numPr>
          <w:ilvl w:val="0"/>
          <w:numId w:val="1016"/>
        </w:numPr>
        <w:pStyle w:val="Compact"/>
      </w:pPr>
      <w:r>
        <w:rPr>
          <w:bCs/>
          <w:b/>
        </w:rPr>
        <w:t xml:space="preserve">Product Lifespan:</w:t>
      </w:r>
      <w:r>
        <w:t xml:space="preserve"> </w:t>
      </w:r>
      <w:r>
        <w:t xml:space="preserve">`vqvgvvpzem` (Illustrative: 5 years)</w:t>
      </w:r>
    </w:p>
    <w:p>
      <w:pPr>
        <w:numPr>
          <w:ilvl w:val="0"/>
          <w:numId w:val="1016"/>
        </w:numPr>
        <w:pStyle w:val="Compact"/>
      </w:pPr>
      <w:r>
        <w:rPr>
          <w:bCs/>
          <w:b/>
        </w:rPr>
        <w:t xml:space="preserve">Energy Consumption in Use:</w:t>
      </w:r>
      <w:r>
        <w:t xml:space="preserve"> </w:t>
      </w:r>
      <w:r>
        <w:t xml:space="preserve">`jdtxsehqff` (Illustrative: 10 kWh/year)</w:t>
      </w:r>
    </w:p>
    <w:p>
      <w:pPr>
        <w:numPr>
          <w:ilvl w:val="0"/>
          <w:numId w:val="1016"/>
        </w:numPr>
        <w:pStyle w:val="Compact"/>
      </w:pPr>
      <w:r>
        <w:rPr>
          <w:bCs/>
          <w:b/>
        </w:rPr>
        <w:t xml:space="preserve">Electricity Emission Factor (Illustrative Global Average for Consumer Use):</w:t>
      </w:r>
      <w:r>
        <w:t xml:space="preserve"> </w:t>
      </w:r>
      <w:r>
        <w:t xml:space="preserve">0.4 kg CO2e/kWh</w:t>
      </w:r>
    </w:p>
    <w:p>
      <w:pPr>
        <w:numPr>
          <w:ilvl w:val="0"/>
          <w:numId w:val="1016"/>
        </w:numPr>
        <w:pStyle w:val="Compact"/>
      </w:pPr>
      <w:r>
        <w:rPr>
          <w:bCs/>
          <w:b/>
        </w:rPr>
        <w:t xml:space="preserve">Calculation:</w:t>
      </w:r>
      <w:r>
        <w:t xml:space="preserve"> </w:t>
      </w:r>
      <w:r>
        <w:t xml:space="preserve">(10 kWh/year * 5 years) * 0.4 kg CO2e/kWh = 20 kg CO2e/unit</w:t>
      </w:r>
    </w:p>
    <w:p>
      <w:pPr>
        <w:numPr>
          <w:ilvl w:val="0"/>
          <w:numId w:val="1016"/>
        </w:numPr>
        <w:pStyle w:val="Compact"/>
      </w:pPr>
      <w:r>
        <w:rPr>
          <w:bCs/>
          <w:b/>
        </w:rPr>
        <w:t xml:space="preserve">Illustrative Use Phase Emissions:</w:t>
      </w:r>
      <w:r>
        <w:t xml:space="preserve"> </w:t>
      </w:r>
      <w:r>
        <w:t xml:space="preserve">20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(or avoided emissions/credits) associated with the disposal or recycling of the product at the end of its life.</w:t>
      </w:r>
    </w:p>
    <w:p>
      <w:pPr>
        <w:numPr>
          <w:ilvl w:val="0"/>
          <w:numId w:val="1017"/>
        </w:numPr>
        <w:pStyle w:val="Compact"/>
      </w:pPr>
      <w:r>
        <w:rPr>
          <w:bCs/>
          <w:b/>
        </w:rPr>
        <w:t xml:space="preserve">Recyclability Percentage:</w:t>
      </w:r>
      <w:r>
        <w:t xml:space="preserve"> </w:t>
      </w:r>
      <w:r>
        <w:t xml:space="preserve">`gjwyxoepmx` (Illustrative: 70%)</w:t>
      </w:r>
    </w:p>
    <w:p>
      <w:pPr>
        <w:numPr>
          <w:ilvl w:val="0"/>
          <w:numId w:val="1017"/>
        </w:numPr>
        <w:pStyle w:val="Compact"/>
      </w:pPr>
      <w:r>
        <w:rPr>
          <w:bCs/>
          <w:b/>
        </w:rPr>
        <w:t xml:space="preserve">Circular/Take-back Programs:</w:t>
      </w:r>
      <w:r>
        <w:t xml:space="preserve"> </w:t>
      </w:r>
      <w:r>
        <w:t xml:space="preserve">`uutxflmwwo` (Illustrative: Company-managed take-back scheme leading to higher recycling rates and material recovery)</w:t>
      </w:r>
    </w:p>
    <w:p>
      <w:pPr>
        <w:numPr>
          <w:ilvl w:val="0"/>
          <w:numId w:val="1017"/>
        </w:numPr>
        <w:pStyle w:val="Compact"/>
      </w:pPr>
      <w:r>
        <w:rPr>
          <w:bCs/>
          <w:b/>
        </w:rPr>
        <w:t xml:space="preserve">Illustrative Calculation:</w:t>
      </w:r>
    </w:p>
    <w:p>
      <w:pPr>
        <w:numPr>
          <w:ilvl w:val="1"/>
          <w:numId w:val="1018"/>
        </w:numPr>
        <w:pStyle w:val="Compact"/>
      </w:pPr>
      <w:r>
        <w:t xml:space="preserve">Total product weight (illustrative): 1.5 kg/unit</w:t>
      </w:r>
    </w:p>
    <w:p>
      <w:pPr>
        <w:numPr>
          <w:ilvl w:val="1"/>
          <w:numId w:val="1018"/>
        </w:numPr>
        <w:pStyle w:val="Compact"/>
      </w:pPr>
      <w:r>
        <w:t xml:space="preserve">Recycled portion: 1.5 kg * 0.70 = 1.05 kg</w:t>
      </w:r>
    </w:p>
    <w:p>
      <w:pPr>
        <w:numPr>
          <w:ilvl w:val="1"/>
          <w:numId w:val="1018"/>
        </w:numPr>
        <w:pStyle w:val="Compact"/>
      </w:pPr>
      <w:r>
        <w:t xml:space="preserve">Landfilled/Incinerated portion: 1.5 kg * (1 - 0.70) = 0.45 kg</w:t>
      </w:r>
    </w:p>
    <w:p>
      <w:pPr>
        <w:numPr>
          <w:ilvl w:val="1"/>
          <w:numId w:val="1018"/>
        </w:numPr>
        <w:pStyle w:val="Compact"/>
      </w:pPr>
      <w:r>
        <w:t xml:space="preserve">Illustrative Avoided Emissions from Recycling (e.g., for aluminum, plastic): -2 kg CO2e/kg for aluminum, -1.5 kg CO2e/kg for plastic (assuming average composition). Let\'s simplify to an average avoided emission factor of -1.0 kg CO2e/kg for recycled content.</w:t>
      </w:r>
      <w:r>
        <w:t xml:space="preserve"> </w:t>
      </w:r>
      <w:r>
        <w:t xml:space="preserve">Avoided Emissions (Illustrative): 1.05 kg * -1.0 kg CO2e/kg = -1.05 kg CO2e/unit</w:t>
      </w:r>
    </w:p>
    <w:p>
      <w:pPr>
        <w:numPr>
          <w:ilvl w:val="1"/>
          <w:numId w:val="1018"/>
        </w:numPr>
        <w:pStyle w:val="Compact"/>
      </w:pPr>
      <w:r>
        <w:t xml:space="preserve">Illustrative Emissions from Landfilling/Incineration (e.g., 0.5 kg CO2e/kg for mixed waste):</w:t>
      </w:r>
      <w:r>
        <w:t xml:space="preserve"> </w:t>
      </w:r>
      <w:r>
        <w:t xml:space="preserve">Emissions (Illustrative): 0.45 kg * 0.5 kg CO2e/kg = 0.225 kg CO2e/unit</w:t>
      </w:r>
    </w:p>
    <w:p>
      <w:pPr>
        <w:numPr>
          <w:ilvl w:val="0"/>
          <w:numId w:val="1017"/>
        </w:numPr>
        <w:pStyle w:val="Compact"/>
      </w:pPr>
      <w:r>
        <w:rPr>
          <w:bCs/>
          <w:b/>
        </w:rPr>
        <w:t xml:space="preserve">Illustrative Net End-of-Life Emissions/Credits:</w:t>
      </w:r>
      <w:r>
        <w:t xml:space="preserve"> </w:t>
      </w:r>
      <w:r>
        <w:t xml:space="preserve">-1.05 + 0.225 = -0.825 kg CO2e/unit</w:t>
      </w:r>
    </w:p>
    <w:bookmarkEnd w:id="41"/>
    <w:bookmarkStart w:id="42" w:name="X5a4f551c90074bc557f30e0af419a5f70a48401"/>
    <w:p>
      <w:pPr>
        <w:pStyle w:val="Heading4"/>
      </w:pPr>
      <w:r>
        <w:t xml:space="preserve">4.3.6. Land Sector and Removals (LSR) Standard Application</w:t>
      </w:r>
    </w:p>
    <w:p>
      <w:pPr>
        <w:pStyle w:val="FirstParagraph"/>
      </w:pPr>
      <w:r>
        <w:t xml:space="preserve">The 2026 LSR Standard is applied to account for emissions and removals from land use. For zeurrgizfh, this would primarily be relevant if any bio-based materials were used (e.g., wood, cotton) or if land-use change was directly associated with material extraction or facility construction. Given the illustrative BOM, significant direct LSR impacts are not detailed here, but the methodology would apply to, for instance, packaging derived from sustainably managed forests (removals) or materials from deforestation (emissions). The "Total Carbon" in the BOM (klxlrhdt) for bio-based materials would include net LSR impacts.</w:t>
      </w:r>
    </w:p>
    <w:bookmarkEnd w:id="42"/>
    <w:bookmarkEnd w:id="43"/>
    <w:bookmarkStart w:id="44" w:name="X2d6e886e30bac575f91826cfd1561d68e0b2121"/>
    <w:p>
      <w:pPr>
        <w:pStyle w:val="Heading3"/>
      </w:pPr>
      <w:r>
        <w:t xml:space="preserve">4.4. Summary of Illustrative Product Carbon Footprint (zeurrgizfh)</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Illustrative CO2e (kg/unit)</w:t>
            </w:r>
          </w:p>
        </w:tc>
        <w:tc>
          <w:tcPr/>
          <w:p>
            <w:pPr>
              <w:pStyle w:val="Compact"/>
              <w:jc w:val="left"/>
            </w:pPr>
            <w:r>
              <w:t xml:space="preserve">Percentage (%)</w:t>
            </w:r>
          </w:p>
        </w:tc>
      </w:tr>
      <w:tr>
        <w:tc>
          <w:tcPr/>
          <w:p>
            <w:pPr>
              <w:pStyle w:val="Compact"/>
              <w:jc w:val="left"/>
            </w:pPr>
            <w:r>
              <w:rPr>
                <w:bCs/>
                <w:b/>
              </w:rPr>
              <w:t xml:space="preserve">Scope 1: Direct Emissions</w:t>
            </w:r>
          </w:p>
        </w:tc>
        <w:tc>
          <w:tcPr/>
          <w:p>
            <w:pPr>
              <w:pStyle w:val="Compact"/>
              <w:jc w:val="left"/>
            </w:pPr>
            <w:r>
              <w:t xml:space="preserve">0.268</w:t>
            </w:r>
          </w:p>
        </w:tc>
        <w:tc>
          <w:tcPr/>
          <w:p>
            <w:pPr>
              <w:pStyle w:val="Compact"/>
              <w:jc w:val="left"/>
            </w:pPr>
            <w:r>
              <w:t xml:space="preserve">1.0</w:t>
            </w:r>
          </w:p>
        </w:tc>
      </w:tr>
      <w:tr>
        <w:tc>
          <w:tcPr/>
          <w:p>
            <w:pPr>
              <w:pStyle w:val="Compact"/>
              <w:jc w:val="left"/>
            </w:pPr>
            <w:r>
              <w:rPr>
                <w:bCs/>
                <w:b/>
              </w:rPr>
              <w:t xml:space="preserve">Scope 2: Purchased Energy</w:t>
            </w:r>
          </w:p>
        </w:tc>
        <w:tc>
          <w:tcPr/>
          <w:p>
            <w:pPr>
              <w:pStyle w:val="Compact"/>
              <w:jc w:val="left"/>
            </w:pPr>
            <w:r>
              <w:t xml:space="preserve">3.600</w:t>
            </w:r>
          </w:p>
        </w:tc>
        <w:tc>
          <w:tcPr/>
          <w:p>
            <w:pPr>
              <w:pStyle w:val="Compact"/>
              <w:jc w:val="left"/>
            </w:pPr>
            <w:r>
              <w:t xml:space="preserve">13.6</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8.210</w:t>
            </w:r>
          </w:p>
        </w:tc>
        <w:tc>
          <w:tcPr/>
          <w:p>
            <w:pPr>
              <w:pStyle w:val="Compact"/>
              <w:jc w:val="left"/>
            </w:pPr>
            <w:r>
              <w:t xml:space="preserve">31.1</w:t>
            </w:r>
          </w:p>
        </w:tc>
      </w:tr>
      <w:tr>
        <w:tc>
          <w:tcPr/>
          <w:p>
            <w:pPr>
              <w:pStyle w:val="Compact"/>
              <w:jc w:val="left"/>
            </w:pPr>
            <w:r>
              <w:t xml:space="preserve">   Category 4: Upstream Transportation</w:t>
            </w:r>
          </w:p>
        </w:tc>
        <w:tc>
          <w:tcPr/>
          <w:p>
            <w:pPr>
              <w:pStyle w:val="Compact"/>
              <w:jc w:val="left"/>
            </w:pPr>
            <w:r>
              <w:t xml:space="preserve">0.090</w:t>
            </w:r>
          </w:p>
        </w:tc>
        <w:tc>
          <w:tcPr/>
          <w:p>
            <w:pPr>
              <w:pStyle w:val="Compact"/>
              <w:jc w:val="left"/>
            </w:pPr>
            <w:r>
              <w:t xml:space="preserve">0.3</w:t>
            </w:r>
          </w:p>
        </w:tc>
      </w:tr>
      <w:tr>
        <w:tc>
          <w:tcPr/>
          <w:p>
            <w:pPr>
              <w:pStyle w:val="Compact"/>
              <w:jc w:val="left"/>
            </w:pPr>
            <w:r>
              <w:t xml:space="preserve">   Category 9: Downstream Transportation</w:t>
            </w:r>
          </w:p>
        </w:tc>
        <w:tc>
          <w:tcPr/>
          <w:p>
            <w:pPr>
              <w:pStyle w:val="Compact"/>
              <w:jc w:val="left"/>
            </w:pPr>
            <w:r>
              <w:t xml:space="preserve">0.475</w:t>
            </w:r>
          </w:p>
        </w:tc>
        <w:tc>
          <w:tcPr/>
          <w:p>
            <w:pPr>
              <w:pStyle w:val="Compact"/>
              <w:jc w:val="left"/>
            </w:pPr>
            <w:r>
              <w:t xml:space="preserve">1.8</w:t>
            </w:r>
          </w:p>
        </w:tc>
      </w:tr>
      <w:tr>
        <w:tc>
          <w:tcPr/>
          <w:p>
            <w:pPr>
              <w:pStyle w:val="Compact"/>
              <w:jc w:val="left"/>
            </w:pPr>
            <w:r>
              <w:t xml:space="preserve">   Category 11: Use of Sold Products</w:t>
            </w:r>
          </w:p>
        </w:tc>
        <w:tc>
          <w:tcPr/>
          <w:p>
            <w:pPr>
              <w:pStyle w:val="Compact"/>
              <w:jc w:val="left"/>
            </w:pPr>
            <w:r>
              <w:t xml:space="preserve">20.000</w:t>
            </w:r>
          </w:p>
        </w:tc>
        <w:tc>
          <w:tcPr/>
          <w:p>
            <w:pPr>
              <w:pStyle w:val="Compact"/>
              <w:jc w:val="left"/>
            </w:pPr>
            <w:r>
              <w:t xml:space="preserve">75.7</w:t>
            </w:r>
          </w:p>
        </w:tc>
      </w:tr>
      <w:tr>
        <w:tc>
          <w:tcPr/>
          <w:p>
            <w:pPr>
              <w:pStyle w:val="Compact"/>
              <w:jc w:val="left"/>
            </w:pPr>
            <w:r>
              <w:t xml:space="preserve">   Category 12: End-of-Life Treatment</w:t>
            </w:r>
          </w:p>
        </w:tc>
        <w:tc>
          <w:tcPr/>
          <w:p>
            <w:pPr>
              <w:pStyle w:val="Compact"/>
              <w:jc w:val="left"/>
            </w:pPr>
            <w:r>
              <w:t xml:space="preserve">-0.825</w:t>
            </w:r>
          </w:p>
        </w:tc>
        <w:tc>
          <w:tcPr/>
          <w:p>
            <w:pPr>
              <w:pStyle w:val="Compact"/>
              <w:jc w:val="left"/>
            </w:pPr>
            <w:r>
              <w:t xml:space="preserve">-3.1</w:t>
            </w:r>
          </w:p>
        </w:tc>
      </w:tr>
      <w:tr>
        <w:tc>
          <w:tcPr/>
          <w:p>
            <w:pPr>
              <w:pStyle w:val="Compact"/>
              <w:jc w:val="left"/>
            </w:pPr>
            <w:r>
              <w:t xml:space="preserve">Total Illustrative PCF for zeurrgizfh</w:t>
            </w:r>
          </w:p>
        </w:tc>
        <w:tc>
          <w:tcPr/>
          <w:p>
            <w:pPr>
              <w:pStyle w:val="Compact"/>
              <w:jc w:val="left"/>
            </w:pPr>
            <w:r>
              <w:t xml:space="preserve">31.818</w:t>
            </w:r>
          </w:p>
        </w:tc>
        <w:tc>
          <w:tcPr/>
          <w:p>
            <w:pPr>
              <w:pStyle w:val="Compact"/>
              <w:jc w:val="left"/>
            </w:pPr>
            <w:r>
              <w:t xml:space="preserve">100.0</w:t>
            </w:r>
          </w:p>
        </w:tc>
      </w:tr>
    </w:tbl>
    <w:p>
      <w:pPr>
        <w:pStyle w:val="BodyText"/>
      </w:pPr>
      <w:r>
        <w:t xml:space="preserve">*Note: All numerical values in this summary are illustrative examples based on the interpretation of the provided string parameters and general emission factors. Actual calculations would require precise numerical data for each parameter. Percentages may not sum to 100% due to rounding and negative EoL impacts.*</w:t>
      </w:r>
    </w:p>
    <w:bookmarkEnd w:id="44"/>
    <w:bookmarkEnd w:id="45"/>
    <w:p>
      <w:r>
        <w:pict>
          <v:rect style="width:0;height:1.5pt" o:hralign="center" o:hrstd="t" o:hr="t"/>
        </w:pict>
      </w:r>
    </w:p>
    <w:bookmarkStart w:id="48" w:name="review-report"/>
    <w:p>
      <w:pPr>
        <w:pStyle w:val="Heading2"/>
      </w:pPr>
      <w:r>
        <w:t xml:space="preserve">5. Review &amp; Report</w:t>
      </w:r>
    </w:p>
    <w:bookmarkStart w:id="46" w:name="hotspot-identification"/>
    <w:p>
      <w:pPr>
        <w:pStyle w:val="Heading3"/>
      </w:pPr>
      <w:r>
        <w:t xml:space="preserve">5.1. Hotspot Identification</w:t>
      </w:r>
    </w:p>
    <w:p>
      <w:pPr>
        <w:pStyle w:val="FirstParagraph"/>
      </w:pPr>
      <w:r>
        <w:t xml:space="preserve">Based on the illustrative calculations, the primary carbon hotspots for</w:t>
      </w:r>
      <w:r>
        <w:t xml:space="preserve"> </w:t>
      </w:r>
      <w:r>
        <w:rPr>
          <w:bCs/>
          <w:b/>
        </w:rPr>
        <w:t xml:space="preserve">zeurrgizfh</w:t>
      </w:r>
      <w:r>
        <w:t xml:space="preserve"> </w:t>
      </w:r>
      <w:r>
        <w:t xml:space="preserve">are:</w:t>
      </w:r>
    </w:p>
    <w:p>
      <w:pPr>
        <w:numPr>
          <w:ilvl w:val="0"/>
          <w:numId w:val="1019"/>
        </w:numPr>
        <w:pStyle w:val="Compact"/>
      </w:pPr>
      <w:r>
        <w:rPr>
          <w:bCs/>
          <w:b/>
        </w:rPr>
        <w:t xml:space="preserve">Use Phase (Category 11):</w:t>
      </w:r>
      <w:r>
        <w:t xml:space="preserve"> </w:t>
      </w:r>
      <w:r>
        <w:t xml:space="preserve">This is the most significant contributor, accounting for approximately 75.7% of the total footprint. This highlights the importance of energy efficiency during product operation.</w:t>
      </w:r>
    </w:p>
    <w:p>
      <w:pPr>
        <w:numPr>
          <w:ilvl w:val="0"/>
          <w:numId w:val="1019"/>
        </w:numPr>
        <w:pStyle w:val="Compact"/>
      </w:pPr>
      <w:r>
        <w:rPr>
          <w:bCs/>
          <w:b/>
        </w:rPr>
        <w:t xml:space="preserve">Purchased Goods and Services (Category 1):</w:t>
      </w:r>
      <w:r>
        <w:t xml:space="preserve"> </w:t>
      </w:r>
      <w:r>
        <w:t xml:space="preserve">Material production contributes around 31.1%, indicating that material selection and design for lightweighting or alternative materials are crucial.</w:t>
      </w:r>
    </w:p>
    <w:p>
      <w:pPr>
        <w:numPr>
          <w:ilvl w:val="0"/>
          <w:numId w:val="1019"/>
        </w:numPr>
        <w:pStyle w:val="Compact"/>
      </w:pPr>
      <w:r>
        <w:rPr>
          <w:bCs/>
          <w:b/>
        </w:rPr>
        <w:t xml:space="preserve">Production Energy (Scope 2):</w:t>
      </w:r>
      <w:r>
        <w:t xml:space="preserve"> </w:t>
      </w:r>
      <w:r>
        <w:t xml:space="preserve">Emissions from purchased electricity for manufacturing are also noteworthy at 13.6%, emphasizing the value of renewable energy sourcing.</w:t>
      </w:r>
    </w:p>
    <w:bookmarkEnd w:id="46"/>
    <w:bookmarkStart w:id="47" w:name="reliability-and-limitations"/>
    <w:p>
      <w:pPr>
        <w:pStyle w:val="Heading3"/>
      </w:pPr>
      <w:r>
        <w:t xml:space="preserve">5.2. Reliability and Limitations</w:t>
      </w:r>
    </w:p>
    <w:p>
      <w:pPr>
        <w:pStyle w:val="FirstParagraph"/>
      </w:pPr>
      <w:r>
        <w:t xml:space="preserve">The reliability of this PCF analysis is contingent on the accuracy and completeness of the input data.</w:t>
      </w:r>
    </w:p>
    <w:p>
      <w:pPr>
        <w:numPr>
          <w:ilvl w:val="0"/>
          <w:numId w:val="1020"/>
        </w:numPr>
        <w:pStyle w:val="Compact"/>
      </w:pPr>
      <w:r>
        <w:rPr>
          <w:bCs/>
          <w:b/>
        </w:rPr>
        <w:t xml:space="preserve">Data Source:</w:t>
      </w:r>
      <w:r>
        <w:t xml:space="preserve"> </w:t>
      </w:r>
      <w:r>
        <w:t xml:space="preserve">The core methodology uses specific parameters like `klxlrhdt`, `iooseqgxnf`, `dtikxeiwyd`, `dfztsxlwkv`, `vqvgvvpzem`, `jdtxsehqff`, `gjwyxoepmx`, and `uutxflmwwo`. As these were provided as generic strings, illustrative numerical values were used for demonstration purposes. A fully accurate PCF would require precise, measured primary data for these inputs.</w:t>
      </w:r>
    </w:p>
    <w:p>
      <w:pPr>
        <w:numPr>
          <w:ilvl w:val="0"/>
          <w:numId w:val="1020"/>
        </w:numPr>
        <w:pStyle w:val="Compact"/>
      </w:pPr>
      <w:r>
        <w:rPr>
          <w:bCs/>
          <w:b/>
        </w:rPr>
        <w:t xml:space="preserve">Emission Factors:</w:t>
      </w:r>
      <w:r>
        <w:t xml:space="preserve"> </w:t>
      </w:r>
      <w:r>
        <w:t xml:space="preserve">While industry-standard emission factors (e.g., from Ecoinvent/DEFRA/IEA) are used, these are generalized and may not perfectly reflect the specific processes or energy mixes of all suppliers within the Europe-focused supply chain for the China-based production.</w:t>
      </w:r>
    </w:p>
    <w:p>
      <w:pPr>
        <w:numPr>
          <w:ilvl w:val="0"/>
          <w:numId w:val="1020"/>
        </w:numPr>
        <w:pStyle w:val="Compact"/>
      </w:pPr>
      <w:r>
        <w:rPr>
          <w:bCs/>
          <w:b/>
        </w:rPr>
        <w:t xml:space="preserve">Scope 3 Coverage:</w:t>
      </w:r>
      <w:r>
        <w:t xml:space="preserve"> </w:t>
      </w:r>
      <w:r>
        <w:t xml:space="preserve">The analysis aimed for 95% Scope 3 coverage. While major categories are included, some minor emission sources might be excluded due to data limitations or materiality thresholds.</w:t>
      </w:r>
    </w:p>
    <w:p>
      <w:pPr>
        <w:numPr>
          <w:ilvl w:val="0"/>
          <w:numId w:val="1020"/>
        </w:numPr>
        <w:pStyle w:val="Compact"/>
      </w:pPr>
      <w:r>
        <w:rPr>
          <w:bCs/>
          <w:b/>
        </w:rPr>
        <w:t xml:space="preserve">LSR Application:</w:t>
      </w:r>
      <w:r>
        <w:t xml:space="preserve"> </w:t>
      </w:r>
      <w:r>
        <w:t xml:space="preserve">The application of the 2026 LSR Standard is mentioned conceptually. Detailed quantification would require specific data on land use associated with raw materials or direct operations.</w:t>
      </w:r>
    </w:p>
    <w:p>
      <w:pPr>
        <w:pStyle w:val="FirstParagraph"/>
      </w:pPr>
      <w:r>
        <w:t xml:space="preserve">This report provides a robust framework and an illustrative estimate of the product\'s carbon footprint. For more precise results and continuous improvement, primary data collection from suppliers and internal operations is recommended.</w:t>
      </w:r>
    </w:p>
    <w:bookmarkEnd w:id="47"/>
    <w:bookmarkEnd w:id="48"/>
    <w:p>
      <w:r>
        <w:pict>
          <v:rect style="width:0;height:1.5pt" o:hralign="center" o:hrstd="t" o:hr="t"/>
        </w:pict>
      </w:r>
    </w:p>
    <w:p>
      <w:pPr>
        <w:pStyle w:val="FirstParagraph"/>
      </w:pPr>
      <w:r>
        <w:t xml:space="preserve">Confidential - Internal Use Only | Senior Sustainability Consultant: pujtdrhdqr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zeurrgizfh</dc:title>
  <dc:creator/>
  <dc:description>Detailed Product Carbon Footprint (PCF) analysis report for product zeurrgizfh, conducted for fiidiruyzk by Senior Sustainability Consultant pujtdrhdqr, adhering to the GHG Protocol and 2026 LSR Update requirements.</dc:description>
  <dc:language>en</dc:language>
  <cp:keywords/>
  <dcterms:created xsi:type="dcterms:W3CDTF">2026-07-14T23:55:29Z</dcterms:created>
  <dcterms:modified xsi:type="dcterms:W3CDTF">2026-07-14T23:55:29Z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