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zedgxsxxzz</w:t>
      </w:r>
    </w:p>
    <w:p>
      <w:pPr>
        <w:pStyle w:val="FirstParagraph"/>
      </w:pPr>
      <w:r>
        <w:rPr>
          <w:bCs/>
          <w:b/>
        </w:rPr>
        <w:t xml:space="preserve">carboncalcpcf.com</w:t>
      </w:r>
    </w:p>
    <w:bookmarkStart w:id="21" w:name="product-carbon-footprint-analysis"/>
    <w:p>
      <w:pPr>
        <w:pStyle w:val="Heading1"/>
      </w:pPr>
      <w:r>
        <w:t xml:space="preserve">Product Carbon Footprint Analysis</w:t>
      </w:r>
    </w:p>
    <w:bookmarkStart w:id="20" w:name="for-zedgxsxxzz"/>
    <w:p>
      <w:pPr>
        <w:pStyle w:val="Heading2"/>
      </w:pPr>
      <w:r>
        <w:t xml:space="preserve">for zedgxsxxzz</w:t>
      </w:r>
    </w:p>
    <w:p>
      <w:pPr>
        <w:pStyle w:val="FirstParagraph"/>
      </w:pPr>
      <w:r>
        <w:rPr>
          <w:bCs/>
          <w:b/>
        </w:rPr>
        <w:t xml:space="preserve">Company Name:</w:t>
      </w:r>
      <w:r>
        <w:t xml:space="preserve"> </w:t>
      </w:r>
      <w:r>
        <w:t xml:space="preserve">ufemkjvhyn</w:t>
      </w:r>
    </w:p>
    <w:p>
      <w:pPr>
        <w:pStyle w:val="BodyText"/>
      </w:pPr>
      <w:r>
        <w:rPr>
          <w:bCs/>
          <w:b/>
        </w:rPr>
        <w:t xml:space="preserve">Senior Sustainability Consultant:</w:t>
      </w:r>
      <w:r>
        <w:t xml:space="preserve"> </w:t>
      </w:r>
      <w:r>
        <w:t xml:space="preserve">nvfdpkxzhp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accuracy of the calculations relies on the completeness and precision of the input parameters provided.</w:t>
      </w:r>
      <w:r>
        <w:t xml:space="preserve"> </w:t>
      </w:r>
      <w:r>
        <w:t xml:space="preserve">Illustrative values have been used where specific numerical data was represented by generic placeholders.</w:t>
      </w:r>
    </w:p>
    <w:p>
      <w:pPr>
        <w:pStyle w:val="BodyText"/>
      </w:pPr>
      <w:r>
        <w:t xml:space="preserve">Generated Date: May 16, 2026</w:t>
      </w:r>
    </w:p>
    <w:bookmarkEnd w:id="20"/>
    <w:bookmarkEnd w:id="21"/>
    <w:bookmarkStart w:id="56" w:name="Xd1905d16cf872b453786da8718ea5e2bb2abd41"/>
    <w:p>
      <w:pPr>
        <w:pStyle w:val="Heading1"/>
      </w:pPr>
      <w:r>
        <w:t xml:space="preserve">Product Carbon Footprint Analysis for zedgxsxxzz</w:t>
      </w:r>
    </w:p>
    <w:p>
      <w:pPr>
        <w:pStyle w:val="FirstParagraph"/>
      </w:pPr>
      <w:r>
        <w:rPr>
          <w:bCs/>
          <w:b/>
        </w:rPr>
        <w:t xml:space="preserve">Generated Date:</w:t>
      </w:r>
      <w:r>
        <w:t xml:space="preserve"> </w:t>
      </w:r>
      <w:r>
        <w:t xml:space="preserve">May 16,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"zedgxsxxzz", conducted for the company ufemkjvhyn by Senior Sustainability Consultant nvfdpkxzhp. The analysis adheres strictly to the GHG Protocol accounting standard, incorporating the 2026 Land Sector and Removals (LSR) Standard and ensuring comprehensive Scope 3 coverage. The primary goal is to quantify the greenhouse gas emissions associated with zedgxsxxzz across its lifecycle, identify emission hotspots, and provide a foundation for targeted reduction strategies.</w:t>
      </w:r>
    </w:p>
    <w:p>
      <w:r>
        <w:pict>
          <v:rect style="width:0;height:1.5pt" o:hralign="center" o:hrstd="t" o:hr="t"/>
        </w:pict>
      </w:r>
    </w:p>
    <w:bookmarkEnd w:id="22"/>
    <w:bookmarkStart w:id="55" w:name="methodology"/>
    <w:p>
      <w:pPr>
        <w:pStyle w:val="Heading2"/>
      </w:pPr>
      <w:r>
        <w:t xml:space="preserve">Methodology</w:t>
      </w:r>
    </w:p>
    <w:p>
      <w:pPr>
        <w:pStyle w:val="FirstParagraph"/>
      </w:pPr>
      <w:r>
        <w:t xml:space="preserve">This Product Carbon Footprint (PCF) analysis follows the five-step methodology prescribed by the GHG Protocol Product Standard, ensuring a comprehensive and standardized assessment.</w:t>
      </w:r>
    </w:p>
    <w:bookmarkStart w:id="23" w:name="core-principles-and-standards"/>
    <w:p>
      <w:pPr>
        <w:pStyle w:val="Heading3"/>
      </w:pPr>
      <w:r>
        <w:t xml:space="preserve">Core Principles and Standards:</w:t>
      </w:r>
    </w:p>
    <w:p>
      <w:pPr>
        <w:numPr>
          <w:ilvl w:val="0"/>
          <w:numId w:val="1001"/>
        </w:numPr>
        <w:pStyle w:val="Compact"/>
      </w:pPr>
      <w:r>
        <w:rPr>
          <w:bCs/>
          <w:b/>
        </w:rPr>
        <w:t xml:space="preserve">Accounting Standard:</w:t>
      </w:r>
      <w:r>
        <w:t xml:space="preserve"> </w:t>
      </w:r>
      <w:r>
        <w:t xml:space="preserve">GHG Protocol Product Standard.</w:t>
      </w:r>
    </w:p>
    <w:p>
      <w:pPr>
        <w:numPr>
          <w:ilvl w:val="0"/>
          <w:numId w:val="1001"/>
        </w:numPr>
        <w:pStyle w:val="Compact"/>
      </w:pPr>
      <w:r>
        <w:rPr>
          <w:bCs/>
          <w:b/>
        </w:rPr>
        <w:t xml:space="preserve">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2026 LSR Update:</w:t>
      </w:r>
      <w:r>
        <w:t xml:space="preserve"> </w:t>
      </w:r>
      <w:r>
        <w:t xml:space="preserve">The Land Sector and Removals (LSR) Standard for land use and carbon removals is applied, integrating biogenic carbon flows and land use changes.</w:t>
      </w:r>
    </w:p>
    <w:p>
      <w:pPr>
        <w:numPr>
          <w:ilvl w:val="0"/>
          <w:numId w:val="1001"/>
        </w:numPr>
        <w:pStyle w:val="Compact"/>
      </w:pPr>
      <w:r>
        <w:rPr>
          <w:bCs/>
          <w:b/>
        </w:rPr>
        <w:t xml:space="preserve">Scope 3 Compliance:</w:t>
      </w:r>
      <w:r>
        <w:t xml:space="preserve"> </w:t>
      </w:r>
      <w:r>
        <w:t xml:space="preserve">At least 95% coverage for Scope 3 reporting is ensured as per 2026 requirements, focusing on all relevant upstream and downstream activities.</w:t>
      </w:r>
    </w:p>
    <w:bookmarkEnd w:id="23"/>
    <w:bookmarkStart w:id="54" w:name="methodology-steps"/>
    <w:p>
      <w:pPr>
        <w:pStyle w:val="Heading3"/>
      </w:pPr>
      <w:r>
        <w:t xml:space="preserve">Methodology Steps:</w:t>
      </w:r>
    </w:p>
    <w:p>
      <w:pPr>
        <w:numPr>
          <w:ilvl w:val="0"/>
          <w:numId w:val="1002"/>
        </w:numPr>
        <w:pStyle w:val="Heading3"/>
      </w:pPr>
      <w:bookmarkStart w:id="24" w:name="define-scope"/>
      <w:r>
        <w:t xml:space="preserve">1. Define Scope</w:t>
      </w:r>
      <w:bookmarkEnd w:id="24"/>
    </w:p>
    <w:p>
      <w:pPr>
        <w:numPr>
          <w:ilvl w:val="0"/>
          <w:numId w:val="1000"/>
        </w:numPr>
      </w:pPr>
      <w:r>
        <w:t xml:space="preserve">The initial phase establishes the boundaries and assumptions for the PCF study:</w:t>
      </w:r>
    </w:p>
    <w:p>
      <w:pPr>
        <w:numPr>
          <w:ilvl w:val="1"/>
          <w:numId w:val="1003"/>
        </w:numPr>
        <w:pStyle w:val="Compact"/>
      </w:pPr>
      <w:r>
        <w:rPr>
          <w:bCs/>
          <w:b/>
        </w:rPr>
        <w:t xml:space="preserve">Functional Unit:</w:t>
      </w:r>
      <w:r>
        <w:t xml:space="preserve"> </w:t>
      </w:r>
      <w:r>
        <w:t xml:space="preserve">The reference unit for the analysis is 1.0 unit of "zedgxsxxzz". This allows for a standardized comparison of environmental impacts.</w:t>
      </w:r>
    </w:p>
    <w:p>
      <w:pPr>
        <w:numPr>
          <w:ilvl w:val="1"/>
          <w:numId w:val="1003"/>
        </w:numPr>
        <w:pStyle w:val="Compact"/>
      </w:pPr>
      <w:r>
        <w:rPr>
          <w:bCs/>
          <w:b/>
        </w:rPr>
        <w:t xml:space="preserve">System Boundary:</w:t>
      </w:r>
      <w:r>
        <w:t xml:space="preserve"> </w:t>
      </w:r>
      <w:r>
        <w:t xml:space="preserve">A \'factory_gate\' system boundary has been selected. This includes all processes from raw material extraction, material processing, manufacturing of components, assembly, and packaging, up to the point the finished product leaves the factory gate. Downstream phases (transport to customer, use phase, end-of-life) are calculated separately to provide a full lifecycle view beyond the \'factory_gate\' primary boundary.</w:t>
      </w:r>
    </w:p>
    <w:p>
      <w:pPr>
        <w:numPr>
          <w:ilvl w:val="1"/>
          <w:numId w:val="1003"/>
        </w:numPr>
        <w:pStyle w:val="Compact"/>
      </w:pPr>
      <w:r>
        <w:rPr>
          <w:bCs/>
          <w:b/>
        </w:rPr>
        <w:t xml:space="preserve">Geographic Scope:</w:t>
      </w:r>
    </w:p>
    <w:p>
      <w:pPr>
        <w:numPr>
          <w:ilvl w:val="2"/>
          <w:numId w:val="1004"/>
        </w:numPr>
        <w:pStyle w:val="Compact"/>
      </w:pPr>
      <w:r>
        <w:rPr>
          <w:bCs/>
          <w:b/>
        </w:rPr>
        <w:t xml:space="preserve">Final Production Country:</w:t>
      </w:r>
      <w:r>
        <w:t xml:space="preserve"> </w:t>
      </w:r>
      <w:r>
        <w:t xml:space="preserve">China. This dictates the primary energy grid emission factors for manufacturing.</w:t>
      </w:r>
    </w:p>
    <w:p>
      <w:pPr>
        <w:numPr>
          <w:ilvl w:val="2"/>
          <w:numId w:val="1004"/>
        </w:numPr>
        <w:pStyle w:val="Compact"/>
      </w:pPr>
      <w:r>
        <w:rPr>
          <w:bCs/>
          <w:b/>
        </w:rPr>
        <w:t xml:space="preserve">Supply Chain Focus:</w:t>
      </w:r>
      <w:r>
        <w:t xml:space="preserve"> </w:t>
      </w:r>
      <w:r>
        <w:t xml:space="preserve">Europe Focused. This influences emission factors for upstream transport and material origins.</w:t>
      </w:r>
    </w:p>
    <w:p>
      <w:pPr>
        <w:numPr>
          <w:ilvl w:val="1"/>
          <w:numId w:val="1003"/>
        </w:numPr>
        <w:pStyle w:val="Compact"/>
      </w:pPr>
      <w:r>
        <w:rPr>
          <w:bCs/>
          <w:b/>
        </w:rPr>
        <w:t xml:space="preserve">Allocation:</w:t>
      </w:r>
      <w:r>
        <w:t xml:space="preserve"> </w:t>
      </w:r>
      <w:r>
        <w:t xml:space="preserve">Where co-production or multi-functional processes occur, economic allocation is prioritized. For waste or recycled materials, the \'recycled content\' approach is applied, reflecting the avoided emissions from virgin material production.</w:t>
      </w:r>
    </w:p>
    <w:p>
      <w:pPr>
        <w:numPr>
          <w:ilvl w:val="0"/>
          <w:numId w:val="1002"/>
        </w:numPr>
        <w:pStyle w:val="Heading3"/>
      </w:pPr>
      <w:bookmarkStart w:id="25" w:name="Xd74aeb9b917aad0b3bdc7ab4dc6ccbb783dd535"/>
      <w:r>
        <w:t xml:space="preserve">2. Map Lifecycle (Life Cycle Inventory - LCI Stages) &amp; 3. Collect Data (Primary/Secondary Data Points)</w:t>
      </w:r>
      <w:bookmarkEnd w:id="25"/>
    </w:p>
    <w:p>
      <w:pPr>
        <w:numPr>
          <w:ilvl w:val="0"/>
          <w:numId w:val="1000"/>
        </w:numPr>
      </w:pPr>
      <w:r>
        <w:t xml:space="preserve">This stage involves identifying all relevant processes and collecting the necessary activity data and corresponding emission factors.</w:t>
      </w:r>
    </w:p>
    <w:p>
      <w:pPr>
        <w:numPr>
          <w:ilvl w:val="0"/>
          <w:numId w:val="1000"/>
        </w:numPr>
        <w:pStyle w:val="Heading4"/>
      </w:pPr>
      <w:bookmarkStart w:id="26" w:name="material-inputs-upstream---scope-3"/>
      <w:r>
        <w:t xml:space="preserve">Material Inputs (Upstream - Scope 3):</w:t>
      </w:r>
      <w:bookmarkEnd w:id="26"/>
    </w:p>
    <w:p>
      <w:pPr>
        <w:numPr>
          <w:ilvl w:val="0"/>
          <w:numId w:val="1000"/>
        </w:numPr>
      </w:pPr>
      <w:r>
        <w:t xml:space="preserve">The Detailed Bill of Materials (BOM) for "zedgxsxxzz" is crucial for high-accuracy material impact calculation.</w:t>
      </w:r>
      <w:r>
        <w:br/>
      </w:r>
      <w:r>
        <w:rPr>
          <w:iCs/>
          <w:i/>
        </w:rPr>
        <w:t xml:space="preserve">Note: The provided BOM data string "iejpkgwo" is a placeholder. For the purpose of calculation demonstration, the following illustrative material data, adhering to the specified format (ID, Description, Category, Process, Qty, Unit, Emission Factor, Total Carbon), has been used.</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BOM-iejpkgwo-001</w:t>
            </w:r>
          </w:p>
        </w:tc>
        <w:tc>
          <w:tcPr/>
          <w:p>
            <w:pPr>
              <w:pStyle w:val="Compact"/>
              <w:jc w:val="left"/>
            </w:pPr>
            <w:r>
              <w:t xml:space="preserve">Primary Product Component (as represented by iejpkgwo)</w:t>
            </w:r>
          </w:p>
        </w:tc>
        <w:tc>
          <w:tcPr/>
          <w:p>
            <w:pPr>
              <w:pStyle w:val="Compact"/>
              <w:jc w:val="left"/>
            </w:pPr>
            <w:r>
              <w:t xml:space="preserve">Mixed Materials</w:t>
            </w:r>
          </w:p>
        </w:tc>
        <w:tc>
          <w:tcPr/>
          <w:p>
            <w:pPr>
              <w:pStyle w:val="Compact"/>
              <w:jc w:val="left"/>
            </w:pPr>
            <w:r>
              <w:t xml:space="preserve">Fabrication &amp; Assembly</w:t>
            </w:r>
          </w:p>
        </w:tc>
        <w:tc>
          <w:tcPr/>
          <w:p>
            <w:pPr>
              <w:pStyle w:val="Compact"/>
              <w:jc w:val="left"/>
            </w:pPr>
            <w:r>
              <w:t xml:space="preserve">2.5</w:t>
            </w:r>
          </w:p>
        </w:tc>
        <w:tc>
          <w:tcPr/>
          <w:p>
            <w:pPr>
              <w:pStyle w:val="Compact"/>
              <w:jc w:val="left"/>
            </w:pPr>
            <w:r>
              <w:t xml:space="preserve">kg</w:t>
            </w:r>
          </w:p>
        </w:tc>
        <w:tc>
          <w:tcPr/>
          <w:p>
            <w:pPr>
              <w:pStyle w:val="Compact"/>
              <w:jc w:val="left"/>
            </w:pPr>
            <w:r>
              <w:t xml:space="preserve">4.0</w:t>
            </w:r>
          </w:p>
        </w:tc>
        <w:tc>
          <w:tcPr/>
          <w:p>
            <w:pPr>
              <w:pStyle w:val="Compact"/>
              <w:jc w:val="left"/>
            </w:pPr>
            <w:r>
              <w:t xml:space="preserve">10.0</w:t>
            </w:r>
          </w:p>
        </w:tc>
      </w:tr>
    </w:tbl>
    <w:p>
      <w:pPr>
        <w:numPr>
          <w:ilvl w:val="0"/>
          <w:numId w:val="1000"/>
        </w:numPr>
      </w:pPr>
      <w:r>
        <w:rPr>
          <w:iCs/>
          <w:i/>
        </w:rPr>
        <w:t xml:space="preserve">This illustrative material contributes 10.0 kg CO2e to the product\'s footprint. The actual impact would be calculated based on the precise data specified in the full BOM.</w:t>
      </w:r>
    </w:p>
    <w:p>
      <w:pPr>
        <w:numPr>
          <w:ilvl w:val="0"/>
          <w:numId w:val="1000"/>
        </w:numPr>
        <w:pStyle w:val="Heading4"/>
      </w:pPr>
      <w:bookmarkStart w:id="27" w:name="X04671dd1d5af2728230bf61d27a4740bf659883"/>
      <w:r>
        <w:t xml:space="preserve">Energy Inputs (Production Phase - Scope 1 &amp; 2):</w:t>
      </w:r>
      <w:bookmarkEnd w:id="27"/>
    </w:p>
    <w:p>
      <w:pPr>
        <w:numPr>
          <w:ilvl w:val="1"/>
          <w:numId w:val="1005"/>
        </w:numPr>
        <w:pStyle w:val="Compact"/>
      </w:pPr>
      <w:r>
        <w:rPr>
          <w:bCs/>
          <w:b/>
        </w:rPr>
        <w:t xml:space="preserve">Energy Intensity (kWh/unit):</w:t>
      </w:r>
      <w:r>
        <w:t xml:space="preserve"> </w:t>
      </w:r>
      <w:bookmarkStart w:id="28" w:name="energyIntensityParam"/>
      <w:r>
        <w:t xml:space="preserve">10</w:t>
      </w:r>
      <w:bookmarkEnd w:id="28"/>
      <w:r>
        <w:t xml:space="preserve"> </w:t>
      </w:r>
      <w:r>
        <w:t xml:space="preserve">kWh/unit.</w:t>
      </w:r>
      <w:r>
        <w:br/>
      </w:r>
      <w:r>
        <w:rPr>
          <w:iCs/>
          <w:i/>
        </w:rPr>
        <w:t xml:space="preserve">(Illustrative value used for \'njifonjkfw\')</w:t>
      </w:r>
    </w:p>
    <w:p>
      <w:pPr>
        <w:numPr>
          <w:ilvl w:val="1"/>
          <w:numId w:val="1005"/>
        </w:numPr>
        <w:pStyle w:val="Compact"/>
      </w:pPr>
      <w:r>
        <w:rPr>
          <w:bCs/>
          <w:b/>
        </w:rPr>
        <w:t xml:space="preserve">Renewable Energy Usage:</w:t>
      </w:r>
      <w:r>
        <w:t xml:space="preserve"> </w:t>
      </w:r>
      <w:bookmarkStart w:id="29" w:name="renewableEnergyParam"/>
      <w:r>
        <w:t xml:space="preserve">60</w:t>
      </w:r>
      <w:bookmarkEnd w:id="29"/>
      <w:r>
        <w:t xml:space="preserve">%.</w:t>
      </w:r>
      <w:r>
        <w:br/>
      </w:r>
      <w:r>
        <w:rPr>
          <w:iCs/>
          <w:i/>
        </w:rPr>
        <w:t xml:space="preserve">(Illustrative percentage used for \'fgiwilqrgk\')</w:t>
      </w:r>
    </w:p>
    <w:p>
      <w:pPr>
        <w:numPr>
          <w:ilvl w:val="1"/>
          <w:numId w:val="1005"/>
        </w:numPr>
        <w:pStyle w:val="Compact"/>
      </w:pPr>
      <w:r>
        <w:rPr>
          <w:bCs/>
          <w:b/>
        </w:rPr>
        <w:t xml:space="preserve">Non-Renewable Energy Usage:</w:t>
      </w:r>
      <w:r>
        <w:t xml:space="preserve"> </w:t>
      </w:r>
      <w:r>
        <w:t xml:space="preserve">40% (100% - 60%).</w:t>
      </w:r>
    </w:p>
    <w:p>
      <w:pPr>
        <w:numPr>
          <w:ilvl w:val="1"/>
          <w:numId w:val="1005"/>
        </w:numPr>
        <w:pStyle w:val="Compact"/>
      </w:pPr>
      <w:r>
        <w:rPr>
          <w:bCs/>
          <w:b/>
        </w:rPr>
        <w:t xml:space="preserve">Electricity Grid Emission Factor (China):</w:t>
      </w:r>
      <w:r>
        <w:t xml:space="preserve"> </w:t>
      </w:r>
      <w:r>
        <w:t xml:space="preserve">0.577 kg CO2e/kWh.</w:t>
      </w:r>
    </w:p>
    <w:p>
      <w:pPr>
        <w:numPr>
          <w:ilvl w:val="0"/>
          <w:numId w:val="1000"/>
        </w:numPr>
        <w:pStyle w:val="Heading4"/>
      </w:pPr>
      <w:bookmarkStart w:id="30" w:name="Xedbd2870fd4cd3b5d686b452f7d232586bf366b"/>
      <w:r>
        <w:t xml:space="preserve">Logistics Data (Transport - Upstream &amp; Downstream - Scope 3):</w:t>
      </w:r>
      <w:bookmarkEnd w:id="30"/>
    </w:p>
    <w:p>
      <w:pPr>
        <w:numPr>
          <w:ilvl w:val="0"/>
          <w:numId w:val="1000"/>
        </w:numPr>
      </w:pPr>
      <w:r>
        <w:t xml:space="preserve">Transport modes and distances significantly influence the supply chain footprint.</w:t>
      </w:r>
    </w:p>
    <w:p>
      <w:pPr>
        <w:numPr>
          <w:ilvl w:val="1"/>
          <w:numId w:val="1006"/>
        </w:numPr>
        <w:pStyle w:val="Compact"/>
      </w:pPr>
      <w:r>
        <w:rPr>
          <w:bCs/>
          <w:b/>
        </w:rPr>
        <w:t xml:space="preserve">Primary Transport Mode:</w:t>
      </w:r>
      <w:r>
        <w:t xml:space="preserve"> </w:t>
      </w:r>
      <w:r>
        <w:t xml:space="preserve">Road Freight (Heavy Duty Truck).</w:t>
      </w:r>
      <w:r>
        <w:t xml:space="preserve"> </w:t>
      </w:r>
      <w:r>
        <w:rPr>
          <w:iCs/>
          <w:i/>
        </w:rPr>
        <w:t xml:space="preserve">(\'Select Mode\' assumed as Road Freight due to commonality in Europe-focused supply chains).</w:t>
      </w:r>
    </w:p>
    <w:p>
      <w:pPr>
        <w:numPr>
          <w:ilvl w:val="1"/>
          <w:numId w:val="1006"/>
        </w:numPr>
        <w:pStyle w:val="Compact"/>
      </w:pPr>
      <w:r>
        <w:rPr>
          <w:bCs/>
          <w:b/>
        </w:rPr>
        <w:t xml:space="preserve">Transport Distance:</w:t>
      </w:r>
      <w:r>
        <w:t xml:space="preserve"> </w:t>
      </w:r>
      <w:bookmarkStart w:id="31" w:name="transportDistanceParam"/>
      <w:r>
        <w:t xml:space="preserve">2500</w:t>
      </w:r>
      <w:bookmarkEnd w:id="31"/>
      <w:r>
        <w:t xml:space="preserve"> </w:t>
      </w:r>
      <w:r>
        <w:t xml:space="preserve">km.</w:t>
      </w:r>
      <w:r>
        <w:br/>
      </w:r>
      <w:r>
        <w:rPr>
          <w:iCs/>
          <w:i/>
        </w:rPr>
        <w:t xml:space="preserve">(Illustrative value used for \'vsqqvnohdo\')</w:t>
      </w:r>
    </w:p>
    <w:p>
      <w:pPr>
        <w:numPr>
          <w:ilvl w:val="1"/>
          <w:numId w:val="1006"/>
        </w:numPr>
        <w:pStyle w:val="Compact"/>
      </w:pPr>
      <w:r>
        <w:rPr>
          <w:bCs/>
          <w:b/>
        </w:rPr>
        <w:t xml:space="preserve">Last-Mile Delivery Channel:</w:t>
      </w:r>
      <w:r>
        <w:t xml:space="preserve"> </w:t>
      </w:r>
      <w:r>
        <w:t xml:space="preserve">Road Freight (Heavy Duty Truck).</w:t>
      </w:r>
      <w:r>
        <w:t xml:space="preserve"> </w:t>
      </w:r>
      <w:r>
        <w:rPr>
          <w:iCs/>
          <w:i/>
        </w:rPr>
        <w:t xml:space="preserve">(\'Delivery Type\' assumed as Road Freight for consistency).</w:t>
      </w:r>
    </w:p>
    <w:p>
      <w:pPr>
        <w:numPr>
          <w:ilvl w:val="1"/>
          <w:numId w:val="1006"/>
        </w:numPr>
        <w:pStyle w:val="Compact"/>
      </w:pPr>
      <w:r>
        <w:rPr>
          <w:bCs/>
          <w:b/>
        </w:rPr>
        <w:t xml:space="preserve">Road Freight Emission Factor:</w:t>
      </w:r>
      <w:r>
        <w:t xml:space="preserve"> </w:t>
      </w:r>
      <w:r>
        <w:t xml:space="preserve">0.062 kg CO2e/tonne-km.</w:t>
      </w:r>
    </w:p>
    <w:p>
      <w:pPr>
        <w:numPr>
          <w:ilvl w:val="1"/>
          <w:numId w:val="1006"/>
        </w:numPr>
        <w:pStyle w:val="Compact"/>
      </w:pPr>
      <w:r>
        <w:rPr>
          <w:bCs/>
          <w:b/>
        </w:rPr>
        <w:t xml:space="preserve">Product Weight for Transport:</w:t>
      </w:r>
      <w:r>
        <w:t xml:space="preserve"> </w:t>
      </w:r>
      <w:r>
        <w:t xml:space="preserve">2.5 kg (based on illustrative BOM item quantity).</w:t>
      </w:r>
    </w:p>
    <w:p>
      <w:pPr>
        <w:numPr>
          <w:ilvl w:val="0"/>
          <w:numId w:val="1000"/>
        </w:numPr>
        <w:pStyle w:val="Heading4"/>
      </w:pPr>
      <w:bookmarkStart w:id="32" w:name="use-phase-data-downstream---scope-3"/>
      <w:r>
        <w:t xml:space="preserve">Use Phase Data (Downstream - Scope 3):</w:t>
      </w:r>
      <w:bookmarkEnd w:id="32"/>
    </w:p>
    <w:p>
      <w:pPr>
        <w:numPr>
          <w:ilvl w:val="1"/>
          <w:numId w:val="1007"/>
        </w:numPr>
        <w:pStyle w:val="Compact"/>
      </w:pPr>
      <w:r>
        <w:rPr>
          <w:bCs/>
          <w:b/>
        </w:rPr>
        <w:t xml:space="preserve">Product Lifespan:</w:t>
      </w:r>
      <w:r>
        <w:t xml:space="preserve"> </w:t>
      </w:r>
      <w:bookmarkStart w:id="33" w:name="productLifespanParam"/>
      <w:r>
        <w:t xml:space="preserve">7</w:t>
      </w:r>
      <w:bookmarkEnd w:id="33"/>
      <w:r>
        <w:t xml:space="preserve"> </w:t>
      </w:r>
      <w:r>
        <w:t xml:space="preserve">years.</w:t>
      </w:r>
      <w:r>
        <w:br/>
      </w:r>
      <w:r>
        <w:rPr>
          <w:iCs/>
          <w:i/>
        </w:rPr>
        <w:t xml:space="preserve">(Illustrative value used for \'ihejhwzjmo\')</w:t>
      </w:r>
    </w:p>
    <w:p>
      <w:pPr>
        <w:numPr>
          <w:ilvl w:val="1"/>
          <w:numId w:val="1007"/>
        </w:numPr>
        <w:pStyle w:val="Compact"/>
      </w:pPr>
      <w:r>
        <w:rPr>
          <w:bCs/>
          <w:b/>
        </w:rPr>
        <w:t xml:space="preserve">Energy Consumption in Use:</w:t>
      </w:r>
      <w:r>
        <w:t xml:space="preserve"> </w:t>
      </w:r>
      <w:bookmarkStart w:id="34" w:name="energyInUseParam"/>
      <w:r>
        <w:t xml:space="preserve">30</w:t>
      </w:r>
      <w:bookmarkEnd w:id="34"/>
      <w:r>
        <w:t xml:space="preserve"> </w:t>
      </w:r>
      <w:r>
        <w:t xml:space="preserve">kWh/year.</w:t>
      </w:r>
      <w:r>
        <w:br/>
      </w:r>
      <w:r>
        <w:rPr>
          <w:iCs/>
          <w:i/>
        </w:rPr>
        <w:t xml:space="preserve">(Illustrative value used for \'ezgkuffnko\')</w:t>
      </w:r>
    </w:p>
    <w:p>
      <w:pPr>
        <w:numPr>
          <w:ilvl w:val="1"/>
          <w:numId w:val="1007"/>
        </w:numPr>
        <w:pStyle w:val="Compact"/>
      </w:pPr>
      <w:r>
        <w:rPr>
          <w:bCs/>
          <w:b/>
        </w:rPr>
        <w:t xml:space="preserve">Electricity Grid Emission Factor (European Average for Use Phase):</w:t>
      </w:r>
      <w:r>
        <w:t xml:space="preserve"> </w:t>
      </w:r>
      <w:r>
        <w:t xml:space="preserve">0.175 kg CO2e/kWh.</w:t>
      </w:r>
    </w:p>
    <w:p>
      <w:pPr>
        <w:numPr>
          <w:ilvl w:val="0"/>
          <w:numId w:val="1000"/>
        </w:numPr>
        <w:pStyle w:val="Heading4"/>
      </w:pPr>
      <w:bookmarkStart w:id="35" w:name="Xbd5ce2581a055ba0d05236edb0e67e8783fa2ac"/>
      <w:r>
        <w:t xml:space="preserve">End-of-Life (EoL) Scenarios (Downstream - Scope 3):</w:t>
      </w:r>
      <w:bookmarkEnd w:id="35"/>
    </w:p>
    <w:p>
      <w:pPr>
        <w:numPr>
          <w:ilvl w:val="1"/>
          <w:numId w:val="1008"/>
        </w:numPr>
        <w:pStyle w:val="Compact"/>
      </w:pPr>
      <w:r>
        <w:rPr>
          <w:bCs/>
          <w:b/>
        </w:rPr>
        <w:t xml:space="preserve">Recyclability Percentage:</w:t>
      </w:r>
      <w:r>
        <w:t xml:space="preserve"> </w:t>
      </w:r>
      <w:bookmarkStart w:id="36" w:name="recyclabilityParam"/>
      <w:r>
        <w:t xml:space="preserve">70</w:t>
      </w:r>
      <w:bookmarkEnd w:id="36"/>
      <w:r>
        <w:t xml:space="preserve">%.</w:t>
      </w:r>
      <w:r>
        <w:br/>
      </w:r>
      <w:r>
        <w:rPr>
          <w:iCs/>
          <w:i/>
        </w:rPr>
        <w:t xml:space="preserve">(Illustrative value used for \'gukslzfjnt\')</w:t>
      </w:r>
    </w:p>
    <w:p>
      <w:pPr>
        <w:numPr>
          <w:ilvl w:val="1"/>
          <w:numId w:val="1008"/>
        </w:numPr>
        <w:pStyle w:val="Compact"/>
      </w:pPr>
      <w:r>
        <w:rPr>
          <w:bCs/>
          <w:b/>
        </w:rPr>
        <w:t xml:space="preserve">Circular/Take-back Programs:</w:t>
      </w:r>
      <w:r>
        <w:t xml:space="preserve"> </w:t>
      </w:r>
      <w:bookmarkStart w:id="37" w:name="circularProgramsParam"/>
      <w:r>
        <w:t xml:space="preserve">iqxfodinho</w:t>
      </w:r>
      <w:bookmarkEnd w:id="37"/>
      <w:r>
        <w:t xml:space="preserve">.</w:t>
      </w:r>
      <w:r>
        <w:t xml:space="preserve"> </w:t>
      </w:r>
      <w:r>
        <w:rPr>
          <w:iCs/>
          <w:i/>
        </w:rPr>
        <w:t xml:space="preserve">(This indicates the presence of programs, leading to potential avoided emissions from recycling).</w:t>
      </w:r>
    </w:p>
    <w:p>
      <w:pPr>
        <w:numPr>
          <w:ilvl w:val="1"/>
          <w:numId w:val="1008"/>
        </w:numPr>
        <w:pStyle w:val="Compact"/>
      </w:pPr>
      <w:r>
        <w:rPr>
          <w:bCs/>
          <w:b/>
        </w:rPr>
        <w:t xml:space="preserve">Avoided Emissions from Recycling:</w:t>
      </w:r>
      <w:r>
        <w:t xml:space="preserve"> </w:t>
      </w:r>
      <w:r>
        <w:t xml:space="preserve">Assumed to be proportional to the recyclability percentage, calculated as a reduction from material production emissions.</w:t>
      </w:r>
    </w:p>
    <w:p>
      <w:pPr>
        <w:numPr>
          <w:ilvl w:val="0"/>
          <w:numId w:val="1002"/>
        </w:numPr>
        <w:pStyle w:val="Heading3"/>
      </w:pPr>
      <w:bookmarkStart w:id="38" w:name="X3c8d27fffde2ed3c292140c8c44a7b06872e93e"/>
      <w:r>
        <w:t xml:space="preserve">4. Calculate Emissions (Activity Data * Emission Factor = CO2e)</w:t>
      </w:r>
      <w:bookmarkEnd w:id="38"/>
    </w:p>
    <w:p>
      <w:pPr>
        <w:numPr>
          <w:ilvl w:val="0"/>
          <w:numId w:val="1000"/>
        </w:numPr>
      </w:pPr>
      <w:r>
        <w:t xml:space="preserve">Emissions are calculated for each life cycle stage using the collected activity data and corresponding emission factors. The total PCF is the sum of emissions across all stages.</w:t>
      </w:r>
    </w:p>
    <w:p>
      <w:pPr>
        <w:numPr>
          <w:ilvl w:val="0"/>
          <w:numId w:val="1000"/>
        </w:numPr>
        <w:pStyle w:val="Heading4"/>
      </w:pPr>
      <w:bookmarkStart w:id="39" w:name="calculations"/>
      <w:r>
        <w:t xml:space="preserve">Calculations:</w:t>
      </w:r>
      <w:bookmarkEnd w:id="39"/>
    </w:p>
    <w:p>
      <w:pPr>
        <w:numPr>
          <w:ilvl w:val="1"/>
          <w:numId w:val="1009"/>
        </w:numPr>
        <w:pStyle w:val="Compact"/>
      </w:pPr>
      <w:r>
        <w:rPr>
          <w:bCs/>
          <w:b/>
        </w:rPr>
        <w:t xml:space="preserve">Material Production (Scope 3 - Upstream):</w:t>
      </w:r>
    </w:p>
    <w:p>
      <w:pPr>
        <w:numPr>
          <w:ilvl w:val="2"/>
          <w:numId w:val="1010"/>
        </w:numPr>
        <w:pStyle w:val="Compact"/>
      </w:pPr>
      <w:r>
        <w:t xml:space="preserve">Illustrative Material Carbon: 10.0 kg CO2e.</w:t>
      </w:r>
    </w:p>
    <w:p>
      <w:pPr>
        <w:numPr>
          <w:ilvl w:val="1"/>
          <w:numId w:val="1009"/>
        </w:numPr>
        <w:pStyle w:val="Compact"/>
      </w:pPr>
      <w:r>
        <w:rPr>
          <w:bCs/>
          <w:b/>
        </w:rPr>
        <w:t xml:space="preserve">Production Energy (Factory Gate - Scope 2):</w:t>
      </w:r>
    </w:p>
    <w:p>
      <w:pPr>
        <w:numPr>
          <w:ilvl w:val="2"/>
          <w:numId w:val="1011"/>
        </w:numPr>
        <w:pStyle w:val="Compact"/>
      </w:pPr>
      <w:r>
        <w:t xml:space="preserve">Total Energy Consumption:</w:t>
      </w:r>
      <w:r>
        <w:t xml:space="preserve"> </w:t>
      </w:r>
      <w:bookmarkStart w:id="40" w:name="njifonjkfw_val"/>
      <w:r>
        <w:t xml:space="preserve">10</w:t>
      </w:r>
      <w:bookmarkEnd w:id="40"/>
      <w:r>
        <w:t xml:space="preserve"> </w:t>
      </w:r>
      <w:r>
        <w:t xml:space="preserve">kWh/unit.</w:t>
      </w:r>
    </w:p>
    <w:p>
      <w:pPr>
        <w:numPr>
          <w:ilvl w:val="2"/>
          <w:numId w:val="1011"/>
        </w:numPr>
        <w:pStyle w:val="Compact"/>
      </w:pPr>
      <w:r>
        <w:t xml:space="preserve">Non-renewable Energy:</w:t>
      </w:r>
      <w:r>
        <w:t xml:space="preserve"> </w:t>
      </w:r>
      <w:bookmarkStart w:id="41" w:name="njifonjkfw_val_non_renew"/>
      <w:r>
        <w:t xml:space="preserve">4.0</w:t>
      </w:r>
      <w:bookmarkEnd w:id="41"/>
      <w:r>
        <w:t xml:space="preserve"> </w:t>
      </w:r>
      <w:r>
        <w:t xml:space="preserve">kWh/unit (10 kWh * (1 - 0.60)).</w:t>
      </w:r>
    </w:p>
    <w:p>
      <w:pPr>
        <w:numPr>
          <w:ilvl w:val="2"/>
          <w:numId w:val="1011"/>
        </w:numPr>
        <w:pStyle w:val="Compact"/>
      </w:pPr>
      <w:r>
        <w:t xml:space="preserve">Emissions from Non-renewable Energy: 4.0 kWh/unit * 0.577 kg CO2e/kWh = 2.308 kg CO2e/unit.</w:t>
      </w:r>
    </w:p>
    <w:p>
      <w:pPr>
        <w:numPr>
          <w:ilvl w:val="2"/>
          <w:numId w:val="1011"/>
        </w:numPr>
        <w:pStyle w:val="Compact"/>
      </w:pPr>
      <w:r>
        <w:rPr>
          <w:iCs/>
          <w:i/>
        </w:rPr>
        <w:t xml:space="preserve">(Assuming no Scope 1 direct fuel combustion for simplicity, all production energy is Scope 2 purchased electricity).</w:t>
      </w:r>
    </w:p>
    <w:p>
      <w:pPr>
        <w:numPr>
          <w:ilvl w:val="1"/>
          <w:numId w:val="1009"/>
        </w:numPr>
        <w:pStyle w:val="Compact"/>
      </w:pPr>
      <w:r>
        <w:rPr>
          <w:bCs/>
          <w:b/>
        </w:rPr>
        <w:t xml:space="preserve">Transport to Consumer (Scope 3 - Downstream):</w:t>
      </w:r>
    </w:p>
    <w:p>
      <w:pPr>
        <w:numPr>
          <w:ilvl w:val="2"/>
          <w:numId w:val="1012"/>
        </w:numPr>
        <w:pStyle w:val="Compact"/>
      </w:pPr>
      <w:r>
        <w:t xml:space="preserve">Transport Distance:</w:t>
      </w:r>
      <w:r>
        <w:t xml:space="preserve"> </w:t>
      </w:r>
      <w:bookmarkStart w:id="42" w:name="vsqqvnohdo_val"/>
      <w:r>
        <w:t xml:space="preserve">2500</w:t>
      </w:r>
      <w:bookmarkEnd w:id="42"/>
      <w:r>
        <w:t xml:space="preserve"> </w:t>
      </w:r>
      <w:r>
        <w:t xml:space="preserve">km.</w:t>
      </w:r>
    </w:p>
    <w:p>
      <w:pPr>
        <w:numPr>
          <w:ilvl w:val="2"/>
          <w:numId w:val="1012"/>
        </w:numPr>
        <w:pStyle w:val="Compact"/>
      </w:pPr>
      <w:r>
        <w:t xml:space="preserve">Product Weight: 2.5 kg = 0.0025 tonne.</w:t>
      </w:r>
    </w:p>
    <w:p>
      <w:pPr>
        <w:numPr>
          <w:ilvl w:val="2"/>
          <w:numId w:val="1012"/>
        </w:numPr>
        <w:pStyle w:val="Compact"/>
      </w:pPr>
      <w:r>
        <w:t xml:space="preserve">Emissions: 0.0025 tonne * 2500 km * 0.062 kg CO2e/tonne-km = 0.3875 kg CO2e/unit.</w:t>
      </w:r>
    </w:p>
    <w:p>
      <w:pPr>
        <w:numPr>
          <w:ilvl w:val="2"/>
          <w:numId w:val="1012"/>
        </w:numPr>
        <w:pStyle w:val="Compact"/>
      </w:pPr>
      <w:r>
        <w:rPr>
          <w:iCs/>
          <w:i/>
        </w:rPr>
        <w:t xml:space="preserve">Last-mile delivery is subsumed into this general transport calculation due to generic input.</w:t>
      </w:r>
    </w:p>
    <w:p>
      <w:pPr>
        <w:numPr>
          <w:ilvl w:val="1"/>
          <w:numId w:val="1009"/>
        </w:numPr>
        <w:pStyle w:val="Compact"/>
      </w:pPr>
      <w:r>
        <w:rPr>
          <w:bCs/>
          <w:b/>
        </w:rPr>
        <w:t xml:space="preserve">Use Phase (Scope 3 - Downstream):</w:t>
      </w:r>
    </w:p>
    <w:p>
      <w:pPr>
        <w:numPr>
          <w:ilvl w:val="2"/>
          <w:numId w:val="1013"/>
        </w:numPr>
        <w:pStyle w:val="Compact"/>
      </w:pPr>
      <w:r>
        <w:t xml:space="preserve">Total Energy in Use:</w:t>
      </w:r>
      <w:r>
        <w:t xml:space="preserve"> </w:t>
      </w:r>
      <w:bookmarkStart w:id="43" w:name="ezgkuffnko_val"/>
      <w:r>
        <w:t xml:space="preserve">30</w:t>
      </w:r>
      <w:bookmarkEnd w:id="43"/>
      <w:r>
        <w:t xml:space="preserve"> </w:t>
      </w:r>
      <w:r>
        <w:t xml:space="preserve">kWh/year *</w:t>
      </w:r>
      <w:r>
        <w:t xml:space="preserve"> </w:t>
      </w:r>
      <w:bookmarkStart w:id="44" w:name="ihejhwzjmo_val"/>
      <w:r>
        <w:t xml:space="preserve">7</w:t>
      </w:r>
      <w:bookmarkEnd w:id="44"/>
      <w:r>
        <w:t xml:space="preserve"> </w:t>
      </w:r>
      <w:r>
        <w:t xml:space="preserve">years = 210 kWh/unit.</w:t>
      </w:r>
    </w:p>
    <w:p>
      <w:pPr>
        <w:numPr>
          <w:ilvl w:val="2"/>
          <w:numId w:val="1013"/>
        </w:numPr>
        <w:pStyle w:val="Compact"/>
      </w:pPr>
      <w:r>
        <w:t xml:space="preserve">Emissions: 210 kWh/unit * 0.175 kg CO2e/kWh = 36.75 kg CO2e/unit.</w:t>
      </w:r>
    </w:p>
    <w:p>
      <w:pPr>
        <w:numPr>
          <w:ilvl w:val="1"/>
          <w:numId w:val="1009"/>
        </w:numPr>
        <w:pStyle w:val="Compact"/>
      </w:pPr>
      <w:r>
        <w:rPr>
          <w:bCs/>
          <w:b/>
        </w:rPr>
        <w:t xml:space="preserve">End-of-Life (Scope 3 - Downstream):</w:t>
      </w:r>
    </w:p>
    <w:p>
      <w:pPr>
        <w:numPr>
          <w:ilvl w:val="2"/>
          <w:numId w:val="1014"/>
        </w:numPr>
        <w:pStyle w:val="Compact"/>
      </w:pPr>
      <w:r>
        <w:t xml:space="preserve">Recyclability:</w:t>
      </w:r>
      <w:r>
        <w:t xml:space="preserve"> </w:t>
      </w:r>
      <w:bookmarkStart w:id="45" w:name="gukslzfjnt_val"/>
      <w:r>
        <w:t xml:space="preserve">70</w:t>
      </w:r>
      <w:bookmarkEnd w:id="45"/>
      <w:r>
        <w:t xml:space="preserve">%.</w:t>
      </w:r>
    </w:p>
    <w:p>
      <w:pPr>
        <w:numPr>
          <w:ilvl w:val="2"/>
          <w:numId w:val="1014"/>
        </w:numPr>
        <w:pStyle w:val="Compact"/>
      </w:pPr>
      <w:r>
        <w:t xml:space="preserve">Assuming 70% of the material\'s initial emissions (10.0 kg CO2e) are avoided due to recycling and circular programs (`iqxfodinho`).</w:t>
      </w:r>
    </w:p>
    <w:p>
      <w:pPr>
        <w:numPr>
          <w:ilvl w:val="2"/>
          <w:numId w:val="1014"/>
        </w:numPr>
        <w:pStyle w:val="Compact"/>
      </w:pPr>
      <w:r>
        <w:t xml:space="preserve">Avoided Emissions: 10.0 kg CO2e * 0.70 = -7.0 kg CO2e/unit.</w:t>
      </w:r>
    </w:p>
    <w:p>
      <w:pPr>
        <w:numPr>
          <w:ilvl w:val="2"/>
          <w:numId w:val="1014"/>
        </w:numPr>
        <w:pStyle w:val="Compact"/>
      </w:pPr>
      <w:r>
        <w:t xml:space="preserve">Remaining Disposal Emissions (illustrative): For the 30% not recycled, assume a small emission factor, e.g., 0.1 kg CO2e for disposal of non-recycled portion.</w:t>
      </w:r>
      <w:r>
        <w:t xml:space="preserve"> </w:t>
      </w:r>
      <w:r>
        <w:t xml:space="preserve">0.30 * 2.5 kg * 0.1 kg CO2e/kg_disposal = 0.075 kg CO2e/unit.</w:t>
      </w:r>
    </w:p>
    <w:p>
      <w:pPr>
        <w:numPr>
          <w:ilvl w:val="2"/>
          <w:numId w:val="1014"/>
        </w:numPr>
        <w:pStyle w:val="Compact"/>
      </w:pPr>
      <w:r>
        <w:t xml:space="preserve">Net EoL Impact: -7.0 kg CO2e + 0.075 kg CO2e = -6.925 kg CO2e/unit.</w:t>
      </w:r>
    </w:p>
    <w:p>
      <w:pPr>
        <w:numPr>
          <w:ilvl w:val="0"/>
          <w:numId w:val="1000"/>
        </w:numPr>
        <w:pStyle w:val="Heading3"/>
      </w:pPr>
      <w:bookmarkStart w:id="46" w:name="Xa35c5267e23e39fbbd514b696f0f557c1959850"/>
      <w:r>
        <w:t xml:space="preserve">Summary of Carbon Footprint by Lifecycle Stage</w:t>
      </w:r>
      <w:bookmarkEnd w:id="46"/>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Production</w:t>
            </w:r>
          </w:p>
        </w:tc>
        <w:tc>
          <w:tcPr/>
          <w:p>
            <w:pPr>
              <w:pStyle w:val="Compact"/>
              <w:jc w:val="left"/>
            </w:pPr>
            <w:r>
              <w:t xml:space="preserve">Scope 3 (Upstream)</w:t>
            </w:r>
          </w:p>
        </w:tc>
        <w:tc>
          <w:tcPr/>
          <w:p>
            <w:pPr>
              <w:pStyle w:val="Compact"/>
              <w:jc w:val="left"/>
            </w:pPr>
            <w:r>
              <w:t xml:space="preserve">10.000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2.308</w:t>
            </w:r>
          </w:p>
        </w:tc>
      </w:tr>
      <w:tr>
        <w:tc>
          <w:tcPr/>
          <w:p>
            <w:pPr>
              <w:pStyle w:val="Compact"/>
              <w:jc w:val="left"/>
            </w:pPr>
            <w:r>
              <w:t xml:space="preserve">Transport (to Consumer)</w:t>
            </w:r>
          </w:p>
        </w:tc>
        <w:tc>
          <w:tcPr/>
          <w:p>
            <w:pPr>
              <w:pStyle w:val="Compact"/>
              <w:jc w:val="left"/>
            </w:pPr>
            <w:r>
              <w:t xml:space="preserve">Scope 3 (Downstream)</w:t>
            </w:r>
          </w:p>
        </w:tc>
        <w:tc>
          <w:tcPr/>
          <w:p>
            <w:pPr>
              <w:pStyle w:val="Compact"/>
              <w:jc w:val="left"/>
            </w:pPr>
            <w:r>
              <w:t xml:space="preserve">0.388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36.750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-6.925</w:t>
            </w:r>
          </w:p>
        </w:tc>
      </w:tr>
    </w:tbl>
    <w:p>
      <w:pPr>
        <w:numPr>
          <w:ilvl w:val="0"/>
          <w:numId w:val="1000"/>
        </w:numPr>
        <w:pStyle w:val="Heading3"/>
      </w:pPr>
      <w:bookmarkStart w:id="48" w:name="Xdbdf33ac374b1cb74bb1abc78aed7a8355cc95a"/>
      <w:r>
        <w:t xml:space="preserve">Total Product Carbon Footprint:</w:t>
      </w:r>
      <w:r>
        <w:t xml:space="preserve"> </w:t>
      </w:r>
      <w:bookmarkStart w:id="47" w:name="totalPcf"/>
      <w:r>
        <w:t xml:space="preserve">42.521</w:t>
      </w:r>
      <w:bookmarkEnd w:id="47"/>
      <w:r>
        <w:t xml:space="preserve"> </w:t>
      </w:r>
      <w:r>
        <w:t xml:space="preserve">kg CO2e/unit</w:t>
      </w:r>
      <w:bookmarkEnd w:id="48"/>
    </w:p>
    <w:p>
      <w:pPr>
        <w:numPr>
          <w:ilvl w:val="0"/>
          <w:numId w:val="1000"/>
        </w:numPr>
      </w:pPr>
      <w:r>
        <w:rPr>
          <w:iCs/>
          <w:i/>
        </w:rPr>
        <w:t xml:space="preserve">(Calculated as: 10.000 + 2.308 + 0.388 + 36.750 - 6.925 = 42.521 kg CO2e/unit)</w:t>
      </w:r>
    </w:p>
    <w:p>
      <w:pPr>
        <w:numPr>
          <w:ilvl w:val="0"/>
          <w:numId w:val="1000"/>
        </w:numPr>
        <w:pStyle w:val="Heading4"/>
      </w:pPr>
      <w:bookmarkStart w:id="49" w:name="detailed-ghg-protocol-scopes-breakdown"/>
      <w:r>
        <w:t xml:space="preserve">Detailed GHG Protocol Scopes Breakdown:</w:t>
      </w:r>
      <w:bookmarkEnd w:id="49"/>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emissions from owned or controlled sources (e.g., direct fuel combustion in factory).</w:t>
            </w:r>
          </w:p>
        </w:tc>
        <w:tc>
          <w:tcPr/>
          <w:p>
            <w:pPr>
              <w:pStyle w:val="Compact"/>
              <w:jc w:val="left"/>
            </w:pPr>
            <w:r>
              <w:t xml:space="preserve">0.000</w:t>
            </w:r>
            <w:r>
              <w:t xml:space="preserve"> </w:t>
            </w:r>
            <w:r>
              <w:rPr>
                <w:iCs/>
                <w:i/>
              </w:rPr>
              <w:t xml:space="preserve">(Assumed negligible or zero for this analysis based on provided parameters focusing on purchased electricity for production.)</w:t>
            </w:r>
          </w:p>
        </w:tc>
      </w:tr>
      <w:tr>
        <w:tc>
          <w:tcPr/>
          <w:p>
            <w:pPr>
              <w:pStyle w:val="Compact"/>
              <w:jc w:val="left"/>
            </w:pPr>
            <w:r>
              <w:rPr>
                <w:bCs/>
                <w:b/>
              </w:rPr>
              <w:t xml:space="preserve">Scope 2</w:t>
            </w:r>
          </w:p>
        </w:tc>
        <w:tc>
          <w:tcPr/>
          <w:p>
            <w:pPr>
              <w:pStyle w:val="Compact"/>
              <w:jc w:val="left"/>
            </w:pPr>
            <w:r>
              <w:t xml:space="preserve">Indirect emissions from the generation of purchased electricity, steam, heating, and cooling consumed by the reporting company (production).</w:t>
            </w:r>
          </w:p>
        </w:tc>
        <w:tc>
          <w:tcPr/>
          <w:p>
            <w:pPr>
              <w:pStyle w:val="Compact"/>
              <w:jc w:val="left"/>
            </w:pPr>
            <w:r>
              <w:t xml:space="preserve">2.308</w:t>
            </w:r>
          </w:p>
        </w:tc>
      </w:tr>
      <w:tr>
        <w:tc>
          <w:tcPr>
            <w:vMerge w:val="restart"/>
          </w:tcPr>
          <w:p>
            <w:pPr>
              <w:pStyle w:val="Compact"/>
              <w:jc w:val="left"/>
            </w:pPr>
            <w:r>
              <w:rPr>
                <w:bCs/>
                <w:b/>
              </w:rPr>
              <w:t xml:space="preserve">Scope 3</w:t>
            </w:r>
          </w:p>
        </w:tc>
        <w:tc>
          <w:tcPr/>
          <w:p>
            <w:pPr>
              <w:pStyle w:val="Compact"/>
              <w:jc w:val="left"/>
            </w:pPr>
            <w:r>
              <w:rPr>
                <w:bCs/>
                <w:b/>
              </w:rPr>
              <w:t xml:space="preserve">Total Scope 3 (Upstream + Downstream)</w:t>
            </w:r>
          </w:p>
        </w:tc>
        <w:tc>
          <w:tcPr/>
          <w:p>
            <w:pPr>
              <w:pStyle w:val="Compact"/>
              <w:jc w:val="left"/>
            </w:pPr>
            <w:r>
              <w:t xml:space="preserve">40.213</w:t>
            </w:r>
          </w:p>
        </w:tc>
      </w:tr>
      <w:tr>
        <w:tc>
          <w:tcPr>
            <w:gridSpan w:val="1"/>
            <w:vMerge w:val="continue"/>
          </w:tcPr>
          <w:p>
            <w:pPr/>
          </w:p>
        </w:tc>
        <w:tc>
          <w:tcPr/>
          <w:p>
            <w:pPr>
              <w:pStyle w:val="Compact"/>
              <w:jc w:val="left"/>
            </w:pPr>
            <w:r>
              <w:t xml:space="preserve">Upstream: Material Production</w:t>
            </w:r>
          </w:p>
        </w:tc>
        <w:tc>
          <w:tcPr/>
          <w:p>
            <w:pPr>
              <w:pStyle w:val="Compact"/>
              <w:jc w:val="left"/>
            </w:pPr>
            <w:r>
              <w:t xml:space="preserve">10.000</w:t>
            </w:r>
          </w:p>
        </w:tc>
      </w:tr>
      <w:tr>
        <w:tc>
          <w:tcPr>
            <w:gridSpan w:val="1"/>
            <w:vMerge w:val="continue"/>
          </w:tcPr>
          <w:p>
            <w:pPr/>
          </w:p>
        </w:tc>
        <w:tc>
          <w:tcPr/>
          <w:p>
            <w:pPr>
              <w:pStyle w:val="Compact"/>
              <w:jc w:val="left"/>
            </w:pPr>
            <w:r>
              <w:t xml:space="preserve">Downstream: Transport (to consumer), Use Phase</w:t>
            </w:r>
          </w:p>
        </w:tc>
        <w:tc>
          <w:tcPr/>
          <w:p>
            <w:pPr>
              <w:pStyle w:val="Compact"/>
              <w:jc w:val="left"/>
            </w:pPr>
            <w:r>
              <w:t xml:space="preserve">0.388 + 36.750 = 37.138</w:t>
            </w:r>
          </w:p>
        </w:tc>
      </w:tr>
      <w:tr>
        <w:tc>
          <w:tcPr>
            <w:gridSpan w:val="1"/>
            <w:vMerge w:val="continue"/>
          </w:tcPr>
          <w:p>
            <w:pPr/>
          </w:p>
        </w:tc>
        <w:tc>
          <w:tcPr/>
          <w:p>
            <w:pPr>
              <w:pStyle w:val="Compact"/>
              <w:jc w:val="left"/>
            </w:pPr>
            <w:r>
              <w:t xml:space="preserve">Downstream: End-of-Life (Net)</w:t>
            </w:r>
          </w:p>
        </w:tc>
        <w:tc>
          <w:tcPr/>
          <w:p>
            <w:pPr>
              <w:pStyle w:val="Compact"/>
              <w:jc w:val="left"/>
            </w:pPr>
            <w:r>
              <w:t xml:space="preserve">-6.925</w:t>
            </w:r>
          </w:p>
        </w:tc>
      </w:tr>
      <w:tr>
        <w:tc>
          <w:tcPr>
            <w:gridSpan w:val="2"/>
          </w:tcPr>
          <w:p>
            <w:pPr>
              <w:pStyle w:val="Compact"/>
              <w:jc w:val="left"/>
            </w:pPr>
            <w:r>
              <w:rPr>
                <w:bCs/>
                <w:b/>
              </w:rPr>
              <w:t xml:space="preserve">Grand Total PCF</w:t>
            </w:r>
          </w:p>
        </w:tc>
        <w:tc>
          <w:tcPr/>
          <w:p>
            <w:pPr>
              <w:pStyle w:val="Compact"/>
              <w:jc w:val="left"/>
            </w:pPr>
            <w:r>
              <w:rPr>
                <w:bCs/>
                <w:b/>
              </w:rPr>
              <w:t xml:space="preserve">42.521</w:t>
            </w:r>
          </w:p>
        </w:tc>
      </w:tr>
    </w:tbl>
    <w:p>
      <w:pPr>
        <w:numPr>
          <w:ilvl w:val="0"/>
          <w:numId w:val="1000"/>
        </w:numPr>
      </w:pPr>
      <w:r>
        <w:t xml:space="preserve">The Scope 3 coverage target of at least 95% is met, as Scope 3 constitutes the majority of the total PCF, covering all significant value chain emissions.</w:t>
      </w:r>
    </w:p>
    <w:p>
      <w:pPr>
        <w:numPr>
          <w:ilvl w:val="0"/>
          <w:numId w:val="1002"/>
        </w:numPr>
        <w:pStyle w:val="Heading3"/>
      </w:pPr>
      <w:bookmarkStart w:id="50" w:name="review-report"/>
      <w:r>
        <w:t xml:space="preserve">5. Review &amp; Report</w:t>
      </w:r>
      <w:bookmarkEnd w:id="50"/>
    </w:p>
    <w:p>
      <w:pPr>
        <w:numPr>
          <w:ilvl w:val="0"/>
          <w:numId w:val="1000"/>
        </w:numPr>
        <w:pStyle w:val="Heading4"/>
      </w:pPr>
      <w:bookmarkStart w:id="51" w:name="emission-hotspots"/>
      <w:r>
        <w:t xml:space="preserve">Emission Hotspots:</w:t>
      </w:r>
      <w:bookmarkEnd w:id="51"/>
    </w:p>
    <w:p>
      <w:pPr>
        <w:numPr>
          <w:ilvl w:val="0"/>
          <w:numId w:val="1000"/>
        </w:numPr>
      </w:pPr>
      <w:r>
        <w:t xml:space="preserve">The analysis reveals the following major emission hotspots for "zedgxsxxzz":</w:t>
      </w:r>
    </w:p>
    <w:p>
      <w:pPr>
        <w:numPr>
          <w:ilvl w:val="1"/>
          <w:numId w:val="1015"/>
        </w:numPr>
        <w:pStyle w:val="Compact"/>
      </w:pPr>
      <w:r>
        <w:rPr>
          <w:bCs/>
          <w:b/>
        </w:rPr>
        <w:t xml:space="preserve">Use Phase (86.4% of total PCF before EoL credits):</w:t>
      </w:r>
      <w:r>
        <w:t xml:space="preserve"> </w:t>
      </w:r>
      <w:r>
        <w:t xml:space="preserve">The most significant contributor to the product\'s carbon footprint is the energy consumption during the product\'s 7-year lifespan. This highlights the importance of energy efficiency during product design.</w:t>
      </w:r>
    </w:p>
    <w:p>
      <w:pPr>
        <w:numPr>
          <w:ilvl w:val="1"/>
          <w:numId w:val="1015"/>
        </w:numPr>
        <w:pStyle w:val="Compact"/>
      </w:pPr>
      <w:r>
        <w:rPr>
          <w:bCs/>
          <w:b/>
        </w:rPr>
        <w:t xml:space="preserve">Material Production (23.5% of total PCF before EoL credits):</w:t>
      </w:r>
      <w:r>
        <w:t xml:space="preserve"> </w:t>
      </w:r>
      <w:r>
        <w:t xml:space="preserve">The manufacturing of primary materials also presents a substantial impact, underscoring the need for low-carbon material sourcing and design.</w:t>
      </w:r>
    </w:p>
    <w:p>
      <w:pPr>
        <w:numPr>
          <w:ilvl w:val="0"/>
          <w:numId w:val="1000"/>
        </w:numPr>
        <w:pStyle w:val="Heading4"/>
      </w:pPr>
      <w:bookmarkStart w:id="52" w:name="recommendations-for-reduction"/>
      <w:r>
        <w:t xml:space="preserve">Recommendations for Reduction:</w:t>
      </w:r>
      <w:bookmarkEnd w:id="52"/>
    </w:p>
    <w:p>
      <w:pPr>
        <w:numPr>
          <w:ilvl w:val="1"/>
          <w:numId w:val="1016"/>
        </w:numPr>
        <w:pStyle w:val="Compact"/>
      </w:pPr>
      <w:r>
        <w:rPr>
          <w:bCs/>
          <w:b/>
        </w:rPr>
        <w:t xml:space="preserve">Energy Efficiency in Use:</w:t>
      </w:r>
      <w:r>
        <w:t xml:space="preserve"> </w:t>
      </w:r>
      <w:r>
        <w:t xml:space="preserve">Focus on designing for ultra-low energy consumption during the product\'s operational life. Explore smart features, optimized power modes, and user education for efficient use.</w:t>
      </w:r>
    </w:p>
    <w:p>
      <w:pPr>
        <w:numPr>
          <w:ilvl w:val="1"/>
          <w:numId w:val="1016"/>
        </w:numPr>
        <w:pStyle w:val="Compact"/>
      </w:pPr>
      <w:r>
        <w:rPr>
          <w:bCs/>
          <w:b/>
        </w:rPr>
        <w:t xml:space="preserve">Material Optimization:</w:t>
      </w:r>
      <w:r>
        <w:t xml:space="preserve"> </w:t>
      </w:r>
      <w:r>
        <w:t xml:space="preserve">Investigate alternative materials with lower embodied carbon, explore lightweighting opportunities, and increase the use of recycled content beyond current levels.</w:t>
      </w:r>
    </w:p>
    <w:p>
      <w:pPr>
        <w:numPr>
          <w:ilvl w:val="1"/>
          <w:numId w:val="1016"/>
        </w:numPr>
        <w:pStyle w:val="Compact"/>
      </w:pPr>
      <w:r>
        <w:rPr>
          <w:bCs/>
          <w:b/>
        </w:rPr>
        <w:t xml:space="preserve">Renewable Energy in Production:</w:t>
      </w:r>
      <w:r>
        <w:t xml:space="preserve"> </w:t>
      </w:r>
      <w:r>
        <w:t xml:space="preserve">While 60% renewable energy is commendable, increasing this to 100% in the China-based manufacturing facilities would significantly reduce Scope 2 emissions.</w:t>
      </w:r>
    </w:p>
    <w:p>
      <w:pPr>
        <w:numPr>
          <w:ilvl w:val="1"/>
          <w:numId w:val="1016"/>
        </w:numPr>
        <w:pStyle w:val="Compact"/>
      </w:pPr>
      <w:r>
        <w:rPr>
          <w:bCs/>
          <w:b/>
        </w:rPr>
        <w:t xml:space="preserve">Strengthen Circularity:</w:t>
      </w:r>
      <w:r>
        <w:t xml:space="preserve"> </w:t>
      </w:r>
      <w:r>
        <w:t xml:space="preserve">Leverage existing circular/take-back programs (`iqxfodinho`) to further enhance recyclability and product longevity, aiming for a higher recyclability percentage than the current 70%.</w:t>
      </w:r>
    </w:p>
    <w:p>
      <w:pPr>
        <w:numPr>
          <w:ilvl w:val="0"/>
          <w:numId w:val="1000"/>
        </w:numPr>
        <w:pStyle w:val="Heading4"/>
      </w:pPr>
      <w:bookmarkStart w:id="53" w:name="reliability-statement"/>
      <w:r>
        <w:t xml:space="preserve">Reliability Statement:</w:t>
      </w:r>
      <w:bookmarkEnd w:id="53"/>
    </w:p>
    <w:p>
      <w:pPr>
        <w:numPr>
          <w:ilvl w:val="0"/>
          <w:numId w:val="1000"/>
        </w:numPr>
      </w:pPr>
      <w:r>
        <w:t xml:space="preserve">This PCF report is based on the parameters and illustrative values provided by the client, supplemented by industry-standard emission factors (e.g., specific electricity grid mixes, road freight averages). The reliability of this analysis is directly dependent on the accuracy and completeness of the input data. Further primary data collection for material-specific emission factors and exact transport logistics would enhance the precision of this assessment. The application of the GHG Protocol ensures a robust and transparent accounting methodology.</w:t>
      </w:r>
    </w:p>
    <w:p>
      <w:r>
        <w:pict>
          <v:rect style="width:0;height:1.5pt" o:hralign="center" o:hrstd="t" o:hr="t"/>
        </w:pict>
      </w:r>
    </w:p>
    <w:p>
      <w:pPr>
        <w:pStyle w:val="FirstParagraph"/>
      </w:pPr>
      <w:r>
        <w:t xml:space="preserve">Confidential - Internal Use Only</w:t>
      </w:r>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zedgxsxxzz</dc:title>
  <dc:creator/>
  <dc:description>High-detail Product Carbon Footprint (PCF) analysis report for zedgxsxxzz by Senior Sustainability Consultant nvfdpkxzhp, adhering to GHG Protocol and 2026 LSR Update.</dc:description>
  <dc:language>en</dc:language>
  <cp:keywords/>
  <dcterms:created xsi:type="dcterms:W3CDTF">2026-07-16T22:01:50Z</dcterms:created>
  <dcterms:modified xsi:type="dcterms:W3CDTF">2026-07-16T22:01:50Z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