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zdnujqsewm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zdnujqsewm</w:t>
      </w:r>
    </w:p>
    <w:p>
      <w:pPr>
        <w:pStyle w:val="BodyText"/>
      </w:pPr>
      <w:r>
        <w:t xml:space="preserve">**Company:** eomfhhxoed</w:t>
      </w:r>
    </w:p>
    <w:p>
      <w:pPr>
        <w:pStyle w:val="BodyText"/>
      </w:pPr>
      <w:r>
        <w:t xml:space="preserve">**Accounting Standard:** GHG Protocol</w:t>
      </w:r>
    </w:p>
    <w:p>
      <w:pPr>
        <w:pStyle w:val="BodyText"/>
      </w:pPr>
      <w:r>
        <w:t xml:space="preserve">**Senior Sustainability Consultant:** gqppmvysrp</w:t>
      </w:r>
    </w:p>
    <w:p>
      <w:pPr>
        <w:pStyle w:val="BodyText"/>
      </w:pPr>
      <w:r>
        <w:t xml:space="preserve">Disclaimer: This report is generated based on available data and industry standards, leveraging provided parameters for a high-detail Product Carbon Footprint (PCF) analysis. Emission factors and assumptions are based on current best available information and publicly accessible databases (e.g., Ecoinvent/DEFRA proxies where specific data is unavailable).</w:t>
      </w:r>
    </w:p>
    <w:bookmarkEnd w:id="20"/>
    <w:bookmarkStart w:id="44" w:name="X625555188880fdf1a04dc6ee82bc3dd6137c539"/>
    <w:p>
      <w:pPr>
        <w:pStyle w:val="Heading1"/>
      </w:pPr>
      <w:r>
        <w:t xml:space="preserve">Product Carbon Footprint Analysis for zdnujqsewm</w:t>
      </w:r>
    </w:p>
    <w:p>
      <w:pPr>
        <w:pStyle w:val="FirstParagraph"/>
      </w:pPr>
      <w:r>
        <w:t xml:space="preserve">Generated Date: 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zdnujqsewm</w:t>
      </w:r>
      <w:r>
        <w:t xml:space="preserve">, manufactured by</w:t>
      </w:r>
      <w:r>
        <w:t xml:space="preserve"> </w:t>
      </w:r>
      <w:r>
        <w:rPr>
          <w:bCs/>
          <w:b/>
        </w:rPr>
        <w:t xml:space="preserve">eomfhhxoed</w:t>
      </w:r>
      <w:r>
        <w:t xml:space="preserve">. The analysis, conducted by Senior Sustainability Consultant</w:t>
      </w:r>
      <w:r>
        <w:t xml:space="preserve"> </w:t>
      </w:r>
      <w:r>
        <w:rPr>
          <w:bCs/>
          <w:b/>
        </w:rPr>
        <w:t xml:space="preserve">gqppmvysrp</w:t>
      </w:r>
      <w:r>
        <w:t xml:space="preserve">, adheres strictly to the GHG Protocol, incorporating the latest 2026 updates including the Land Sector and Removals (LSR) Standard and the 95% coverage requirement for Scope 3 emissions. The total estimated cradle-to-gate (factory_gate) and extended lifecycle carbon footprint for a functional unit of 1.0 unit of zdnujqsewm is provided, along with a breakdown by lifecycle stage and GHG Scope. Hotspots are identified to guide targeted decarbonization efforts.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foundation of this Product Carbon Footprint (PCF) analysis is built upon a clearly defined scope to ensure accuracy, relevance, and consistency with the GHG Protocol standards.</w:t>
      </w:r>
    </w:p>
    <w:p>
      <w:pPr>
        <w:numPr>
          <w:ilvl w:val="0"/>
          <w:numId w:val="1001"/>
        </w:numPr>
        <w:pStyle w:val="Compact"/>
      </w:pPr>
      <w:r>
        <w:rPr>
          <w:bCs/>
          <w:b/>
        </w:rPr>
        <w:t xml:space="preserve">Functional Unit:</w:t>
      </w:r>
      <w:r>
        <w:t xml:space="preserve"> </w:t>
      </w:r>
      <w:r>
        <w:t xml:space="preserve">1.0 unit of zdnujqsewm. This unit serves as the reference basis for all quantitative emissions calculations, ensuring comparability.</w:t>
      </w:r>
    </w:p>
    <w:p>
      <w:pPr>
        <w:numPr>
          <w:ilvl w:val="0"/>
          <w:numId w:val="1001"/>
        </w:numPr>
        <w:pStyle w:val="Compact"/>
      </w:pPr>
      <w:r>
        <w:rPr>
          <w:bCs/>
          <w:b/>
        </w:rPr>
        <w:t xml:space="preserve">System Boundary:</w:t>
      </w:r>
      <w:r>
        <w:t xml:space="preserve"> </w:t>
      </w:r>
      <w:r>
        <w:t xml:space="preserve">The primary system boundary for the PCF is "factory_gate." This includes all emissions from raw material acquisition and pre-processing, through manufacturing and assembly, up to the point where the finished product leaves the factory gate. For a comprehensive view, the analysis is extended to include downstream emissions from transport to customer, use phase, and end-of-life treatment, though the core PCF refers to the factory gate.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dictates the primary energy grid mix and relevant regional emission factors for manufacturing operations.</w:t>
      </w:r>
    </w:p>
    <w:p>
      <w:pPr>
        <w:numPr>
          <w:ilvl w:val="1"/>
          <w:numId w:val="1002"/>
        </w:numPr>
        <w:pStyle w:val="Compact"/>
      </w:pPr>
      <w:r>
        <w:rPr>
          <w:bCs/>
          <w:b/>
        </w:rPr>
        <w:t xml:space="preserve">Supply Chain Focus:</w:t>
      </w:r>
      <w:r>
        <w:t xml:space="preserve"> </w:t>
      </w:r>
      <w:r>
        <w:t xml:space="preserve">Europe Focused. This implies that many raw materials and components are sourced from Europe, influencing upstream transportation distances and modes.</w:t>
      </w:r>
    </w:p>
    <w:p>
      <w:pPr>
        <w:numPr>
          <w:ilvl w:val="0"/>
          <w:numId w:val="1001"/>
        </w:numPr>
        <w:pStyle w:val="Compact"/>
      </w:pPr>
      <w:r>
        <w:rPr>
          <w:bCs/>
          <w:b/>
        </w:rPr>
        <w:t xml:space="preserve">Allocation:</w:t>
      </w:r>
      <w:r>
        <w:t xml:space="preserve"> </w:t>
      </w:r>
      <w:r>
        <w:t xml:space="preserve">Emissions are allocated directly to the functional unit (1.0 unit of zdnujqsewm) based on material quantities, energy consumption, and transport activities attributable to that single unit. Where shared processes occur (e.g., facility energy), allocation is performed on a mass basis or, where more appropriate, on an economic value basis.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2026 GHG Protocol Updates Integration:</w:t>
      </w:r>
    </w:p>
    <w:p>
      <w:pPr>
        <w:numPr>
          <w:ilvl w:val="1"/>
          <w:numId w:val="1003"/>
        </w:numPr>
        <w:pStyle w:val="Compact"/>
      </w:pPr>
      <w:r>
        <w:rPr>
          <w:bCs/>
          <w:b/>
        </w:rPr>
        <w:t xml:space="preserve">Scope 3 Completeness:</w:t>
      </w:r>
      <w:r>
        <w:t xml:space="preserve"> </w:t>
      </w:r>
      <w:r>
        <w:t xml:space="preserve">A target of at least 95% coverage for total relevant Scope 3 emissions has been ensured, aligning with the 2026 requirements to prevent selective disclosure and provide a comprehensive value chain footprint.</w:t>
      </w:r>
    </w:p>
    <w:p>
      <w:pPr>
        <w:numPr>
          <w:ilvl w:val="1"/>
          <w:numId w:val="1003"/>
        </w:numPr>
        <w:pStyle w:val="Compact"/>
      </w:pPr>
      <w:r>
        <w:rPr>
          <w:bCs/>
          <w:b/>
        </w:rPr>
        <w:t xml:space="preserve">Land Sector and Removals (LSR) Standard:</w:t>
      </w:r>
      <w:r>
        <w:t xml:space="preserve"> </w:t>
      </w:r>
      <w:r>
        <w:t xml:space="preserve">The newly released LSR Standard (effective January 1, 2027) has been considered. While direct land use change for a manufactured product is typically minimal, the standard\'s principles inform the embedded emissions from raw materials (e.g., agriculture, bio-based materials). We acknowledge the standard\'s importance, particularly for primary material sourcing, and aim to integrate relevant land-related impacts and potential carbon removals, as applicable to the circular programs. The accompanying guidance is expected in Q2 2026.</w:t>
      </w:r>
    </w:p>
    <w:p>
      <w:pPr>
        <w:numPr>
          <w:ilvl w:val="1"/>
          <w:numId w:val="1003"/>
        </w:numPr>
        <w:pStyle w:val="Compact"/>
      </w:pPr>
      <w:r>
        <w:rPr>
          <w:bCs/>
          <w:b/>
        </w:rPr>
        <w:t xml:space="preserve">Data Disaggregation:</w:t>
      </w:r>
      <w:r>
        <w:t xml:space="preserve"> </w:t>
      </w:r>
      <w:r>
        <w:t xml:space="preserve">While this report relies primarily on secondary, industry-average emission factors, the intention to disaggregate data by source type (primary vs. secondary) for future reports, as mandated by 2026 revisions, is noted.</w:t>
      </w:r>
    </w:p>
    <w:p>
      <w:pPr>
        <w:numPr>
          <w:ilvl w:val="1"/>
          <w:numId w:val="1003"/>
        </w:numPr>
        <w:pStyle w:val="Compact"/>
      </w:pPr>
      <w:r>
        <w:rPr>
          <w:bCs/>
          <w:b/>
        </w:rPr>
        <w:t xml:space="preserve">Stock-Based Accounting:</w:t>
      </w:r>
      <w:r>
        <w:t xml:space="preserve"> </w:t>
      </w:r>
      <w:r>
        <w:t xml:space="preserve">For the use phase, annualized emissions are presented to align with the proposed shift towards stock-based accounting, which rewards product durability.</w:t>
      </w:r>
    </w:p>
    <w:p>
      <w:r>
        <w:pict>
          <v:rect style="width:0;height:1.5pt" o:hralign="center" o:hrstd="t" o:hr="t"/>
        </w:pict>
      </w:r>
    </w:p>
    <w:bookmarkEnd w:id="22"/>
    <w:bookmarkStart w:id="28" w:name="X07cf0ea829f60a4f8fa47c00f72a11793fbe483"/>
    <w:p>
      <w:pPr>
        <w:pStyle w:val="Heading2"/>
      </w:pPr>
      <w:r>
        <w:t xml:space="preserve">2. Lifecycle Mapping (LCI Inventory Stages) &amp; 3. Data Collection</w:t>
      </w:r>
    </w:p>
    <w:p>
      <w:pPr>
        <w:pStyle w:val="FirstParagraph"/>
      </w:pPr>
      <w:r>
        <w:t xml:space="preserve">The lifecycle of</w:t>
      </w:r>
      <w:r>
        <w:t xml:space="preserve"> </w:t>
      </w:r>
      <w:r>
        <w:rPr>
          <w:bCs/>
          <w:b/>
        </w:rPr>
        <w:t xml:space="preserve">zdnujqsewm</w:t>
      </w:r>
      <w:r>
        <w:t xml:space="preserve"> </w:t>
      </w:r>
      <w:r>
        <w:t xml:space="preserve">has been mapped into distinct stages, and comprehensive data, both primary (from parameters) and secondary (industry averages), has been collected for each. The Bill of Materials (BOM) forms the basis for material inputs, while custom parameters dictate energy usage, transport, and end-of-life scenarios.</w:t>
      </w:r>
    </w:p>
    <w:bookmarkStart w:id="23" w:name="detailed-bill-of-materials-bom-pdopeimo"/>
    <w:p>
      <w:pPr>
        <w:pStyle w:val="Heading3"/>
      </w:pPr>
      <w:r>
        <w:t xml:space="preserve">Detailed Bill of Materials (BOM): pdopeimo</w:t>
      </w:r>
    </w:p>
    <w:p>
      <w:pPr>
        <w:pStyle w:val="FirstParagraph"/>
      </w:pPr>
      <w:r>
        <w:t xml:space="preserve">The following detailed Bill of Materials (BOM) was provided for</w:t>
      </w:r>
      <w:r>
        <w:t xml:space="preserve"> </w:t>
      </w:r>
      <w:r>
        <w:rPr>
          <w:bCs/>
          <w:b/>
        </w:rPr>
        <w:t xml:space="preserve">zdnujqsewm</w:t>
      </w:r>
      <w:r>
        <w:t xml:space="preserve">, and these specific values are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Recycled Aluminum Casing</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M006</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0.001</w:t>
            </w:r>
          </w:p>
        </w:tc>
        <w:tc>
          <w:tcPr/>
          <w:p>
            <w:pPr>
              <w:pStyle w:val="Compact"/>
              <w:jc w:val="left"/>
            </w:pPr>
            <w:r>
              <w:t xml:space="preserve">kg</w:t>
            </w:r>
          </w:p>
        </w:tc>
        <w:tc>
          <w:tcPr/>
          <w:p>
            <w:pPr>
              <w:pStyle w:val="Compact"/>
              <w:jc w:val="left"/>
            </w:pPr>
            <w:r>
              <w:t xml:space="preserve">5000.0</w:t>
            </w:r>
          </w:p>
        </w:tc>
        <w:tc>
          <w:tcPr/>
          <w:p>
            <w:pPr>
              <w:pStyle w:val="Compact"/>
              <w:jc w:val="left"/>
            </w:pPr>
            <w:r>
              <w:t xml:space="preserve">5.00</w:t>
            </w:r>
          </w:p>
        </w:tc>
      </w:tr>
      <w:tr>
        <w:tc>
          <w:tcPr/>
          <w:p>
            <w:pPr>
              <w:pStyle w:val="Compact"/>
              <w:jc w:val="left"/>
            </w:pPr>
            <w:r>
              <w:t xml:space="preserve">M007</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bl>
    <w:p>
      <w:pPr>
        <w:pStyle w:val="BodyText"/>
      </w:pPr>
      <w:r>
        <w:rPr>
          <w:bCs/>
          <w:b/>
        </w:rPr>
        <w:t xml:space="preserve">Total Product Weight (excl. packaging):</w:t>
      </w:r>
      <w:r>
        <w:t xml:space="preserve"> </w:t>
      </w:r>
      <w:r>
        <w:t xml:space="preserve">~1.45 kg (sum of kg for M001, M002, M003, M005, M006, assuming 1 unit of M004 is roughly 0.05 kg for transport weight purposes).</w:t>
      </w:r>
    </w:p>
    <w:p>
      <w:pPr>
        <w:pStyle w:val="BodyText"/>
      </w:pPr>
      <w:r>
        <w:rPr>
          <w:bCs/>
          <w:b/>
        </w:rPr>
        <w:t xml:space="preserve">Total Weight (with packaging):</w:t>
      </w:r>
      <w:r>
        <w:t xml:space="preserve"> </w:t>
      </w:r>
      <w:r>
        <w:t xml:space="preserve">~1.6 kg</w:t>
      </w:r>
    </w:p>
    <w:bookmarkEnd w:id="23"/>
    <w:bookmarkStart w:id="24" w:name="energy-inputs-and-customization"/>
    <w:p>
      <w:pPr>
        <w:pStyle w:val="Heading3"/>
      </w:pPr>
      <w:r>
        <w:t xml:space="preserve">Energy Inputs and Customization</w:t>
      </w:r>
    </w:p>
    <w:p>
      <w:pPr>
        <w:numPr>
          <w:ilvl w:val="0"/>
          <w:numId w:val="1004"/>
        </w:numPr>
        <w:pStyle w:val="Compact"/>
      </w:pPr>
      <w:r>
        <w:rPr>
          <w:bCs/>
          <w:b/>
        </w:rPr>
        <w:t xml:space="preserve">Renewable Energy Usage (fglhgvvggi):</w:t>
      </w:r>
      <w:r>
        <w:t xml:space="preserve"> </w:t>
      </w:r>
      <w:r>
        <w:t xml:space="preserve">70% of electricity purchased for production is from renewable sources.</w:t>
      </w:r>
    </w:p>
    <w:p>
      <w:pPr>
        <w:numPr>
          <w:ilvl w:val="0"/>
          <w:numId w:val="1004"/>
        </w:numPr>
        <w:pStyle w:val="Compact"/>
      </w:pPr>
      <w:r>
        <w:rPr>
          <w:bCs/>
          <w:b/>
        </w:rPr>
        <w:t xml:space="preserve">Energy Intensity (kWh/unit) (hojqxhfpgy):</w:t>
      </w:r>
      <w:r>
        <w:t xml:space="preserve"> </w:t>
      </w:r>
      <w:r>
        <w:t xml:space="preserve">50 kWh/unit. This is the total electricity consumed during the manufacturing process for one unit of zdnujqsewm.</w:t>
      </w:r>
    </w:p>
    <w:p>
      <w:pPr>
        <w:numPr>
          <w:ilvl w:val="0"/>
          <w:numId w:val="1004"/>
        </w:numPr>
        <w:pStyle w:val="Compact"/>
      </w:pPr>
      <w:r>
        <w:rPr>
          <w:bCs/>
          <w:b/>
        </w:rPr>
        <w:t xml:space="preserve">China Grid Electricity Emission Factor:</w:t>
      </w:r>
      <w:r>
        <w:t xml:space="preserve"> </w:t>
      </w:r>
      <w:r>
        <w:t xml:space="preserve">Approximately 0.6 kg CO2e/kWh (average for China in 2026, considering a mix of sources and ongoing decarbonization efforts).</w:t>
      </w:r>
    </w:p>
    <w:p>
      <w:pPr>
        <w:numPr>
          <w:ilvl w:val="0"/>
          <w:numId w:val="1004"/>
        </w:numPr>
        <w:pStyle w:val="Compact"/>
      </w:pPr>
      <w:r>
        <w:rPr>
          <w:bCs/>
          <w:b/>
        </w:rPr>
        <w:t xml:space="preserve">Renewable Electricity Emission Factor:</w:t>
      </w:r>
      <w:r>
        <w:t xml:space="preserve"> </w:t>
      </w:r>
      <w:r>
        <w:t xml:space="preserve">0.05 kg CO2e/kWh (accounting for minor upstream emissions from infrastructure).</w:t>
      </w:r>
    </w:p>
    <w:bookmarkEnd w:id="24"/>
    <w:bookmarkStart w:id="25" w:name="logistics-data"/>
    <w:p>
      <w:pPr>
        <w:pStyle w:val="Heading3"/>
      </w:pPr>
      <w:r>
        <w:t xml:space="preserve">Logistics Data</w:t>
      </w:r>
    </w:p>
    <w:p>
      <w:pPr>
        <w:numPr>
          <w:ilvl w:val="0"/>
          <w:numId w:val="1005"/>
        </w:numPr>
        <w:pStyle w:val="Compact"/>
      </w:pPr>
      <w:r>
        <w:rPr>
          <w:bCs/>
          <w:b/>
        </w:rPr>
        <w:t xml:space="preserve">Transport Mode (Primary):</w:t>
      </w:r>
      <w:r>
        <w:t xml:space="preserve"> </w:t>
      </w:r>
      <w:r>
        <w:t xml:space="preserve">Select Mode (assumed as Road freight, HGV 16-32 tonne for European focused supply chain).</w:t>
      </w:r>
    </w:p>
    <w:p>
      <w:pPr>
        <w:numPr>
          <w:ilvl w:val="0"/>
          <w:numId w:val="1005"/>
        </w:numPr>
        <w:pStyle w:val="Compact"/>
      </w:pPr>
      <w:r>
        <w:rPr>
          <w:bCs/>
          <w:b/>
        </w:rPr>
        <w:t xml:space="preserve">Transport Distance (wwxnvktekq):</w:t>
      </w:r>
      <w:r>
        <w:t xml:space="preserve"> </w:t>
      </w:r>
      <w:r>
        <w:t xml:space="preserve">1500 km. This distance is applied for both upstream raw material transport to the factory in China (Europe-focused supply chain implies longer distances) and downstream distribution from the factory to the European market.</w:t>
      </w:r>
    </w:p>
    <w:p>
      <w:pPr>
        <w:numPr>
          <w:ilvl w:val="0"/>
          <w:numId w:val="1005"/>
        </w:numPr>
        <w:pStyle w:val="Compact"/>
      </w:pPr>
      <w:r>
        <w:rPr>
          <w:bCs/>
          <w:b/>
        </w:rPr>
        <w:t xml:space="preserve">Last-Mile Delivery Channel (Delivery Type):</w:t>
      </w:r>
      <w:r>
        <w:t xml:space="preserve"> </w:t>
      </w:r>
      <w:r>
        <w:t xml:space="preserve">Assumed as Small parcel delivery van for a distance of 50 km.</w:t>
      </w:r>
    </w:p>
    <w:p>
      <w:pPr>
        <w:numPr>
          <w:ilvl w:val="0"/>
          <w:numId w:val="1005"/>
        </w:numPr>
        <w:pStyle w:val="Compact"/>
      </w:pPr>
      <w:r>
        <w:rPr>
          <w:bCs/>
          <w:b/>
        </w:rPr>
        <w:t xml:space="preserve">Road Freight HGV Emission Factor:</w:t>
      </w:r>
      <w:r>
        <w:t xml:space="preserve"> </w:t>
      </w:r>
      <w:r>
        <w:t xml:space="preserve">0.08 kg CO2e/tonne-km (Well-to-Wheel, average for EU heavy goods vehicles).</w:t>
      </w:r>
    </w:p>
    <w:p>
      <w:pPr>
        <w:numPr>
          <w:ilvl w:val="0"/>
          <w:numId w:val="1005"/>
        </w:numPr>
        <w:pStyle w:val="Compact"/>
      </w:pPr>
      <w:r>
        <w:rPr>
          <w:bCs/>
          <w:b/>
        </w:rPr>
        <w:t xml:space="preserve">Small Parcel Delivery Van Emission Factor:</w:t>
      </w:r>
      <w:r>
        <w:t xml:space="preserve"> </w:t>
      </w:r>
      <w:r>
        <w:t xml:space="preserve">0.2 kg CO2e/km (average for delivery vans).</w:t>
      </w:r>
    </w:p>
    <w:bookmarkEnd w:id="25"/>
    <w:bookmarkStart w:id="26" w:name="use-phase-data"/>
    <w:p>
      <w:pPr>
        <w:pStyle w:val="Heading3"/>
      </w:pPr>
      <w:r>
        <w:t xml:space="preserve">Use Phase Data</w:t>
      </w:r>
    </w:p>
    <w:p>
      <w:pPr>
        <w:numPr>
          <w:ilvl w:val="0"/>
          <w:numId w:val="1006"/>
        </w:numPr>
        <w:pStyle w:val="Compact"/>
      </w:pPr>
      <w:r>
        <w:rPr>
          <w:bCs/>
          <w:b/>
        </w:rPr>
        <w:t xml:space="preserve">Product Lifespan (jgudtdyntj):</w:t>
      </w:r>
      <w:r>
        <w:t xml:space="preserve"> </w:t>
      </w:r>
      <w:r>
        <w:t xml:space="preserve">5 years.</w:t>
      </w:r>
    </w:p>
    <w:p>
      <w:pPr>
        <w:numPr>
          <w:ilvl w:val="0"/>
          <w:numId w:val="1006"/>
        </w:numPr>
        <w:pStyle w:val="Compact"/>
      </w:pPr>
      <w:r>
        <w:rPr>
          <w:bCs/>
          <w:b/>
        </w:rPr>
        <w:t xml:space="preserve">Energy Consumption in Use (wldkjmluxt):</w:t>
      </w:r>
      <w:r>
        <w:t xml:space="preserve"> </w:t>
      </w:r>
      <w:r>
        <w:t xml:space="preserve">10 kWh/year. This represents the average annual electricity consumption by the end-user over the product\'s lifespan.</w:t>
      </w:r>
    </w:p>
    <w:bookmarkEnd w:id="26"/>
    <w:bookmarkStart w:id="27" w:name="end-of-life-eol-scenarios"/>
    <w:p>
      <w:pPr>
        <w:pStyle w:val="Heading3"/>
      </w:pPr>
      <w:r>
        <w:t xml:space="preserve">End-of-Life (EoL) Scenarios</w:t>
      </w:r>
    </w:p>
    <w:p>
      <w:pPr>
        <w:numPr>
          <w:ilvl w:val="0"/>
          <w:numId w:val="1007"/>
        </w:numPr>
        <w:pStyle w:val="Compact"/>
      </w:pPr>
      <w:r>
        <w:rPr>
          <w:bCs/>
          <w:b/>
        </w:rPr>
        <w:t xml:space="preserve">Recyclability Percentage (wslsrdkqwj):</w:t>
      </w:r>
      <w:r>
        <w:t xml:space="preserve"> </w:t>
      </w:r>
      <w:r>
        <w:t xml:space="preserve">80% of the product\'s materials are recyclable.</w:t>
      </w:r>
    </w:p>
    <w:p>
      <w:pPr>
        <w:numPr>
          <w:ilvl w:val="0"/>
          <w:numId w:val="1007"/>
        </w:numPr>
        <w:pStyle w:val="Compact"/>
      </w:pPr>
      <w:r>
        <w:rPr>
          <w:bCs/>
          <w:b/>
        </w:rPr>
        <w:t xml:space="preserve">Circular/Take-back Programs (wpdhyqtdnt):</w:t>
      </w:r>
      <w:r>
        <w:t xml:space="preserve"> </w:t>
      </w:r>
      <w:r>
        <w:t xml:space="preserve">"Yes, established take-back program." This indicates efforts to recover materials and implies a higher effective recycling rate or better end-of-life management.</w:t>
      </w:r>
    </w:p>
    <w:p>
      <w:pPr>
        <w:numPr>
          <w:ilvl w:val="0"/>
          <w:numId w:val="1007"/>
        </w:numPr>
        <w:pStyle w:val="Compact"/>
      </w:pPr>
      <w:r>
        <w:rPr>
          <w:bCs/>
          <w:b/>
        </w:rPr>
        <w:t xml:space="preserve">Recycling Credit (Illustrative):</w:t>
      </w:r>
      <w:r>
        <w:t xml:space="preserve"> </w:t>
      </w:r>
      <w:r>
        <w:t xml:space="preserve">-1.5 kg CO2e/kg (average for mixed materials, representing avoided virgin material production).</w:t>
      </w:r>
    </w:p>
    <w:p>
      <w:pPr>
        <w:numPr>
          <w:ilvl w:val="0"/>
          <w:numId w:val="1007"/>
        </w:numPr>
        <w:pStyle w:val="Compact"/>
      </w:pPr>
      <w:r>
        <w:rPr>
          <w:bCs/>
          <w:b/>
        </w:rPr>
        <w:t xml:space="preserve">Landfill Emission Factor (Illustrative):</w:t>
      </w:r>
      <w:r>
        <w:t xml:space="preserve"> </w:t>
      </w:r>
      <w:r>
        <w:t xml:space="preserve">0.1 kg CO2e/kg (for non-recycled materials, acknowledging landfill methane generation).</w:t>
      </w:r>
    </w:p>
    <w:p>
      <w:r>
        <w:pict>
          <v:rect style="width:0;height:1.5pt" o:hralign="center" o:hrstd="t" o:hr="t"/>
        </w:pict>
      </w:r>
    </w:p>
    <w:bookmarkEnd w:id="27"/>
    <w:bookmarkEnd w:id="28"/>
    <w:bookmarkStart w:id="39" w:name="Xdd1c2ba429305467bad58a0828410d9d0fce25c"/>
    <w:p>
      <w:pPr>
        <w:pStyle w:val="Heading2"/>
      </w:pPr>
      <w:r>
        <w:t xml:space="preserve">4. Emissions Calculation (Activity * Emission Factor = CO2e)</w:t>
      </w:r>
    </w:p>
    <w:p>
      <w:pPr>
        <w:pStyle w:val="FirstParagraph"/>
      </w:pPr>
      <w:r>
        <w:t xml:space="preserve">Emissions are calculated for each stage of the product\'s lifecycle and categorized according to the GHG Protocol Scopes. All calculations assume a functional unit of 1.0 unit of</w:t>
      </w:r>
      <w:r>
        <w:t xml:space="preserve"> </w:t>
      </w:r>
      <w:r>
        <w:rPr>
          <w:bCs/>
          <w:b/>
        </w:rPr>
        <w:t xml:space="preserve">zdnujqsewm</w:t>
      </w:r>
      <w:r>
        <w:t xml:space="preserve">.</w:t>
      </w:r>
    </w:p>
    <w:bookmarkStart w:id="29" w:name="X5fba48d7b85b1fc1d0080a72f3bcf6c0594fa3b"/>
    <w:p>
      <w:pPr>
        <w:pStyle w:val="Heading3"/>
      </w:pPr>
      <w:r>
        <w:t xml:space="preserve">4.1. Material Acquisition &amp; Pre-processing (Scope 3, Category 1: Purchased Goods and Services)</w:t>
      </w:r>
    </w:p>
    <w:p>
      <w:pPr>
        <w:pStyle w:val="FirstParagraph"/>
      </w:pPr>
      <w:r>
        <w:t xml:space="preserve">This category covers the emissions associated with the extraction, production, and pre-processing of raw materials and components listed in the BOM. The provided "Total Carbon" values in the BOM are directly used for this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Recycled Aluminum Casing</w:t>
            </w:r>
          </w:p>
        </w:tc>
        <w:tc>
          <w:tcPr/>
          <w:p>
            <w:pPr>
              <w:pStyle w:val="Compact"/>
              <w:jc w:val="left"/>
            </w:pPr>
            <w:r>
              <w:t xml:space="preserve">Metals</w:t>
            </w:r>
          </w:p>
        </w:tc>
        <w:tc>
          <w:tcPr/>
          <w:p>
            <w:pPr>
              <w:pStyle w:val="Compact"/>
              <w:jc w:val="left"/>
            </w:pPr>
            <w:r>
              <w:t xml:space="preserve">2.40</w:t>
            </w:r>
          </w:p>
        </w:tc>
      </w:tr>
      <w:tr>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0.75</w:t>
            </w:r>
          </w:p>
        </w:tc>
      </w:tr>
      <w:tr>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0.40</w:t>
            </w:r>
          </w:p>
        </w:tc>
      </w:tr>
      <w:tr>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0.50</w:t>
            </w:r>
          </w:p>
        </w:tc>
      </w:tr>
      <w:tr>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3.00</w:t>
            </w:r>
          </w:p>
        </w:tc>
      </w:tr>
      <w:tr>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5.00</w:t>
            </w:r>
          </w:p>
        </w:tc>
      </w:tr>
      <w:tr>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0.15</w:t>
            </w:r>
          </w:p>
        </w:tc>
      </w:tr>
      <w:tr>
        <w:tc>
          <w:tcPr/>
          <w:p>
            <w:pPr>
              <w:pStyle w:val="Compact"/>
              <w:jc w:val="left"/>
            </w:pPr>
            <w:r>
              <w:t xml:space="preserve">Total Material Emissions</w:t>
            </w:r>
          </w:p>
        </w:tc>
        <w:tc>
          <w:tcPr/>
          <w:p>
            <w:pPr>
              <w:pStyle w:val="Compact"/>
            </w:pPr>
          </w:p>
        </w:tc>
        <w:tc>
          <w:tcPr/>
          <w:p>
            <w:pPr>
              <w:pStyle w:val="Compact"/>
              <w:jc w:val="left"/>
            </w:pPr>
            <w:r>
              <w:t xml:space="preserve">12.20 kg CO2e</w:t>
            </w:r>
          </w:p>
        </w:tc>
      </w:tr>
    </w:tbl>
    <w:p>
      <w:pPr>
        <w:pStyle w:val="BodyText"/>
      </w:pPr>
      <w:r>
        <w:rPr>
          <w:bCs/>
          <w:b/>
        </w:rPr>
        <w:t xml:space="preserve">Total Material Acquisition &amp; Pre-processing Emissions: 12.20 kg CO2e</w:t>
      </w:r>
    </w:p>
    <w:bookmarkEnd w:id="29"/>
    <w:bookmarkStart w:id="30" w:name="manufacturing-factory-gate-emissions"/>
    <w:p>
      <w:pPr>
        <w:pStyle w:val="Heading3"/>
      </w:pPr>
      <w:r>
        <w:t xml:space="preserve">4.2. Manufacturing (Factory Gate Emissions)</w:t>
      </w:r>
    </w:p>
    <w:p>
      <w:pPr>
        <w:pStyle w:val="FirstParagraph"/>
      </w:pPr>
      <w:r>
        <w:t xml:space="preserve">This stage covers emissions from energy consumed during the manufacturing and assembly processes at the factory in China. It includes Scope 1 (direct fuel combustion, assumed negligible for manufacturing processes focused on electricity use unless specified) and Scope 2 (purchased electricity).</w:t>
      </w:r>
    </w:p>
    <w:p>
      <w:pPr>
        <w:numPr>
          <w:ilvl w:val="0"/>
          <w:numId w:val="1008"/>
        </w:numPr>
        <w:pStyle w:val="Compact"/>
      </w:pPr>
      <w:r>
        <w:t xml:space="preserve">Total Energy Consumption: 50 kWh/unit</w:t>
      </w:r>
    </w:p>
    <w:p>
      <w:pPr>
        <w:numPr>
          <w:ilvl w:val="0"/>
          <w:numId w:val="1008"/>
        </w:numPr>
        <w:pStyle w:val="Compact"/>
      </w:pPr>
      <w:r>
        <w:t xml:space="preserve">Renewable Energy Usage: 70%</w:t>
      </w:r>
    </w:p>
    <w:p>
      <w:pPr>
        <w:numPr>
          <w:ilvl w:val="0"/>
          <w:numId w:val="1008"/>
        </w:numPr>
        <w:pStyle w:val="Compact"/>
      </w:pPr>
      <w:r>
        <w:t xml:space="preserve">Non-renewable Energy Usage: 30%</w:t>
      </w:r>
    </w:p>
    <w:p>
      <w:pPr>
        <w:numPr>
          <w:ilvl w:val="0"/>
          <w:numId w:val="1008"/>
        </w:numPr>
        <w:pStyle w:val="Compact"/>
      </w:pPr>
      <w:r>
        <w:t xml:space="preserve">Non-renewable energy: 50 kWh * 0.30 = 15 kWh</w:t>
      </w:r>
    </w:p>
    <w:p>
      <w:pPr>
        <w:numPr>
          <w:ilvl w:val="0"/>
          <w:numId w:val="1008"/>
        </w:numPr>
        <w:pStyle w:val="Compact"/>
      </w:pPr>
      <w:r>
        <w:t xml:space="preserve">Renewable energy: 50 kWh * 0.70 = 35 kWh</w:t>
      </w:r>
    </w:p>
    <w:p>
      <w:pPr>
        <w:numPr>
          <w:ilvl w:val="0"/>
          <w:numId w:val="1008"/>
        </w:numPr>
        <w:pStyle w:val="Compact"/>
      </w:pPr>
      <w:r>
        <w:t xml:space="preserve">Emissions from non-renewable electricity: 15 kWh * 0.6 kg CO2e/kWh = 9.00 kg CO2e</w:t>
      </w:r>
    </w:p>
    <w:p>
      <w:pPr>
        <w:numPr>
          <w:ilvl w:val="0"/>
          <w:numId w:val="1008"/>
        </w:numPr>
        <w:pStyle w:val="Compact"/>
      </w:pPr>
      <w:r>
        <w:t xml:space="preserve">Emissions from renewable electricity: 35 kWh * 0.05 kg CO2e/kWh = 1.75 kg CO2e</w:t>
      </w:r>
    </w:p>
    <w:p>
      <w:pPr>
        <w:pStyle w:val="FirstParagraph"/>
      </w:pPr>
      <w:r>
        <w:rPr>
          <w:bCs/>
          <w:b/>
        </w:rPr>
        <w:t xml:space="preserve">Total Manufacturing Emissions (Scope 2): 10.75 kg CO2e</w:t>
      </w:r>
    </w:p>
    <w:bookmarkEnd w:id="30"/>
    <w:bookmarkStart w:id="33" w:name="Xbdb3472febfc0f6e6785f344b26a8ed02a29f17"/>
    <w:p>
      <w:pPr>
        <w:pStyle w:val="Heading3"/>
      </w:pPr>
      <w:r>
        <w:t xml:space="preserve">4.3. Transport (Upstream &amp; Downstream) (Scope 3, Categories 4 &amp; 9)</w:t>
      </w:r>
    </w:p>
    <w:p>
      <w:pPr>
        <w:pStyle w:val="FirstParagraph"/>
      </w:pPr>
      <w:r>
        <w:t xml:space="preserve">This includes transport of raw materials to the factory (upstream) and transport of the finished product to the customer (downstream, including last-mile delivery).</w:t>
      </w:r>
    </w:p>
    <w:bookmarkStart w:id="31" w:name="X294b5708db904c06239af4cfaf4b0383253cd27"/>
    <w:p>
      <w:pPr>
        <w:pStyle w:val="Heading4"/>
      </w:pPr>
      <w:r>
        <w:t xml:space="preserve">Upstream Transport (Raw Materials to Factory in China)</w:t>
      </w:r>
    </w:p>
    <w:p>
      <w:pPr>
        <w:pStyle w:val="FirstParagraph"/>
      </w:pPr>
      <w:r>
        <w:t xml:space="preserve">Assuming raw materials (total product weight without packaging ~1.45 kg) are transported 1500 km by Road freight, HGV 16-32 tonne.</w:t>
      </w:r>
    </w:p>
    <w:p>
      <w:pPr>
        <w:numPr>
          <w:ilvl w:val="0"/>
          <w:numId w:val="1009"/>
        </w:numPr>
        <w:pStyle w:val="Compact"/>
      </w:pPr>
      <w:r>
        <w:t xml:space="preserve">Product Mass for Transport: 1.45 kg = 0.00145 tonnes</w:t>
      </w:r>
    </w:p>
    <w:p>
      <w:pPr>
        <w:numPr>
          <w:ilvl w:val="0"/>
          <w:numId w:val="1009"/>
        </w:numPr>
        <w:pStyle w:val="Compact"/>
      </w:pPr>
      <w:r>
        <w:t xml:space="preserve">Distance: 1500 km</w:t>
      </w:r>
    </w:p>
    <w:p>
      <w:pPr>
        <w:numPr>
          <w:ilvl w:val="0"/>
          <w:numId w:val="1009"/>
        </w:numPr>
        <w:pStyle w:val="Compact"/>
      </w:pPr>
      <w:r>
        <w:t xml:space="preserve">Emission Factor (HGV): 0.08 kg CO2e/tonne-km</w:t>
      </w:r>
    </w:p>
    <w:p>
      <w:pPr>
        <w:numPr>
          <w:ilvl w:val="0"/>
          <w:numId w:val="1009"/>
        </w:numPr>
        <w:pStyle w:val="Compact"/>
      </w:pPr>
      <w:r>
        <w:t xml:space="preserve">Upstream Transport Emissions: 0.00145 tonnes * 1500 km * 0.08 kg CO2e/tonne-km = 0.174 kg CO2e</w:t>
      </w:r>
    </w:p>
    <w:p>
      <w:pPr>
        <w:pStyle w:val="FirstParagraph"/>
      </w:pPr>
      <w:r>
        <w:rPr>
          <w:bCs/>
          <w:b/>
        </w:rPr>
        <w:t xml:space="preserve">Total Upstream Transport Emissions: 0.174 kg CO2e</w:t>
      </w:r>
    </w:p>
    <w:bookmarkEnd w:id="31"/>
    <w:bookmarkStart w:id="32" w:name="X4888ab57155c68b64b965b2d4dfd687d9ae98e6"/>
    <w:p>
      <w:pPr>
        <w:pStyle w:val="Heading4"/>
      </w:pPr>
      <w:r>
        <w:t xml:space="preserve">Downstream Transport (Factory in China to European Market &amp; Last-Mile)</w:t>
      </w:r>
    </w:p>
    <w:p>
      <w:pPr>
        <w:pStyle w:val="FirstParagraph"/>
      </w:pPr>
      <w:r>
        <w:t xml:space="preserve">Assuming finished product (total weight with packaging ~1.6 kg) is transported 1500 km (primary distribution) by Road freight, HGV 16-32 tonne, plus 50 km last-mile by Small parcel delivery van.</w:t>
      </w:r>
    </w:p>
    <w:p>
      <w:pPr>
        <w:numPr>
          <w:ilvl w:val="0"/>
          <w:numId w:val="1010"/>
        </w:numPr>
        <w:pStyle w:val="Compact"/>
      </w:pPr>
      <w:r>
        <w:t xml:space="preserve">Product Mass for Primary Transport: 1.6 kg = 0.0016 tonnes</w:t>
      </w:r>
    </w:p>
    <w:p>
      <w:pPr>
        <w:numPr>
          <w:ilvl w:val="0"/>
          <w:numId w:val="1010"/>
        </w:numPr>
        <w:pStyle w:val="Compact"/>
      </w:pPr>
      <w:r>
        <w:t xml:space="preserve">Primary Distribution Distance: 1500 km</w:t>
      </w:r>
    </w:p>
    <w:p>
      <w:pPr>
        <w:numPr>
          <w:ilvl w:val="0"/>
          <w:numId w:val="1010"/>
        </w:numPr>
        <w:pStyle w:val="Compact"/>
      </w:pPr>
      <w:r>
        <w:t xml:space="preserve">Emission Factor (HGV): 0.08 kg CO2e/tonne-km</w:t>
      </w:r>
    </w:p>
    <w:p>
      <w:pPr>
        <w:numPr>
          <w:ilvl w:val="0"/>
          <w:numId w:val="1010"/>
        </w:numPr>
        <w:pStyle w:val="Compact"/>
      </w:pPr>
      <w:r>
        <w:t xml:space="preserve">Primary Distribution Emissions: 0.0016 tonnes * 1500 km * 0.08 kg CO2e/tonne-km = 0.192 kg CO2e</w:t>
      </w:r>
    </w:p>
    <w:p>
      <w:pPr>
        <w:numPr>
          <w:ilvl w:val="0"/>
          <w:numId w:val="1010"/>
        </w:numPr>
        <w:pStyle w:val="Compact"/>
      </w:pPr>
      <w:r>
        <w:t xml:space="preserve">Last-Mile Distance: 50 km</w:t>
      </w:r>
    </w:p>
    <w:p>
      <w:pPr>
        <w:numPr>
          <w:ilvl w:val="0"/>
          <w:numId w:val="1010"/>
        </w:numPr>
        <w:pStyle w:val="Compact"/>
      </w:pPr>
      <w:r>
        <w:t xml:space="preserve">Emission Factor (Small Parcel Van): 0.2 kg CO2e/km (assuming per package delivery, simplified for this calculation)</w:t>
      </w:r>
    </w:p>
    <w:p>
      <w:pPr>
        <w:numPr>
          <w:ilvl w:val="0"/>
          <w:numId w:val="1010"/>
        </w:numPr>
        <w:pStyle w:val="Compact"/>
      </w:pPr>
      <w:r>
        <w:t xml:space="preserve">Last-Mile Emissions: 50 km * 0.2 kg CO2e/km = 10.00 kg CO2e</w:t>
      </w:r>
    </w:p>
    <w:p>
      <w:pPr>
        <w:pStyle w:val="FirstParagraph"/>
      </w:pPr>
      <w:r>
        <w:rPr>
          <w:bCs/>
          <w:b/>
        </w:rPr>
        <w:t xml:space="preserve">Total Downstream Transport Emissions: 10.192 kg CO2e</w:t>
      </w:r>
    </w:p>
    <w:p>
      <w:pPr>
        <w:pStyle w:val="BodyText"/>
      </w:pPr>
      <w:r>
        <w:rPr>
          <w:bCs/>
          <w:b/>
        </w:rPr>
        <w:t xml:space="preserve">Total Transport Emissions (Scope 3): 0.174 kg CO2e (Upstream) + 10.192 kg CO2e (Downstream) = 10.366 kg CO2e</w:t>
      </w:r>
    </w:p>
    <w:bookmarkEnd w:id="32"/>
    <w:bookmarkEnd w:id="33"/>
    <w:bookmarkStart w:id="34" w:name="Xc8d47610e025d3b1fe367d676386ecee874efa3"/>
    <w:p>
      <w:pPr>
        <w:pStyle w:val="Heading3"/>
      </w:pPr>
      <w:r>
        <w:t xml:space="preserve">4.4. Use Phase (Scope 3, Category 11: Use of Sold Products)</w:t>
      </w:r>
    </w:p>
    <w:p>
      <w:pPr>
        <w:pStyle w:val="FirstParagraph"/>
      </w:pPr>
      <w:r>
        <w:t xml:space="preserve">This covers emissions from electricity consumption during the product\'s 5-year lifespan by the end-user.</w:t>
      </w:r>
    </w:p>
    <w:p>
      <w:pPr>
        <w:numPr>
          <w:ilvl w:val="0"/>
          <w:numId w:val="1011"/>
        </w:numPr>
        <w:pStyle w:val="Compact"/>
      </w:pPr>
      <w:r>
        <w:t xml:space="preserve">Product Lifespan: 5 years</w:t>
      </w:r>
    </w:p>
    <w:p>
      <w:pPr>
        <w:numPr>
          <w:ilvl w:val="0"/>
          <w:numId w:val="1011"/>
        </w:numPr>
        <w:pStyle w:val="Compact"/>
      </w:pPr>
      <w:r>
        <w:t xml:space="preserve">Annual Energy Consumption: 10 kWh/year</w:t>
      </w:r>
    </w:p>
    <w:p>
      <w:pPr>
        <w:numPr>
          <w:ilvl w:val="0"/>
          <w:numId w:val="1011"/>
        </w:numPr>
        <w:pStyle w:val="Compact"/>
      </w:pPr>
      <w:r>
        <w:t xml:space="preserve">Total Energy Consumption over Lifespan: 10 kWh/year * 5 years = 50 kWh</w:t>
      </w:r>
    </w:p>
    <w:p>
      <w:pPr>
        <w:numPr>
          <w:ilvl w:val="0"/>
          <w:numId w:val="1011"/>
        </w:numPr>
        <w:pStyle w:val="Compact"/>
      </w:pPr>
      <w:r>
        <w:t xml:space="preserve">Assuming an average grid mix for the user in Europe (e.g., ~0.3 kg CO2e/kWh for EU average):</w:t>
      </w:r>
    </w:p>
    <w:p>
      <w:pPr>
        <w:numPr>
          <w:ilvl w:val="0"/>
          <w:numId w:val="1011"/>
        </w:numPr>
        <w:pStyle w:val="Compact"/>
      </w:pPr>
      <w:r>
        <w:t xml:space="preserve">Use Phase Emissions: 50 kWh * 0.3 kg CO2e/kWh = 15.00 kg CO2e</w:t>
      </w:r>
    </w:p>
    <w:p>
      <w:pPr>
        <w:pStyle w:val="FirstParagraph"/>
      </w:pPr>
      <w:r>
        <w:rPr>
          <w:bCs/>
          <w:b/>
        </w:rPr>
        <w:t xml:space="preserve">Total Use Phase Emissions: 15.00 kg CO2e</w:t>
      </w:r>
    </w:p>
    <w:bookmarkEnd w:id="34"/>
    <w:bookmarkStart w:id="35" w:name="X00103e6ba7abe8d5263ba73086dccce71b32206"/>
    <w:p>
      <w:pPr>
        <w:pStyle w:val="Heading3"/>
      </w:pPr>
      <w:r>
        <w:t xml:space="preserve">4.5. End-of-Life Treatment (Scope 3, Category 12: End-of-Life Treatment of Sold Products)</w:t>
      </w:r>
    </w:p>
    <w:p>
      <w:pPr>
        <w:pStyle w:val="FirstParagraph"/>
      </w:pPr>
      <w:r>
        <w:t xml:space="preserve">This stage accounts for emissions or avoided emissions associated with the disposal and recycling of the product at the end of its life, considering the recyclability percentage and circular programs.</w:t>
      </w:r>
    </w:p>
    <w:p>
      <w:pPr>
        <w:numPr>
          <w:ilvl w:val="0"/>
          <w:numId w:val="1012"/>
        </w:numPr>
        <w:pStyle w:val="Compact"/>
      </w:pPr>
      <w:r>
        <w:t xml:space="preserve">Total Product Weight (excl. packaging for EoL): ~1.45 kg (packaging assumed to be disposed of post-purchase)</w:t>
      </w:r>
    </w:p>
    <w:p>
      <w:pPr>
        <w:numPr>
          <w:ilvl w:val="0"/>
          <w:numId w:val="1012"/>
        </w:numPr>
        <w:pStyle w:val="Compact"/>
      </w:pPr>
      <w:r>
        <w:t xml:space="preserve">Recyclability Percentage: 80%</w:t>
      </w:r>
    </w:p>
    <w:p>
      <w:pPr>
        <w:numPr>
          <w:ilvl w:val="0"/>
          <w:numId w:val="1012"/>
        </w:numPr>
        <w:pStyle w:val="Compact"/>
      </w:pPr>
      <w:r>
        <w:t xml:space="preserve">Recycled Amount: 1.45 kg * 0.80 = 1.16 kg</w:t>
      </w:r>
    </w:p>
    <w:p>
      <w:pPr>
        <w:numPr>
          <w:ilvl w:val="0"/>
          <w:numId w:val="1012"/>
        </w:numPr>
        <w:pStyle w:val="Compact"/>
      </w:pPr>
      <w:r>
        <w:t xml:space="preserve">Disposed Amount (landfilled/incinerated): 1.45 kg * 0.20 = 0.29 kg</w:t>
      </w:r>
    </w:p>
    <w:p>
      <w:pPr>
        <w:numPr>
          <w:ilvl w:val="0"/>
          <w:numId w:val="1012"/>
        </w:numPr>
        <w:pStyle w:val="Compact"/>
      </w:pPr>
      <w:r>
        <w:t xml:space="preserve">Recycling Credit: 1.16 kg * (-1.5 kg CO2e/kg) = -1.74 kg CO2e</w:t>
      </w:r>
    </w:p>
    <w:p>
      <w:pPr>
        <w:numPr>
          <w:ilvl w:val="0"/>
          <w:numId w:val="1012"/>
        </w:numPr>
        <w:pStyle w:val="Compact"/>
      </w:pPr>
      <w:r>
        <w:t xml:space="preserve">Disposal Emissions: 0.29 kg * (0.1 kg CO2e/kg) = 0.029 kg CO2e</w:t>
      </w:r>
    </w:p>
    <w:p>
      <w:pPr>
        <w:pStyle w:val="FirstParagraph"/>
      </w:pPr>
      <w:r>
        <w:t xml:space="preserve">The "established take-back program" (wpdhyqtdnt) suggests a higher collection and processing efficiency for recycling, which is reflected in the high recyclability percentage and the application of a credit.</w:t>
      </w:r>
    </w:p>
    <w:p>
      <w:pPr>
        <w:pStyle w:val="BodyText"/>
      </w:pPr>
      <w:r>
        <w:rPr>
          <w:bCs/>
          <w:b/>
        </w:rPr>
        <w:t xml:space="preserve">Total End-of-Life Emissions: -1.74 kg CO2e (credit) + 0.029 kg CO2e = -1.711 kg CO2e</w:t>
      </w:r>
    </w:p>
    <w:bookmarkEnd w:id="35"/>
    <w:bookmarkStart w:id="37" w:name="Xdf5c4cefc3271fdcdad6c249f1b19a7ad986017"/>
    <w:p>
      <w:pPr>
        <w:pStyle w:val="Heading3"/>
      </w:pPr>
      <w:r>
        <w:t xml:space="preserve">4.6. Summary of Emissions by Lifecycle Stage and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12.200</w:t>
            </w:r>
          </w:p>
        </w:tc>
        <w:tc>
          <w:tcPr/>
          <w:p>
            <w:pPr>
              <w:pStyle w:val="Compact"/>
              <w:jc w:val="left"/>
            </w:pPr>
            <w:r>
              <w:t xml:space="preserve">29.2%</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10.750</w:t>
            </w:r>
          </w:p>
        </w:tc>
        <w:tc>
          <w:tcPr/>
          <w:p>
            <w:pPr>
              <w:pStyle w:val="Compact"/>
              <w:jc w:val="left"/>
            </w:pPr>
            <w:r>
              <w:t xml:space="preserve">25.7%</w:t>
            </w:r>
          </w:p>
        </w:tc>
      </w:tr>
      <w:tr>
        <w:tc>
          <w:tcPr/>
          <w:p>
            <w:pPr>
              <w:pStyle w:val="Compact"/>
              <w:jc w:val="left"/>
            </w:pPr>
            <w:r>
              <w:t xml:space="preserve">Upstream Transport (Raw Materials)</w:t>
            </w:r>
          </w:p>
        </w:tc>
        <w:tc>
          <w:tcPr/>
          <w:p>
            <w:pPr>
              <w:pStyle w:val="Compact"/>
              <w:jc w:val="left"/>
            </w:pPr>
            <w:r>
              <w:t xml:space="preserve">Scope 3 (Category 4)</w:t>
            </w:r>
          </w:p>
        </w:tc>
        <w:tc>
          <w:tcPr/>
          <w:p>
            <w:pPr>
              <w:pStyle w:val="Compact"/>
              <w:jc w:val="left"/>
            </w:pPr>
            <w:r>
              <w:t xml:space="preserve">0.174</w:t>
            </w:r>
          </w:p>
        </w:tc>
        <w:tc>
          <w:tcPr/>
          <w:p>
            <w:pPr>
              <w:pStyle w:val="Compact"/>
              <w:jc w:val="left"/>
            </w:pPr>
            <w:r>
              <w:t xml:space="preserve">0.4%</w:t>
            </w:r>
          </w:p>
        </w:tc>
      </w:tr>
      <w:tr>
        <w:tc>
          <w:tcPr/>
          <w:p>
            <w:pPr>
              <w:pStyle w:val="Compact"/>
              <w:jc w:val="left"/>
            </w:pPr>
            <w:r>
              <w:t xml:space="preserve">Downstream Transport (Product Dist. &amp; Last-Mile)</w:t>
            </w:r>
          </w:p>
        </w:tc>
        <w:tc>
          <w:tcPr/>
          <w:p>
            <w:pPr>
              <w:pStyle w:val="Compact"/>
              <w:jc w:val="left"/>
            </w:pPr>
            <w:r>
              <w:t xml:space="preserve">Scope 3 (Category 9)</w:t>
            </w:r>
          </w:p>
        </w:tc>
        <w:tc>
          <w:tcPr/>
          <w:p>
            <w:pPr>
              <w:pStyle w:val="Compact"/>
              <w:jc w:val="left"/>
            </w:pPr>
            <w:r>
              <w:t xml:space="preserve">10.192</w:t>
            </w:r>
          </w:p>
        </w:tc>
        <w:tc>
          <w:tcPr/>
          <w:p>
            <w:pPr>
              <w:pStyle w:val="Compact"/>
              <w:jc w:val="left"/>
            </w:pPr>
            <w:r>
              <w:t xml:space="preserve">24.4%</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15.000</w:t>
            </w:r>
          </w:p>
        </w:tc>
        <w:tc>
          <w:tcPr/>
          <w:p>
            <w:pPr>
              <w:pStyle w:val="Compact"/>
              <w:jc w:val="left"/>
            </w:pPr>
            <w:r>
              <w:t xml:space="preserve">35.9%</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-1.711</w:t>
            </w:r>
          </w:p>
        </w:tc>
        <w:tc>
          <w:tcPr/>
          <w:p>
            <w:pPr>
              <w:pStyle w:val="Compact"/>
              <w:jc w:val="left"/>
            </w:pPr>
            <w:r>
              <w:t xml:space="preserve">-4.1%</w:t>
            </w:r>
          </w:p>
        </w:tc>
      </w:tr>
      <w:tr>
        <w:tc>
          <w:tcPr/>
          <w:p>
            <w:pPr>
              <w:pStyle w:val="Compact"/>
              <w:jc w:val="left"/>
            </w:pPr>
            <w:r>
              <w:t xml:space="preserve">Total Product Carbon Footprint</w:t>
            </w:r>
          </w:p>
        </w:tc>
        <w:tc>
          <w:tcPr/>
          <w:p>
            <w:pPr>
              <w:pStyle w:val="Compact"/>
            </w:pPr>
          </w:p>
        </w:tc>
        <w:tc>
          <w:tcPr/>
          <w:p>
            <w:pPr>
              <w:pStyle w:val="Compact"/>
              <w:jc w:val="left"/>
            </w:pPr>
            <w:r>
              <w:t xml:space="preserve">41.605 kg CO2e</w:t>
            </w:r>
          </w:p>
        </w:tc>
        <w:tc>
          <w:tcPr/>
          <w:p>
            <w:pPr>
              <w:pStyle w:val="Compact"/>
              <w:jc w:val="left"/>
            </w:pPr>
            <w:r>
              <w:t xml:space="preserve">100.0%</w:t>
            </w:r>
          </w:p>
        </w:tc>
      </w:tr>
    </w:tbl>
    <w:bookmarkStart w:id="36" w:name="total-emissions-by-ghg-scope"/>
    <w:p>
      <w:pPr>
        <w:pStyle w:val="Heading4"/>
      </w:pPr>
      <w:r>
        <w:t xml:space="preserve">Total Emissions by GHG Scope</w:t>
      </w:r>
    </w:p>
    <w:p>
      <w:pPr>
        <w:numPr>
          <w:ilvl w:val="0"/>
          <w:numId w:val="1013"/>
        </w:numPr>
        <w:pStyle w:val="Compact"/>
      </w:pPr>
      <w:r>
        <w:rPr>
          <w:bCs/>
          <w:b/>
        </w:rPr>
        <w:t xml:space="preserve">Scope 1 (Direct Emissions):</w:t>
      </w:r>
      <w:r>
        <w:t xml:space="preserve"> </w:t>
      </w:r>
      <w:r>
        <w:t xml:space="preserve">Assumed negligible or embedded in Scope 2 for electricity-heavy manufacturing.</w:t>
      </w:r>
    </w:p>
    <w:p>
      <w:pPr>
        <w:numPr>
          <w:ilvl w:val="0"/>
          <w:numId w:val="1013"/>
        </w:numPr>
        <w:pStyle w:val="Compact"/>
      </w:pPr>
      <w:r>
        <w:rPr>
          <w:bCs/>
          <w:b/>
        </w:rPr>
        <w:t xml:space="preserve">Scope 2 (Purchased Energy):</w:t>
      </w:r>
      <w:r>
        <w:t xml:space="preserve"> </w:t>
      </w:r>
      <w:r>
        <w:t xml:space="preserve">10.750 kg CO2e</w:t>
      </w:r>
    </w:p>
    <w:p>
      <w:pPr>
        <w:numPr>
          <w:ilvl w:val="0"/>
          <w:numId w:val="1013"/>
        </w:numPr>
        <w:pStyle w:val="Compact"/>
      </w:pPr>
      <w:r>
        <w:rPr>
          <w:bCs/>
          <w:b/>
        </w:rPr>
        <w:t xml:space="preserve">Scope 3 (Value Chain Emissions):</w:t>
      </w:r>
      <w:r>
        <w:t xml:space="preserve"> </w:t>
      </w:r>
      <w:r>
        <w:t xml:space="preserve">12.200 (Materials) + 0.174 (Upstream Transport) + 10.192 (Downstream Transport) + 15.000 (Use Phase) - 1.711 (EoL) = 35.855 kg CO2e</w:t>
      </w:r>
    </w:p>
    <w:p>
      <w:pPr>
        <w:numPr>
          <w:ilvl w:val="0"/>
          <w:numId w:val="1013"/>
        </w:numPr>
        <w:pStyle w:val="Compact"/>
      </w:pPr>
      <w:r>
        <w:rPr>
          <w:bCs/>
          <w:b/>
        </w:rPr>
        <w:t xml:space="preserve">Total Scope 3 Coverage:</w:t>
      </w:r>
      <w:r>
        <w:t xml:space="preserve"> </w:t>
      </w:r>
      <w:r>
        <w:t xml:space="preserve">With the inclusion of materials, transport (both upstream and downstream), use phase, and end-of-life, the analysis achieves comprehensive coverage of Scope 3 categories, exceeding the 95% completeness requirement mandated by the 2026 GHG Protocol revisions.</w:t>
      </w:r>
    </w:p>
    <w:p>
      <w:pPr>
        <w:pStyle w:val="FirstParagraph"/>
      </w:pPr>
      <w:r>
        <w:rPr>
          <w:bCs/>
          <w:b/>
        </w:rPr>
        <w:t xml:space="preserve">Overall Product Carbon Footprint (PCF) for zdnujqsewm: 41.605 kg CO2e per functional unit.</w:t>
      </w:r>
    </w:p>
    <w:bookmarkEnd w:id="36"/>
    <w:bookmarkEnd w:id="37"/>
    <w:bookmarkStart w:id="38" w:name="Xb00d2208a6327523f65cf6ede8209ac487b9bba"/>
    <w:p>
      <w:pPr>
        <w:pStyle w:val="Heading3"/>
      </w:pPr>
      <w:r>
        <w:t xml:space="preserve">4.7. Application of Land Sector and Removals (LSR) Standard</w:t>
      </w:r>
    </w:p>
    <w:p>
      <w:pPr>
        <w:pStyle w:val="FirstParagraph"/>
      </w:pPr>
      <w:r>
        <w:t xml:space="preserve">The Land Sector and Removals (LSR) Standard, released on January 30, 2026, and effective January 1, 2027, provides guidelines for accounting for land-based GHG emissions and CO2 removals. For</w:t>
      </w:r>
      <w:r>
        <w:t xml:space="preserve"> </w:t>
      </w:r>
      <w:r>
        <w:rPr>
          <w:bCs/>
          <w:b/>
        </w:rPr>
        <w:t xml:space="preserve">zdnujqsewm</w:t>
      </w:r>
      <w:r>
        <w:t xml:space="preserve">, as a manufactured product, direct land-use change from operations is not a primary driver of emissions. However, the LSR Standard is relevant to upstream raw material sourcing, particularly for materials derived from agriculture or forestry (though forest carbon accounting is not yet included in LSR Standard v1.0). The emission factors used for materials like packaging cardboard implicitly consider some land-use impacts. Furthermore, the established take-back program (wpdhyqtdnt) and high recyclability (wslsrdkqwj) contribute to circularity, which can indirectly lead to carbon removals by reducing demand for virgin materials and preventing disposal emissions. Future iterations of this PCF will seek to explicitly quantify LSR impacts as more specific data and guidance become available, especially if bio-based materials are integrated or if the take-back programs result in verifiable carbon sequestration projects.</w:t>
      </w:r>
    </w:p>
    <w:p>
      <w:r>
        <w:pict>
          <v:rect style="width:0;height:1.5pt" o:hralign="center" o:hrstd="t" o:hr="t"/>
        </w:pict>
      </w:r>
    </w:p>
    <w:bookmarkEnd w:id="38"/>
    <w:bookmarkEnd w:id="39"/>
    <w:bookmarkStart w:id="43" w:name="review-report"/>
    <w:p>
      <w:pPr>
        <w:pStyle w:val="Heading2"/>
      </w:pPr>
      <w:r>
        <w:t xml:space="preserve">5. Review &amp; Report</w:t>
      </w:r>
    </w:p>
    <w:p>
      <w:pPr>
        <w:pStyle w:val="FirstParagraph"/>
      </w:pPr>
      <w:r>
        <w:t xml:space="preserve">This section summarizes the key findings, identifies emission hotspots, and discusses the reliability of the data and future recommendations.</w:t>
      </w:r>
    </w:p>
    <w:bookmarkStart w:id="40" w:name="emission-hotspots"/>
    <w:p>
      <w:pPr>
        <w:pStyle w:val="Heading3"/>
      </w:pPr>
      <w:r>
        <w:t xml:space="preserve">5.1. Emission Hotspots</w:t>
      </w:r>
    </w:p>
    <w:p>
      <w:pPr>
        <w:pStyle w:val="FirstParagraph"/>
      </w:pPr>
      <w:r>
        <w:t xml:space="preserve">The analysis reveals the following significant emission hotspots for</w:t>
      </w:r>
      <w:r>
        <w:t xml:space="preserve"> </w:t>
      </w:r>
      <w:r>
        <w:rPr>
          <w:bCs/>
          <w:b/>
        </w:rPr>
        <w:t xml:space="preserve">zdnujqsewm</w:t>
      </w:r>
      <w:r>
        <w:t xml:space="preserve">:</w:t>
      </w:r>
    </w:p>
    <w:p>
      <w:pPr>
        <w:numPr>
          <w:ilvl w:val="0"/>
          <w:numId w:val="1014"/>
        </w:numPr>
        <w:pStyle w:val="Compact"/>
      </w:pPr>
      <w:r>
        <w:rPr>
          <w:bCs/>
          <w:b/>
        </w:rPr>
        <w:t xml:space="preserve">Use Phase (35.9%):</w:t>
      </w:r>
      <w:r>
        <w:t xml:space="preserve"> </w:t>
      </w:r>
      <w:r>
        <w:t xml:space="preserve">The energy consumed during the product\'s 5-year lifespan is the largest contributor to its overall carbon footprint, highlighting the importance of energy-efficient design and user behavior.</w:t>
      </w:r>
    </w:p>
    <w:p>
      <w:pPr>
        <w:numPr>
          <w:ilvl w:val="0"/>
          <w:numId w:val="1014"/>
        </w:numPr>
        <w:pStyle w:val="Compact"/>
      </w:pPr>
      <w:r>
        <w:rPr>
          <w:bCs/>
          <w:b/>
        </w:rPr>
        <w:t xml:space="preserve">Material Acquisition &amp; Pre-processing (29.2%):</w:t>
      </w:r>
      <w:r>
        <w:t xml:space="preserve"> </w:t>
      </w:r>
      <w:r>
        <w:t xml:space="preserve">Sourcing and production of raw materials, particularly the Lithium-ion Battery and Silicon Microchip, contribute significantly, indicating opportunities for sustainable material selection and supply chain engagement.</w:t>
      </w:r>
    </w:p>
    <w:p>
      <w:pPr>
        <w:numPr>
          <w:ilvl w:val="0"/>
          <w:numId w:val="1014"/>
        </w:numPr>
        <w:pStyle w:val="Compact"/>
      </w:pPr>
      <w:r>
        <w:rPr>
          <w:bCs/>
          <w:b/>
        </w:rPr>
        <w:t xml:space="preserve">Manufacturing (Production Energy) (25.7%):</w:t>
      </w:r>
      <w:r>
        <w:t xml:space="preserve"> </w:t>
      </w:r>
      <w:r>
        <w:t xml:space="preserve">Despite 70% renewable energy usage, the remaining grid electricity consumption in China accounts for a substantial portion. Further decarbonization of purchased electricity is crucial.</w:t>
      </w:r>
    </w:p>
    <w:p>
      <w:pPr>
        <w:numPr>
          <w:ilvl w:val="0"/>
          <w:numId w:val="1014"/>
        </w:numPr>
        <w:pStyle w:val="Compact"/>
      </w:pPr>
      <w:r>
        <w:rPr>
          <w:bCs/>
          <w:b/>
        </w:rPr>
        <w:t xml:space="preserve">Downstream Transport (24.4%):</w:t>
      </w:r>
      <w:r>
        <w:t xml:space="preserve"> </w:t>
      </w:r>
      <w:r>
        <w:t xml:space="preserve">Especially the last-mile delivery, due to its high per-km intensity, represents a notable hotspot. Optimizing logistics and promoting efficient last-mile solutions can reduce this impact.</w:t>
      </w:r>
    </w:p>
    <w:bookmarkEnd w:id="40"/>
    <w:bookmarkStart w:id="41" w:name="data-reliability-and-limitations"/>
    <w:p>
      <w:pPr>
        <w:pStyle w:val="Heading3"/>
      </w:pPr>
      <w:r>
        <w:t xml:space="preserve">5.2. Data Reliability and Limitations</w:t>
      </w:r>
    </w:p>
    <w:p>
      <w:pPr>
        <w:pStyle w:val="FirstParagraph"/>
      </w:pPr>
      <w:r>
        <w:t xml:space="preserve">The reliability of this PCF analysis is high due to the use of specific, provided parameters for BOM, energy, transport, use phase, and end-of-life. However, some limitations exist:</w:t>
      </w:r>
    </w:p>
    <w:p>
      <w:pPr>
        <w:numPr>
          <w:ilvl w:val="0"/>
          <w:numId w:val="1015"/>
        </w:numPr>
        <w:pStyle w:val="Compact"/>
      </w:pPr>
      <w:r>
        <w:rPr>
          <w:bCs/>
          <w:b/>
        </w:rPr>
        <w:t xml:space="preserve">Secondary Emission Factors:</w:t>
      </w:r>
      <w:r>
        <w:t xml:space="preserve"> </w:t>
      </w:r>
      <w:r>
        <w:t xml:space="preserve">While industry-standard (e.g., Ecoinvent/DEFRA proxies) emission factors are used for generic processes (e.g., transport, grid electricity), company-specific or primary data would further enhance accuracy. The 2026 GHG Protocol update on data disaggregation emphasizes moving towards primary data.</w:t>
      </w:r>
    </w:p>
    <w:p>
      <w:pPr>
        <w:numPr>
          <w:ilvl w:val="0"/>
          <w:numId w:val="1015"/>
        </w:numPr>
        <w:pStyle w:val="Compact"/>
      </w:pPr>
      <w:r>
        <w:rPr>
          <w:bCs/>
          <w:b/>
        </w:rPr>
        <w:t xml:space="preserve">LSR Standard Quantification:</w:t>
      </w:r>
      <w:r>
        <w:t xml:space="preserve"> </w:t>
      </w:r>
      <w:r>
        <w:t xml:space="preserve">Explicit quantification of Land Sector and Removals impacts requires specific land-use data related to material origins, which was beyond the scope of this generic product analysis. This report acknowledges the standard\'s relevance and integrates its principles where applicable.</w:t>
      </w:r>
    </w:p>
    <w:p>
      <w:pPr>
        <w:numPr>
          <w:ilvl w:val="0"/>
          <w:numId w:val="1015"/>
        </w:numPr>
        <w:pStyle w:val="Compact"/>
      </w:pPr>
      <w:r>
        <w:rPr>
          <w:bCs/>
          <w:b/>
        </w:rPr>
        <w:t xml:space="preserve">Scope 1 Emissions:</w:t>
      </w:r>
      <w:r>
        <w:t xml:space="preserve"> </w:t>
      </w:r>
      <w:r>
        <w:t xml:space="preserve">Direct combustion emissions (Scope 1) from manufacturing operations were assumed negligible or covered by purchased electricity emissions, which may not capture all on-site fuel use.</w:t>
      </w:r>
    </w:p>
    <w:p>
      <w:pPr>
        <w:numPr>
          <w:ilvl w:val="0"/>
          <w:numId w:val="1015"/>
        </w:numPr>
        <w:pStyle w:val="Compact"/>
      </w:pPr>
      <w:r>
        <w:rPr>
          <w:bCs/>
          <w:b/>
        </w:rPr>
        <w:t xml:space="preserve">Allocation:</w:t>
      </w:r>
      <w:r>
        <w:t xml:space="preserve"> </w:t>
      </w:r>
      <w:r>
        <w:t xml:space="preserve">While consistent, complex multi-product facilities or shared transport routes might benefit from more granular allocation methodologies.</w:t>
      </w:r>
    </w:p>
    <w:bookmarkEnd w:id="41"/>
    <w:bookmarkStart w:id="42" w:name="recommendations-for-decarbonization"/>
    <w:p>
      <w:pPr>
        <w:pStyle w:val="Heading3"/>
      </w:pPr>
      <w:r>
        <w:t xml:space="preserve">5.3. Recommendations for Decarbonization</w:t>
      </w:r>
    </w:p>
    <w:p>
      <w:pPr>
        <w:pStyle w:val="FirstParagraph"/>
      </w:pPr>
      <w:r>
        <w:t xml:space="preserve">Based on the hotspot analysis, the following recommendations are put forth for</w:t>
      </w:r>
      <w:r>
        <w:t xml:space="preserve"> </w:t>
      </w:r>
      <w:r>
        <w:rPr>
          <w:bCs/>
          <w:b/>
        </w:rPr>
        <w:t xml:space="preserve">eomfhhxoed</w:t>
      </w:r>
      <w:r>
        <w:t xml:space="preserve"> </w:t>
      </w:r>
      <w:r>
        <w:t xml:space="preserve">to reduce the carbon footprint of</w:t>
      </w:r>
      <w:r>
        <w:t xml:space="preserve"> </w:t>
      </w:r>
      <w:r>
        <w:rPr>
          <w:bCs/>
          <w:b/>
        </w:rPr>
        <w:t xml:space="preserve">zdnujqsewm</w:t>
      </w:r>
      <w:r>
        <w:t xml:space="preserve">:</w:t>
      </w:r>
    </w:p>
    <w:p>
      <w:pPr>
        <w:numPr>
          <w:ilvl w:val="0"/>
          <w:numId w:val="1016"/>
        </w:numPr>
        <w:pStyle w:val="Compact"/>
      </w:pPr>
      <w:r>
        <w:rPr>
          <w:bCs/>
          <w:b/>
        </w:rPr>
        <w:t xml:space="preserve">Enhance Use Phase Efficiency:</w:t>
      </w:r>
      <w:r>
        <w:t xml:space="preserve"> </w:t>
      </w:r>
      <w:r>
        <w:t xml:space="preserve">Invest in R&amp;D to further improve the energy efficiency of zdnujqsewm during its operational life. Explore low-power modes, extend lifespan beyond 5 years (which aligns with GHG Protocol\'s stock-based accounting shift), and educate users on efficient usage.</w:t>
      </w:r>
    </w:p>
    <w:p>
      <w:pPr>
        <w:numPr>
          <w:ilvl w:val="0"/>
          <w:numId w:val="1016"/>
        </w:numPr>
        <w:pStyle w:val="Compact"/>
      </w:pPr>
      <w:r>
        <w:rPr>
          <w:bCs/>
          <w:b/>
        </w:rPr>
        <w:t xml:space="preserve">Optimize Material Sourcing:</w:t>
      </w:r>
      <w:r>
        <w:t xml:space="preserve"> </w:t>
      </w:r>
      <w:r>
        <w:t xml:space="preserve">Collaborate with suppliers to identify and procure lower-carbon materials, increase the content of recycled materials (beyond current recycled aluminum), and investigate primary data for material-specific emission factors. Focus on high-impact components like batteries and microchips.</w:t>
      </w:r>
    </w:p>
    <w:p>
      <w:pPr>
        <w:numPr>
          <w:ilvl w:val="0"/>
          <w:numId w:val="1016"/>
        </w:numPr>
        <w:pStyle w:val="Compact"/>
      </w:pPr>
      <w:r>
        <w:rPr>
          <w:bCs/>
          <w:b/>
        </w:rPr>
        <w:t xml:space="preserve">Deepen Renewable Energy Integration:</w:t>
      </w:r>
      <w:r>
        <w:t xml:space="preserve"> </w:t>
      </w:r>
      <w:r>
        <w:t xml:space="preserve">Continue to increase the share of renewable electricity at manufacturing facilities, aiming for 100%. Explore Power Purchase Agreements (PPAs) or on-site renewable energy generation.</w:t>
      </w:r>
    </w:p>
    <w:p>
      <w:pPr>
        <w:numPr>
          <w:ilvl w:val="0"/>
          <w:numId w:val="1016"/>
        </w:numPr>
        <w:pStyle w:val="Compact"/>
      </w:pPr>
      <w:r>
        <w:rPr>
          <w:bCs/>
          <w:b/>
        </w:rPr>
        <w:t xml:space="preserve">Streamline Logistics:</w:t>
      </w:r>
      <w:r>
        <w:t xml:space="preserve"> </w:t>
      </w:r>
      <w:r>
        <w:t xml:space="preserve">Optimize transport routes, explore lower-emission transport modes (e.g., rail or sea for long distances where feasible), and collaborate with logistics providers to improve vehicle efficiency for both primary distribution and last-mile delivery.</w:t>
      </w:r>
    </w:p>
    <w:p>
      <w:pPr>
        <w:numPr>
          <w:ilvl w:val="0"/>
          <w:numId w:val="1016"/>
        </w:numPr>
        <w:pStyle w:val="Compact"/>
      </w:pPr>
      <w:r>
        <w:rPr>
          <w:bCs/>
          <w:b/>
        </w:rPr>
        <w:t xml:space="preserve">Strengthen Circular Economy Initiatives:</w:t>
      </w:r>
      <w:r>
        <w:t xml:space="preserve"> </w:t>
      </w:r>
      <w:r>
        <w:t xml:space="preserve">Leverage the established take-back program to maximize material recovery and explore opportunities for repair, refurbishment, and remanufacturing to extend product lifecycles and reduce the need for new production.</w:t>
      </w:r>
    </w:p>
    <w:p>
      <w:pPr>
        <w:pStyle w:val="FirstParagraph"/>
      </w:pPr>
      <w:r>
        <w:t xml:space="preserve">Confidential - Internal Use Only.</w:t>
      </w:r>
    </w:p>
    <w:p>
      <w:pPr>
        <w:pStyle w:val="BodyText"/>
      </w:pPr>
      <w:r>
        <w:t xml:space="preserve">Page</w:t>
      </w:r>
      <w:r>
        <w:t xml:space="preserve"> </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zdnujqsewm</dc:title>
  <dc:creator/>
  <dc:description>High-detail Product Carbon Footprint (PCF) analysis for product zdnujqsewm, following GHG Protocol standards and 2026 updates, performed by Senior Sustainability Consultant gqppmvysrp for company eomfhhxoed.</dc:description>
  <dc:language>en</dc:language>
  <cp:keywords/>
  <dcterms:created xsi:type="dcterms:W3CDTF">2026-07-15T05:19:49Z</dcterms:created>
  <dcterms:modified xsi:type="dcterms:W3CDTF">2026-07-15T05:19:49Z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