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yznioqthyx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yznioqthyx"/>
    <w:p>
      <w:pPr>
        <w:pStyle w:val="Heading2"/>
      </w:pPr>
      <w:r>
        <w:t xml:space="preserve">Product: yznioqthyx</w:t>
      </w:r>
    </w:p>
    <w:p>
      <w:pPr>
        <w:pStyle w:val="FirstParagraph"/>
      </w:pPr>
      <w:r>
        <w:rPr>
          <w:bCs/>
          <w:b/>
        </w:rPr>
        <w:t xml:space="preserve">Company Name:</w:t>
      </w:r>
      <w:r>
        <w:t xml:space="preserve"> </w:t>
      </w:r>
      <w:r>
        <w:t xml:space="preserve">sihhgellpm</w:t>
      </w:r>
    </w:p>
    <w:p>
      <w:pPr>
        <w:pStyle w:val="BodyText"/>
      </w:pPr>
      <w:r>
        <w:rPr>
          <w:bCs/>
          <w:b/>
        </w:rPr>
        <w:t xml:space="preserve">Senior Sustainability Consultant:</w:t>
      </w:r>
      <w:r>
        <w:t xml:space="preserve"> </w:t>
      </w:r>
      <w:r>
        <w:t xml:space="preserve">ieethuqywj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numerical inputs for certain parameters were provided as placeholders and illustrative values have been used for calculation demonstrations where necessary.</w:t>
      </w:r>
    </w:p>
    <w:bookmarkEnd w:id="20"/>
    <w:bookmarkEnd w:id="21"/>
    <w:bookmarkStart w:id="22" w:name="Xad0094adb9b9641cc9c14524634591bda5748d8"/>
    <w:p>
      <w:pPr>
        <w:pStyle w:val="Heading1"/>
      </w:pPr>
      <w:r>
        <w:t xml:space="preserve">Product Carbon Footprint Analysis Report for yznioqthyx</w:t>
      </w:r>
    </w:p>
    <w:p>
      <w:pPr>
        <w:pStyle w:val="FirstParagraph"/>
      </w:pPr>
      <w:r>
        <w:t xml:space="preserve">Generated Date: May 16,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\'yznioqthyx\', manufactured by \'sihhgellpm\'. As \'ieethuqywj\', a Senior Sustainability Consultant specializing in the GHG Protocol, this analysis quantifies the greenhouse gas (GHG) emissions across the product\'s lifecycle. The assessment adheres to the GHG Protocol Product Standard and incorporates the latest 2026 updates, including considerations for the Land Sector and Removals (LSR) Standard and stringent Scope 3 coverage requirements. The aim is to identify major emission hotspots and provide actionable insights for \'sihhgellpm\' to enhance the environmental performance of \'yznioqthyx\'.</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the PCF analysis establishes the boundaries and specific parameters for the assessment, ensuring a clear and consistent framework for quantification.</w:t>
      </w:r>
    </w:p>
    <w:p>
      <w:pPr>
        <w:numPr>
          <w:ilvl w:val="0"/>
          <w:numId w:val="1001"/>
        </w:numPr>
        <w:pStyle w:val="Compact"/>
      </w:pPr>
      <w:r>
        <w:rPr>
          <w:bCs/>
          <w:b/>
        </w:rPr>
        <w:t xml:space="preserve">Functional Unit:</w:t>
      </w:r>
      <w:r>
        <w:t xml:space="preserve"> </w:t>
      </w:r>
      <w:r>
        <w:t xml:space="preserve">The functional unit for this study is defined as 1.0 unit of \'yznioqthyx\'.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While the primary focus for operational details within \'sihhgellpm\' is often at the \'factory_gate\', a comprehensive Product Carbon Footprint (PCF) requires a broader perspective. Therefore, this analysis extends to a \'cradle-to-grave\' approach, encompassing raw material acquisition, manufacturing, transportation, the use phase, and end-of-life treatment. This expanded boundary allows for a holistic understanding of all significant GHG impacts associated with \'yznioqthyx\' as per the GHG Protocol Product Standard.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downstream distribution for some components/markets)</w:t>
      </w:r>
    </w:p>
    <w:p>
      <w:pPr>
        <w:numPr>
          <w:ilvl w:val="0"/>
          <w:numId w:val="1001"/>
        </w:numPr>
        <w:pStyle w:val="Compact"/>
      </w:pPr>
      <w:r>
        <w:rPr>
          <w:bCs/>
          <w:b/>
        </w:rPr>
        <w:t xml:space="preserve">Accounting Standard:</w:t>
      </w:r>
      <w:r>
        <w:t xml:space="preserve"> </w:t>
      </w:r>
      <w:r>
        <w:t xml:space="preserve">The assessment strictly adheres to the Greenhouse Gas Protocol (GHG Protocol) Product Life Cycle Accounting and Reporting Standard. This standard provides a globally consistent approach to measure and manage product emissions.</w:t>
      </w:r>
    </w:p>
    <w:p>
      <w:pPr>
        <w:numPr>
          <w:ilvl w:val="0"/>
          <w:numId w:val="1001"/>
        </w:numPr>
        <w:pStyle w:val="Compact"/>
      </w:pPr>
      <w:r>
        <w:rPr>
          <w:bCs/>
          <w:b/>
        </w:rPr>
        <w:t xml:space="preserve">Allocation:</w:t>
      </w:r>
      <w:r>
        <w:t xml:space="preserve"> </w:t>
      </w:r>
      <w:r>
        <w:t xml:space="preserve">For multi-product systems or co-products, emissions are allocated based on relevant physical relationships (e.g., mass) or economic value where appropriate. For \'yznioqthyx\', a direct allocation to the functional unit is applied based on the provided Bill of Materials and activity data.</w:t>
      </w:r>
    </w:p>
    <w:p>
      <w:r>
        <w:pict>
          <v:rect style="width:0;height:1.5pt" o:hralign="center" o:hrstd="t" o:hr="t"/>
        </w:pict>
      </w:r>
    </w:p>
    <w:bookmarkEnd w:id="24"/>
    <w:bookmarkStart w:id="31" w:name="map-lifecycle-3.-collect-data"/>
    <w:p>
      <w:pPr>
        <w:pStyle w:val="Heading2"/>
      </w:pPr>
      <w:r>
        <w:t xml:space="preserve">2. Map Lifecycle &amp; 3. Collect Data</w:t>
      </w:r>
    </w:p>
    <w:p>
      <w:pPr>
        <w:pStyle w:val="FirstParagraph"/>
      </w:pPr>
      <w:r>
        <w:t xml:space="preserve">This section details the product\'s lifecycle stages and the primary and secondary data collected for each. The data collected forms the basis for emission calculations.</w:t>
      </w:r>
    </w:p>
    <w:bookmarkStart w:id="26" w:name="Xb32032ec2850ea4bf4069c6844d4202cd0a4ea3"/>
    <w:p>
      <w:pPr>
        <w:pStyle w:val="Heading3"/>
      </w:pPr>
      <w:r>
        <w:t xml:space="preserve">Detailed Bill of Materials (BOM) for yznioqthyx</w:t>
      </w:r>
    </w:p>
    <w:p>
      <w:pPr>
        <w:pStyle w:val="FirstParagraph"/>
      </w:pPr>
      <w:r>
        <w:t xml:space="preserve">The following is the provided Detailed Bill of Materials (BOM) data, which is crucial for high-accuracy material impact calculation. Due to the placeholder nature of the input string "rkvkglmw", an illustrative breakdown is presented in the table below, demonstrating how such detailed data is integrated into the analysis. For actual calculations, precise numerical data for each field would be parsed and utilized.</w:t>
      </w:r>
    </w:p>
    <w:p>
      <w:pPr>
        <w:pStyle w:val="BodyText"/>
      </w:pPr>
      <w:r>
        <w:rPr>
          <w:bCs/>
          <w:b/>
        </w:rPr>
        <w:t xml:space="preserve">Provided BOM Data String:</w:t>
      </w:r>
      <w:r>
        <w:t xml:space="preserve"> </w:t>
      </w:r>
      <w:r>
        <w:rPr>
          <w:rStyle w:val="VerbatimChar"/>
        </w:rPr>
        <w:t xml:space="preserve">rkvkglmw</w:t>
      </w:r>
    </w:p>
    <w:bookmarkStart w:id="25" w:name="X2f6e0cbba0024e6def8b741237ae4b7be1ca129"/>
    <w:p>
      <w:pPr>
        <w:pStyle w:val="Heading4"/>
      </w:pPr>
      <w:r>
        <w:t xml:space="preserve">Illustrative Bill of Materials (BOM) Breakdown</w:t>
      </w:r>
    </w:p>
    <w:p>
      <w:pPr>
        <w:pStyle w:val="FirstParagraph"/>
      </w:pPr>
      <w:r>
        <w:t xml:space="preserve">For demonstration purposes, the following table presents a hypothetical interpretation of the detailed BOM data, including illustrative emission factors and total carbon impact for each component, as would be processed from a structured input.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5"/>
    <w:bookmarkEnd w:id="26"/>
    <w:bookmarkStart w:id="27" w:name="energy-inputs-for-production"/>
    <w:p>
      <w:pPr>
        <w:pStyle w:val="Heading3"/>
      </w:pPr>
      <w:r>
        <w:t xml:space="preserve">Energy Inputs for Production</w:t>
      </w:r>
    </w:p>
    <w:p>
      <w:pPr>
        <w:pStyle w:val="FirstParagraph"/>
      </w:pPr>
      <w:r>
        <w:t xml:space="preserve">The energy consumed during the manufacturing phase at the production facility is a significant contributor to the product\'s footprint.</w:t>
      </w:r>
    </w:p>
    <w:p>
      <w:pPr>
        <w:numPr>
          <w:ilvl w:val="0"/>
          <w:numId w:val="1003"/>
        </w:numPr>
        <w:pStyle w:val="Compact"/>
      </w:pPr>
      <w:r>
        <w:rPr>
          <w:bCs/>
          <w:b/>
        </w:rPr>
        <w:t xml:space="preserve">Renewable Energy Usage:</w:t>
      </w:r>
      <w:r>
        <w:t xml:space="preserve"> </w:t>
      </w:r>
      <w:r>
        <w:t xml:space="preserve">`nvdhqqnqwm` (Illustrative: 50% renewable electricity mix for production)</w:t>
      </w:r>
    </w:p>
    <w:p>
      <w:pPr>
        <w:numPr>
          <w:ilvl w:val="0"/>
          <w:numId w:val="1003"/>
        </w:numPr>
        <w:pStyle w:val="Compact"/>
      </w:pPr>
      <w:r>
        <w:rPr>
          <w:bCs/>
          <w:b/>
        </w:rPr>
        <w:t xml:space="preserve">Energy Intensity (kWh/unit):</w:t>
      </w:r>
      <w:r>
        <w:t xml:space="preserve"> </w:t>
      </w:r>
      <w:r>
        <w:t xml:space="preserve">`hxnyghhjjw` (Illustrative: 10 kWh per unit of yznioqthyx)</w:t>
      </w:r>
    </w:p>
    <w:bookmarkEnd w:id="27"/>
    <w:bookmarkStart w:id="28" w:name="logistics-data-transport"/>
    <w:p>
      <w:pPr>
        <w:pStyle w:val="Heading3"/>
      </w:pPr>
      <w:r>
        <w:t xml:space="preserve">Logistics Data (Transport)</w:t>
      </w:r>
    </w:p>
    <w:p>
      <w:pPr>
        <w:pStyle w:val="FirstParagraph"/>
      </w:pPr>
      <w:r>
        <w:t xml:space="preserve">Transportation emissions are accounted for both upstream (raw materials) and downstream (finished product distribution).</w:t>
      </w:r>
    </w:p>
    <w:p>
      <w:pPr>
        <w:numPr>
          <w:ilvl w:val="0"/>
          <w:numId w:val="1004"/>
        </w:numPr>
        <w:pStyle w:val="Compact"/>
      </w:pPr>
      <w:r>
        <w:rPr>
          <w:bCs/>
          <w:b/>
        </w:rPr>
        <w:t xml:space="preserve">Primary Upstream Transport Mode (Illustrative):</w:t>
      </w:r>
      <w:r>
        <w:t xml:space="preserve"> </w:t>
      </w:r>
      <w:r>
        <w:t xml:space="preserve">Ocean Freight (for materials from Europe to China production)</w:t>
      </w:r>
    </w:p>
    <w:p>
      <w:pPr>
        <w:numPr>
          <w:ilvl w:val="0"/>
          <w:numId w:val="1004"/>
        </w:numPr>
        <w:pStyle w:val="Compact"/>
      </w:pPr>
      <w:r>
        <w:rPr>
          <w:bCs/>
          <w:b/>
        </w:rPr>
        <w:t xml:space="preserve">Downstream Transport Mode (Illustrative):</w:t>
      </w:r>
      <w:r>
        <w:t xml:space="preserve"> </w:t>
      </w:r>
      <w:r>
        <w:t xml:space="preserve">Road Freight (from China to European distribution hubs)</w:t>
      </w:r>
    </w:p>
    <w:p>
      <w:pPr>
        <w:numPr>
          <w:ilvl w:val="0"/>
          <w:numId w:val="1004"/>
        </w:numPr>
        <w:pStyle w:val="Compact"/>
      </w:pPr>
      <w:r>
        <w:rPr>
          <w:bCs/>
          <w:b/>
        </w:rPr>
        <w:t xml:space="preserve">Last-Mile Delivery Channel (Illustrative):</w:t>
      </w:r>
      <w:r>
        <w:t xml:space="preserve"> </w:t>
      </w:r>
      <w:r>
        <w:t xml:space="preserve">Parcel Courier (within Europe)</w:t>
      </w:r>
    </w:p>
    <w:p>
      <w:pPr>
        <w:numPr>
          <w:ilvl w:val="0"/>
          <w:numId w:val="1004"/>
        </w:numPr>
        <w:pStyle w:val="Compact"/>
      </w:pPr>
      <w:r>
        <w:rPr>
          <w:bCs/>
          <w:b/>
        </w:rPr>
        <w:t xml:space="preserve">Transport Distance (Illustrative):</w:t>
      </w:r>
      <w:r>
        <w:t xml:space="preserve"> </w:t>
      </w:r>
      <w:r>
        <w:t xml:space="preserve">`fuqtdmhdmm` (Upstream Ocean: 10,000 km; Downstream Road: 500 km; Last-Mile: 100 km average per parcel)</w:t>
      </w:r>
    </w:p>
    <w:bookmarkEnd w:id="28"/>
    <w:bookmarkStart w:id="29" w:name="use-phase-parameters"/>
    <w:p>
      <w:pPr>
        <w:pStyle w:val="Heading3"/>
      </w:pPr>
      <w:r>
        <w:t xml:space="preserve">Use Phase Parameters</w:t>
      </w:r>
    </w:p>
    <w:p>
      <w:pPr>
        <w:pStyle w:val="FirstParagraph"/>
      </w:pPr>
      <w:r>
        <w:t xml:space="preserve">Emissions occurring during the product\'s active use by the consumer.</w:t>
      </w:r>
    </w:p>
    <w:p>
      <w:pPr>
        <w:numPr>
          <w:ilvl w:val="0"/>
          <w:numId w:val="1005"/>
        </w:numPr>
        <w:pStyle w:val="Compact"/>
      </w:pPr>
      <w:r>
        <w:rPr>
          <w:bCs/>
          <w:b/>
        </w:rPr>
        <w:t xml:space="preserve">Product Lifespan:</w:t>
      </w:r>
      <w:r>
        <w:t xml:space="preserve"> </w:t>
      </w:r>
      <w:r>
        <w:t xml:space="preserve">`mxikowmulh` (Illustrative: 5 years)</w:t>
      </w:r>
    </w:p>
    <w:p>
      <w:pPr>
        <w:numPr>
          <w:ilvl w:val="0"/>
          <w:numId w:val="1005"/>
        </w:numPr>
        <w:pStyle w:val="Compact"/>
      </w:pPr>
      <w:r>
        <w:rPr>
          <w:bCs/>
          <w:b/>
        </w:rPr>
        <w:t xml:space="preserve">Energy Consumption in Use:</w:t>
      </w:r>
      <w:r>
        <w:t xml:space="preserve"> </w:t>
      </w:r>
      <w:r>
        <w:t xml:space="preserve">`vriiwdzjpf` (Illustrative: 5 kWh/year of electricity)</w:t>
      </w:r>
    </w:p>
    <w:bookmarkEnd w:id="29"/>
    <w:bookmarkStart w:id="30" w:name="end-of-life-eol-scenarios"/>
    <w:p>
      <w:pPr>
        <w:pStyle w:val="Heading3"/>
      </w:pPr>
      <w:r>
        <w:t xml:space="preserve">End-of-Life (EoL) Scenarios</w:t>
      </w:r>
    </w:p>
    <w:p>
      <w:pPr>
        <w:pStyle w:val="FirstParagraph"/>
      </w:pPr>
      <w:r>
        <w:t xml:space="preserve">The fate of the product at the end of its useful life impacts its overall footprint.</w:t>
      </w:r>
    </w:p>
    <w:p>
      <w:pPr>
        <w:numPr>
          <w:ilvl w:val="0"/>
          <w:numId w:val="1006"/>
        </w:numPr>
        <w:pStyle w:val="Compact"/>
      </w:pPr>
      <w:r>
        <w:rPr>
          <w:bCs/>
          <w:b/>
        </w:rPr>
        <w:t xml:space="preserve">Recyclability Percentage:</w:t>
      </w:r>
      <w:r>
        <w:t xml:space="preserve"> </w:t>
      </w:r>
      <w:r>
        <w:t xml:space="preserve">`fouezfjlej` (Illustrative: 70% of material mass is recycled)</w:t>
      </w:r>
    </w:p>
    <w:p>
      <w:pPr>
        <w:numPr>
          <w:ilvl w:val="0"/>
          <w:numId w:val="1006"/>
        </w:numPr>
        <w:pStyle w:val="Compact"/>
      </w:pPr>
      <w:r>
        <w:rPr>
          <w:bCs/>
          <w:b/>
        </w:rPr>
        <w:t xml:space="preserve">Circular/Take-back Programs:</w:t>
      </w:r>
      <w:r>
        <w:t xml:space="preserve"> </w:t>
      </w:r>
      <w:r>
        <w:t xml:space="preserve">`oswofkuuse` (Illustrative: Yes, via established take-back scheme with 20% material recovery for specific components)</w:t>
      </w:r>
    </w:p>
    <w:p>
      <w:r>
        <w:pict>
          <v:rect style="width:0;height:1.5pt" o:hralign="center" o:hrstd="t" o:hr="t"/>
        </w:pict>
      </w:r>
    </w:p>
    <w:bookmarkEnd w:id="30"/>
    <w:bookmarkEnd w:id="31"/>
    <w:bookmarkStart w:id="41" w:name="calculate-emissions"/>
    <w:p>
      <w:pPr>
        <w:pStyle w:val="Heading2"/>
      </w:pPr>
      <w:r>
        <w:t xml:space="preserve">4. Calculate Emissions</w:t>
      </w:r>
    </w:p>
    <w:p>
      <w:pPr>
        <w:pStyle w:val="FirstParagraph"/>
      </w:pPr>
      <w:r>
        <w:t xml:space="preserve">Emissions are calculated by multiplying activity data by appropriate emission factors (Activity Data × Emission Factor = CO2e). Industry-standard emission factors are used from sources like Ecoinvent and DEFRA for general activities, while specific emission factors are directly taken from the provided BOM for materials. All emissions are categorized according to the GHG Protocol Scopes.</w:t>
      </w:r>
    </w:p>
    <w:bookmarkStart w:id="37" w:name="ghg-protocol-scopes-categorization"/>
    <w:p>
      <w:pPr>
        <w:pStyle w:val="Heading3"/>
      </w:pPr>
      <w:r>
        <w:t xml:space="preserve">GHG Protocol Scopes Categorization</w:t>
      </w:r>
    </w:p>
    <w:p>
      <w:pPr>
        <w:pStyle w:val="FirstParagraph"/>
      </w:pPr>
      <w:r>
        <w:t xml:space="preserve">The GHG Protocol classifies emissions into three scopes: Scope 1 (direct emissions), Scope 2 (indirect emissions from purchased energy), and Scope 3 (all other indirect emissions in the value chain).</w:t>
      </w:r>
    </w:p>
    <w:bookmarkStart w:id="32" w:name="scope-1-emissions-direct-emissions"/>
    <w:p>
      <w:pPr>
        <w:pStyle w:val="Heading4"/>
      </w:pPr>
      <w:r>
        <w:t xml:space="preserve">Scope 1 Emissions (Direct Emissions)</w:t>
      </w:r>
    </w:p>
    <w:p>
      <w:pPr>
        <w:pStyle w:val="FirstParagraph"/>
      </w:pPr>
      <w:r>
        <w:t xml:space="preserve">Scope 1 covers direct GHG emissions from sources owned or controlled by \'sihhgellpm\'. For a product PCF, this would typically involve direct fuel combustion during manufacturing processes not covered by purchased energy. Given the focus on "factory_gate" as a primary boundary and the lack of specific direct fuel consumption data for product \'yznioqthyx\', we assume negligible direct operational emissions at the product level for this analysis, or that these are covered in upstream Scope 3 emissions from suppliers.</w:t>
      </w:r>
    </w:p>
    <w:bookmarkEnd w:id="32"/>
    <w:bookmarkStart w:id="33" w:name="scope-2-emissions-purchased-energy"/>
    <w:p>
      <w:pPr>
        <w:pStyle w:val="Heading4"/>
      </w:pPr>
      <w:r>
        <w:t xml:space="preserve">Scope 2 Emissions (Purchased Energy)</w:t>
      </w:r>
    </w:p>
    <w:p>
      <w:pPr>
        <w:pStyle w:val="FirstParagraph"/>
      </w:pPr>
      <w:r>
        <w:t xml:space="preserve">Scope 2 emissions are indirect GHGs from the generation of purchased electricity, heat, or steam. For \'yznioqthyx\', these emissions arise from the electricity consumed during its production.</w:t>
      </w:r>
    </w:p>
    <w:p>
      <w:pPr>
        <w:numPr>
          <w:ilvl w:val="0"/>
          <w:numId w:val="1007"/>
        </w:numPr>
        <w:pStyle w:val="Compact"/>
      </w:pPr>
      <w:r>
        <w:rPr>
          <w:bCs/>
          <w:b/>
        </w:rPr>
        <w:t xml:space="preserve">Energy Intensity (hxnyghhjjw):</w:t>
      </w:r>
      <w:r>
        <w:t xml:space="preserve"> </w:t>
      </w:r>
      <w:r>
        <w:t xml:space="preserve">10 kWh/unit (Illustrative)</w:t>
      </w:r>
    </w:p>
    <w:p>
      <w:pPr>
        <w:numPr>
          <w:ilvl w:val="0"/>
          <w:numId w:val="1007"/>
        </w:numPr>
        <w:pStyle w:val="Compact"/>
      </w:pPr>
      <w:r>
        <w:rPr>
          <w:bCs/>
          <w:b/>
        </w:rPr>
        <w:t xml:space="preserve">Renewable Energy Usage (nvdhqqnqwm):</w:t>
      </w:r>
      <w:r>
        <w:t xml:space="preserve"> </w:t>
      </w:r>
      <w:r>
        <w:t xml:space="preserve">50% (Illustrative)</w:t>
      </w:r>
    </w:p>
    <w:p>
      <w:pPr>
        <w:numPr>
          <w:ilvl w:val="0"/>
          <w:numId w:val="1007"/>
        </w:numPr>
        <w:pStyle w:val="Compact"/>
      </w:pPr>
      <w:r>
        <w:rPr>
          <w:bCs/>
          <w:b/>
        </w:rPr>
        <w:t xml:space="preserve">Illustrative Grid Emission Factor (China):</w:t>
      </w:r>
      <w:r>
        <w:t xml:space="preserve"> </w:t>
      </w:r>
      <w:r>
        <w:t xml:space="preserve">0.6 kg CO2e/kWh (for non-renewable portion)</w:t>
      </w:r>
    </w:p>
    <w:p>
      <w:pPr>
        <w:numPr>
          <w:ilvl w:val="0"/>
          <w:numId w:val="1007"/>
        </w:numPr>
        <w:pStyle w:val="Compact"/>
      </w:pPr>
      <w:r>
        <w:rPr>
          <w:bCs/>
          <w:b/>
        </w:rPr>
        <w:t xml:space="preserve">Illustrative Renewable Energy Emission Factor:</w:t>
      </w:r>
      <w:r>
        <w:t xml:space="preserve"> </w:t>
      </w:r>
      <w:r>
        <w:t xml:space="preserve">0.0 kg CO2e/kWh</w:t>
      </w:r>
    </w:p>
    <w:p>
      <w:pPr>
        <w:numPr>
          <w:ilvl w:val="0"/>
          <w:numId w:val="1007"/>
        </w:numPr>
        <w:pStyle w:val="Compact"/>
      </w:pPr>
      <w:r>
        <w:rPr>
          <w:bCs/>
          <w:b/>
        </w:rPr>
        <w:t xml:space="preserve">Calculation:</w:t>
      </w:r>
      <w:r>
        <w:t xml:space="preserve"> </w:t>
      </w:r>
      <w:r>
        <w:t xml:space="preserve">(10 kWh/unit * (1 - 0.50)) * 0.6 kg CO2e/kWh = 3.0 kg CO2e/unit</w:t>
      </w:r>
    </w:p>
    <w:p>
      <w:pPr>
        <w:numPr>
          <w:ilvl w:val="0"/>
          <w:numId w:val="1007"/>
        </w:numPr>
        <w:pStyle w:val="Compact"/>
      </w:pPr>
      <w:r>
        <w:rPr>
          <w:bCs/>
          <w:b/>
        </w:rPr>
        <w:t xml:space="preserve">Total Scope 2 Emissions:</w:t>
      </w:r>
      <w:r>
        <w:t xml:space="preserve"> </w:t>
      </w:r>
      <w:r>
        <w:t xml:space="preserve">3.0 kg CO2e/unit</w:t>
      </w:r>
    </w:p>
    <w:bookmarkEnd w:id="33"/>
    <w:bookmarkStart w:id="36" w:name="scope-3-emissions-value-chain"/>
    <w:p>
      <w:pPr>
        <w:pStyle w:val="Heading4"/>
      </w:pPr>
      <w:r>
        <w:t xml:space="preserve">Scope 3 Emissions (Value Chain)</w:t>
      </w:r>
    </w:p>
    <w:p>
      <w:pPr>
        <w:pStyle w:val="FirstParagraph"/>
      </w:pPr>
      <w:r>
        <w:t xml:space="preserve">Scope 3 encompasses all other indirect emissions that occur in the value chain, both upstream and downstream. This is typically the largest source of emissions for a company.</w:t>
      </w:r>
    </w:p>
    <w:bookmarkStart w:id="34" w:name="upstream-scope-3-emissions"/>
    <w:p>
      <w:pPr>
        <w:pStyle w:val="Heading5"/>
      </w:pPr>
      <w:r>
        <w:t xml:space="preserve">Upstream Scope 3 Emissions</w:t>
      </w:r>
    </w:p>
    <w:p>
      <w:pPr>
        <w:numPr>
          <w:ilvl w:val="0"/>
          <w:numId w:val="1008"/>
        </w:numPr>
      </w:pPr>
      <w:r>
        <w:rPr>
          <w:bCs/>
          <w:b/>
        </w:rPr>
        <w:t xml:space="preserve">Category 1: Purchased Goods and Services (Materials from BOM):</w:t>
      </w:r>
    </w:p>
    <w:p>
      <w:pPr>
        <w:numPr>
          <w:ilvl w:val="0"/>
          <w:numId w:val="1000"/>
        </w:numPr>
      </w:pPr>
      <w:r>
        <w:t xml:space="preserve">Calculated directly from the \'Total Carbon\' column of the illustrative BOM, which already includes material extraction and processing emissions.</w:t>
      </w:r>
    </w:p>
    <w:p>
      <w:pPr>
        <w:numPr>
          <w:ilvl w:val="1"/>
          <w:numId w:val="1009"/>
        </w:numPr>
        <w:pStyle w:val="Compact"/>
      </w:pPr>
      <w:r>
        <w:t xml:space="preserve">Plastic Casing: 1.25 kg CO2e</w:t>
      </w:r>
    </w:p>
    <w:p>
      <w:pPr>
        <w:numPr>
          <w:ilvl w:val="1"/>
          <w:numId w:val="1009"/>
        </w:numPr>
        <w:pStyle w:val="Compact"/>
      </w:pPr>
      <w:r>
        <w:t xml:space="preserve">Copper Wire: 0.80 kg CO2e</w:t>
      </w:r>
    </w:p>
    <w:p>
      <w:pPr>
        <w:numPr>
          <w:ilvl w:val="1"/>
          <w:numId w:val="1009"/>
        </w:numPr>
        <w:pStyle w:val="Compact"/>
      </w:pPr>
      <w:r>
        <w:t xml:space="preserve">Circuit Board: 1.50 kg CO2e</w:t>
      </w:r>
    </w:p>
    <w:p>
      <w:pPr>
        <w:numPr>
          <w:ilvl w:val="1"/>
          <w:numId w:val="1009"/>
        </w:numPr>
        <w:pStyle w:val="Compact"/>
      </w:pPr>
      <w:r>
        <w:t xml:space="preserve">Packaging (Cardboard): 0.16 kg CO2e</w:t>
      </w:r>
    </w:p>
    <w:p>
      <w:pPr>
        <w:numPr>
          <w:ilvl w:val="1"/>
          <w:numId w:val="1009"/>
        </w:numPr>
        <w:pStyle w:val="Compact"/>
      </w:pPr>
      <w:r>
        <w:rPr>
          <w:bCs/>
          <w:b/>
        </w:rPr>
        <w:t xml:space="preserve">Subtotal Materials:</w:t>
      </w:r>
      <w:r>
        <w:t xml:space="preserve"> </w:t>
      </w:r>
      <w:r>
        <w:t xml:space="preserve">3.71 kg CO2e</w:t>
      </w:r>
    </w:p>
    <w:p>
      <w:pPr>
        <w:numPr>
          <w:ilvl w:val="0"/>
          <w:numId w:val="1008"/>
        </w:numPr>
      </w:pPr>
      <w:r>
        <w:rPr>
          <w:bCs/>
          <w:b/>
        </w:rPr>
        <w:t xml:space="preserve">Category 4: Upstream Transportation and Distribution (Raw Material Transport):</w:t>
      </w:r>
    </w:p>
    <w:p>
      <w:pPr>
        <w:numPr>
          <w:ilvl w:val="0"/>
          <w:numId w:val="1000"/>
        </w:numPr>
      </w:pPr>
      <w:r>
        <w:t xml:space="preserve">Illustrative calculation for 1 kg of materials (total product mass assumed for transport calculation) transported via ocean freight.</w:t>
      </w:r>
    </w:p>
    <w:p>
      <w:pPr>
        <w:numPr>
          <w:ilvl w:val="1"/>
          <w:numId w:val="1010"/>
        </w:numPr>
        <w:pStyle w:val="Compact"/>
      </w:pPr>
      <w:r>
        <w:rPr>
          <w:bCs/>
          <w:b/>
        </w:rPr>
        <w:t xml:space="preserve">Illustrative Transport Mode:</w:t>
      </w:r>
      <w:r>
        <w:t xml:space="preserve"> </w:t>
      </w:r>
      <w:r>
        <w:t xml:space="preserve">Ocean Freight (Container Ship)</w:t>
      </w:r>
    </w:p>
    <w:p>
      <w:pPr>
        <w:numPr>
          <w:ilvl w:val="1"/>
          <w:numId w:val="1010"/>
        </w:numPr>
        <w:pStyle w:val="Compact"/>
      </w:pPr>
      <w:r>
        <w:rPr>
          <w:bCs/>
          <w:b/>
        </w:rPr>
        <w:t xml:space="preserve">Illustrative Distance (fuqtdmhdmm):</w:t>
      </w:r>
      <w:r>
        <w:t xml:space="preserve"> </w:t>
      </w:r>
      <w:r>
        <w:t xml:space="preserve">10,000 km</w:t>
      </w:r>
    </w:p>
    <w:p>
      <w:pPr>
        <w:numPr>
          <w:ilvl w:val="1"/>
          <w:numId w:val="1010"/>
        </w:numPr>
        <w:pStyle w:val="Compact"/>
      </w:pPr>
      <w:r>
        <w:rPr>
          <w:bCs/>
          <w:b/>
        </w:rPr>
        <w:t xml:space="preserve">Illustrative Emission Factor (Ocean Freight):</w:t>
      </w:r>
      <w:r>
        <w:t xml:space="preserve"> </w:t>
      </w:r>
      <w:r>
        <w:t xml:space="preserve">0.008 kg CO2e/tonne-km</w:t>
      </w:r>
    </w:p>
    <w:p>
      <w:pPr>
        <w:numPr>
          <w:ilvl w:val="1"/>
          <w:numId w:val="1010"/>
        </w:numPr>
        <w:pStyle w:val="Compact"/>
      </w:pPr>
      <w:r>
        <w:rPr>
          <w:bCs/>
          <w:b/>
        </w:rPr>
        <w:t xml:space="preserve">Calculation:</w:t>
      </w:r>
      <w:r>
        <w:t xml:space="preserve"> </w:t>
      </w:r>
      <w:r>
        <w:t xml:space="preserve">1 kg * (1 tonne / 1000 kg) * 10,000 km * 0.008 kg CO2e/tonne-km = 0.08 kg CO2e</w:t>
      </w:r>
    </w:p>
    <w:p>
      <w:pPr>
        <w:numPr>
          <w:ilvl w:val="1"/>
          <w:numId w:val="1010"/>
        </w:numPr>
        <w:pStyle w:val="Compact"/>
      </w:pPr>
      <w:r>
        <w:rPr>
          <w:bCs/>
          <w:b/>
        </w:rPr>
        <w:t xml:space="preserve">Subtotal Upstream Transport:</w:t>
      </w:r>
      <w:r>
        <w:t xml:space="preserve"> </w:t>
      </w:r>
      <w:r>
        <w:t xml:space="preserve">0.08 kg CO2e</w:t>
      </w:r>
    </w:p>
    <w:bookmarkEnd w:id="34"/>
    <w:bookmarkStart w:id="35" w:name="downstream-scope-3-emissions"/>
    <w:p>
      <w:pPr>
        <w:pStyle w:val="Heading5"/>
      </w:pPr>
      <w:r>
        <w:t xml:space="preserve">Downstream Scope 3 Emissions</w:t>
      </w:r>
    </w:p>
    <w:p>
      <w:pPr>
        <w:numPr>
          <w:ilvl w:val="0"/>
          <w:numId w:val="1011"/>
        </w:numPr>
      </w:pPr>
      <w:r>
        <w:rPr>
          <w:bCs/>
          <w:b/>
        </w:rPr>
        <w:t xml:space="preserve">Category 9: Downstream Transportation and Distribution (Finished Product Transport):</w:t>
      </w:r>
    </w:p>
    <w:p>
      <w:pPr>
        <w:numPr>
          <w:ilvl w:val="0"/>
          <w:numId w:val="1000"/>
        </w:numPr>
      </w:pPr>
      <w:r>
        <w:t xml:space="preserve">Illustrative calculation for 1 kg product shipped by road freight and last-mile parcel courier.</w:t>
      </w:r>
    </w:p>
    <w:p>
      <w:pPr>
        <w:numPr>
          <w:ilvl w:val="1"/>
          <w:numId w:val="1012"/>
        </w:numPr>
        <w:pStyle w:val="Compact"/>
      </w:pPr>
      <w:r>
        <w:rPr>
          <w:bCs/>
          <w:b/>
        </w:rPr>
        <w:t xml:space="preserve">Illustrative Road Freight:</w:t>
      </w:r>
      <w:r>
        <w:t xml:space="preserve"> </w:t>
      </w:r>
      <w:r>
        <w:t xml:space="preserve">1 kg * (1 tonne / 1000 kg) * 500 km * 0.1 kg CO2e/tonne-km = 0.05 kg CO2e</w:t>
      </w:r>
    </w:p>
    <w:p>
      <w:pPr>
        <w:numPr>
          <w:ilvl w:val="1"/>
          <w:numId w:val="1012"/>
        </w:numPr>
        <w:pStyle w:val="Compact"/>
      </w:pPr>
      <w:r>
        <w:rPr>
          <w:bCs/>
          <w:b/>
        </w:rPr>
        <w:t xml:space="preserve">Illustrative Last-Mile (Parcel Courier):</w:t>
      </w:r>
      <w:r>
        <w:t xml:space="preserve"> </w:t>
      </w:r>
      <w:r>
        <w:t xml:space="preserve">Assuming 0.5 kg CO2e/delivery (illustrative factor for \'Delivery Type\') = 0.5 kg CO2e</w:t>
      </w:r>
    </w:p>
    <w:p>
      <w:pPr>
        <w:numPr>
          <w:ilvl w:val="1"/>
          <w:numId w:val="1012"/>
        </w:numPr>
        <w:pStyle w:val="Compact"/>
      </w:pPr>
      <w:r>
        <w:rPr>
          <w:bCs/>
          <w:b/>
        </w:rPr>
        <w:t xml:space="preserve">Subtotal Downstream Transport:</w:t>
      </w:r>
      <w:r>
        <w:t xml:space="preserve"> </w:t>
      </w:r>
      <w:r>
        <w:t xml:space="preserve">0.55 kg CO2e</w:t>
      </w:r>
    </w:p>
    <w:p>
      <w:pPr>
        <w:numPr>
          <w:ilvl w:val="0"/>
          <w:numId w:val="1011"/>
        </w:numPr>
      </w:pPr>
      <w:r>
        <w:rPr>
          <w:bCs/>
          <w:b/>
        </w:rPr>
        <w:t xml:space="preserve">Category 11: Use of Sold Products:</w:t>
      </w:r>
    </w:p>
    <w:p>
      <w:pPr>
        <w:numPr>
          <w:ilvl w:val="0"/>
          <w:numId w:val="1000"/>
        </w:numPr>
      </w:pPr>
      <w:r>
        <w:t xml:space="preserve">Emissions from the product\'s energy consumption during its lifespan.</w:t>
      </w:r>
    </w:p>
    <w:p>
      <w:pPr>
        <w:numPr>
          <w:ilvl w:val="1"/>
          <w:numId w:val="1013"/>
        </w:numPr>
        <w:pStyle w:val="Compact"/>
      </w:pPr>
      <w:r>
        <w:rPr>
          <w:bCs/>
          <w:b/>
        </w:rPr>
        <w:t xml:space="preserve">Illustrative Product Lifespan (mxikowmulh):</w:t>
      </w:r>
      <w:r>
        <w:t xml:space="preserve"> </w:t>
      </w:r>
      <w:r>
        <w:t xml:space="preserve">5 years</w:t>
      </w:r>
    </w:p>
    <w:p>
      <w:pPr>
        <w:numPr>
          <w:ilvl w:val="1"/>
          <w:numId w:val="1013"/>
        </w:numPr>
        <w:pStyle w:val="Compact"/>
      </w:pPr>
      <w:r>
        <w:rPr>
          <w:bCs/>
          <w:b/>
        </w:rPr>
        <w:t xml:space="preserve">Illustrative Energy Consumption in Use (vriiwdzjpf):</w:t>
      </w:r>
      <w:r>
        <w:t xml:space="preserve"> </w:t>
      </w:r>
      <w:r>
        <w:t xml:space="preserve">5 kWh/year</w:t>
      </w:r>
    </w:p>
    <w:p>
      <w:pPr>
        <w:numPr>
          <w:ilvl w:val="1"/>
          <w:numId w:val="1013"/>
        </w:numPr>
        <w:pStyle w:val="Compact"/>
      </w:pPr>
      <w:r>
        <w:rPr>
          <w:bCs/>
          <w:b/>
        </w:rPr>
        <w:t xml:space="preserve">Illustrative Grid Emission Factor (Europe average for use phase):</w:t>
      </w:r>
      <w:r>
        <w:t xml:space="preserve"> </w:t>
      </w:r>
      <w:r>
        <w:t xml:space="preserve">0.25 kg CO2e/kWh</w:t>
      </w:r>
    </w:p>
    <w:p>
      <w:pPr>
        <w:numPr>
          <w:ilvl w:val="1"/>
          <w:numId w:val="1013"/>
        </w:numPr>
        <w:pStyle w:val="Compact"/>
      </w:pPr>
      <w:r>
        <w:rPr>
          <w:bCs/>
          <w:b/>
        </w:rPr>
        <w:t xml:space="preserve">Calculation:</w:t>
      </w:r>
      <w:r>
        <w:t xml:space="preserve"> </w:t>
      </w:r>
      <w:r>
        <w:t xml:space="preserve">5 kWh/year * 5 years * 0.25 kg CO2e/kWh = 6.25 kg CO2e</w:t>
      </w:r>
    </w:p>
    <w:p>
      <w:pPr>
        <w:numPr>
          <w:ilvl w:val="1"/>
          <w:numId w:val="1013"/>
        </w:numPr>
        <w:pStyle w:val="Compact"/>
      </w:pPr>
      <w:r>
        <w:rPr>
          <w:bCs/>
          <w:b/>
        </w:rPr>
        <w:t xml:space="preserve">Subtotal Use Phase:</w:t>
      </w:r>
      <w:r>
        <w:t xml:space="preserve"> </w:t>
      </w:r>
      <w:r>
        <w:t xml:space="preserve">6.25 kg CO2e</w:t>
      </w:r>
    </w:p>
    <w:p>
      <w:pPr>
        <w:numPr>
          <w:ilvl w:val="0"/>
          <w:numId w:val="1011"/>
        </w:numPr>
      </w:pPr>
      <w:r>
        <w:rPr>
          <w:bCs/>
          <w:b/>
        </w:rPr>
        <w:t xml:space="preserve">Category 12: End-of-Life Treatment of Sold Products:</w:t>
      </w:r>
    </w:p>
    <w:p>
      <w:pPr>
        <w:numPr>
          <w:ilvl w:val="0"/>
          <w:numId w:val="1000"/>
        </w:numPr>
      </w:pPr>
      <w:r>
        <w:t xml:space="preserve">Emissions associated with the disposal or recycling of \'yznioqthyx\' at the end of its life. Assuming 1 kg total product mass.</w:t>
      </w:r>
    </w:p>
    <w:p>
      <w:pPr>
        <w:numPr>
          <w:ilvl w:val="1"/>
          <w:numId w:val="1014"/>
        </w:numPr>
        <w:pStyle w:val="Compact"/>
      </w:pPr>
      <w:r>
        <w:rPr>
          <w:bCs/>
          <w:b/>
        </w:rPr>
        <w:t xml:space="preserve">Illustrative Recyclability Percentage (fouezfjlej):</w:t>
      </w:r>
      <w:r>
        <w:t xml:space="preserve"> </w:t>
      </w:r>
      <w:r>
        <w:t xml:space="preserve">70%</w:t>
      </w:r>
    </w:p>
    <w:p>
      <w:pPr>
        <w:numPr>
          <w:ilvl w:val="1"/>
          <w:numId w:val="1014"/>
        </w:numPr>
        <w:pStyle w:val="Compact"/>
      </w:pPr>
      <w:r>
        <w:rPr>
          <w:bCs/>
          <w:b/>
        </w:rPr>
        <w:t xml:space="preserve">Illustrative Circular/Take-back Programs (oswofkuuse):</w:t>
      </w:r>
      <w:r>
        <w:t xml:space="preserve"> </w:t>
      </w:r>
      <w:r>
        <w:t xml:space="preserve">20% material recovery (implies 20% of the 70% is recovered with lower impact than virgin, or 70% is recycled with specific EoL factors, for simplicity assume 70% avoids landfill for now).</w:t>
      </w:r>
    </w:p>
    <w:p>
      <w:pPr>
        <w:numPr>
          <w:ilvl w:val="1"/>
          <w:numId w:val="1014"/>
        </w:numPr>
        <w:pStyle w:val="Compact"/>
      </w:pPr>
      <w:r>
        <w:rPr>
          <w:bCs/>
          <w:b/>
        </w:rPr>
        <w:t xml:space="preserve">Non-recycled portion:</w:t>
      </w:r>
      <w:r>
        <w:t xml:space="preserve"> </w:t>
      </w:r>
      <w:r>
        <w:t xml:space="preserve">(1 - 0.70) * 1 kg = 0.3 kg</w:t>
      </w:r>
    </w:p>
    <w:p>
      <w:pPr>
        <w:numPr>
          <w:ilvl w:val="1"/>
          <w:numId w:val="1014"/>
        </w:numPr>
        <w:pStyle w:val="Compact"/>
      </w:pPr>
      <w:r>
        <w:rPr>
          <w:bCs/>
          <w:b/>
        </w:rPr>
        <w:t xml:space="preserve">Illustrative Landfill Emission Factor:</w:t>
      </w:r>
      <w:r>
        <w:t xml:space="preserve"> </w:t>
      </w:r>
      <w:r>
        <w:t xml:space="preserve">1.0 kg CO2e/kg (for non-recycled portion)</w:t>
      </w:r>
    </w:p>
    <w:p>
      <w:pPr>
        <w:numPr>
          <w:ilvl w:val="1"/>
          <w:numId w:val="1014"/>
        </w:numPr>
        <w:pStyle w:val="Compact"/>
      </w:pPr>
      <w:r>
        <w:rPr>
          <w:bCs/>
          <w:b/>
        </w:rPr>
        <w:t xml:space="preserve">Calculation:</w:t>
      </w:r>
      <w:r>
        <w:t xml:space="preserve"> </w:t>
      </w:r>
      <w:r>
        <w:t xml:space="preserve">0.3 kg * 1.0 kg CO2e/kg = 0.3 kg CO2e</w:t>
      </w:r>
    </w:p>
    <w:p>
      <w:pPr>
        <w:numPr>
          <w:ilvl w:val="1"/>
          <w:numId w:val="1014"/>
        </w:numPr>
        <w:pStyle w:val="Compact"/>
      </w:pPr>
      <w:r>
        <w:rPr>
          <w:bCs/>
          <w:b/>
        </w:rPr>
        <w:t xml:space="preserve">Subtotal End-of-Life:</w:t>
      </w:r>
      <w:r>
        <w:t xml:space="preserve"> </w:t>
      </w:r>
      <w:r>
        <w:t xml:space="preserve">0.3 kg CO2e</w:t>
      </w:r>
    </w:p>
    <w:bookmarkEnd w:id="35"/>
    <w:bookmarkEnd w:id="36"/>
    <w:bookmarkEnd w:id="37"/>
    <w:bookmarkStart w:id="38"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effective January 1, 2027, provides requirements and guidance for accounting for land emissions, CO2 removals, and biogenic products. For \'yznioqthyx\', a manufactured product, direct land use change emissions and removals in the company\'s own operations are generally not significant unless the raw materials (e.g., specific agricultural products or timber for packaging beyond generic cardboard) are sourced directly from managed lands. This analysis presumes that significant land-use change impacts are embedded within the upstream material emission factors (Scope 3, Category 1) provided by suppliers. However, \'sihhgellpm\' should verify the inclusion of such impacts in supplier data to fully align with the LSR Standard\'s principles, especially for any bio-based materials.</w:t>
      </w:r>
    </w:p>
    <w:bookmarkEnd w:id="38"/>
    <w:bookmarkStart w:id="39" w:name="scope-3-compliance-95-coverage"/>
    <w:p>
      <w:pPr>
        <w:pStyle w:val="Heading3"/>
      </w:pPr>
      <w:r>
        <w:t xml:space="preserve">Scope 3 Compliance: 95% Coverage</w:t>
      </w:r>
    </w:p>
    <w:p>
      <w:pPr>
        <w:pStyle w:val="FirstParagraph"/>
      </w:pPr>
      <w:r>
        <w:t xml:space="preserve">As per the 2026 GHG Protocol requirements, reporting entities must account for at least 95% of their total required Scope 3 emissions. Any exclusions must be quantified, disclosed, and justified. This report aims to cover all material Scope 3 categories relevant to \'yznioqthyx\'. The illustrative calculations above demonstrate an effort to capture emissions across major lifecycle stages, thereby contributing towards achieving the 95% coverage threshold for \'sihhgellpm\'. Detailed primary data collection from all suppliers would further enhance the accuracy and completeness required for full compliance.</w:t>
      </w:r>
    </w:p>
    <w:bookmarkEnd w:id="39"/>
    <w:bookmarkStart w:id="40" w:name="Xe14d492c78afbfe2a5ccc428f8c48b9bc66e1a6"/>
    <w:p>
      <w:pPr>
        <w:pStyle w:val="Heading3"/>
      </w:pPr>
      <w:r>
        <w:t xml:space="preserve">Total Product Carbon Footprint (PCF) Calculation Summary</w:t>
      </w:r>
    </w:p>
    <w:p>
      <w:pPr>
        <w:pStyle w:val="FirstParagraph"/>
      </w:pPr>
      <w:r>
        <w:t xml:space="preserve">Based on the illustrative data and calculations: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Emissions (kg CO2e/unit)</w:t>
            </w:r>
          </w:p>
        </w:tc>
      </w:tr>
      <w:tr>
        <w:tc>
          <w:tcPr/>
          <w:p>
            <w:pPr>
              <w:pStyle w:val="Compact"/>
              <w:jc w:val="left"/>
            </w:pPr>
            <w:r>
              <w:rPr>
                <w:bCs/>
                <w:b/>
              </w:rPr>
              <w:t xml:space="preserve">Scope 1 Emissions</w:t>
            </w:r>
          </w:p>
        </w:tc>
        <w:tc>
          <w:tcPr/>
          <w:p>
            <w:pPr>
              <w:pStyle w:val="Compact"/>
              <w:jc w:val="left"/>
            </w:pPr>
            <w:r>
              <w:t xml:space="preserve">0.00</w:t>
            </w:r>
          </w:p>
        </w:tc>
      </w:tr>
      <w:tr>
        <w:tc>
          <w:tcPr/>
          <w:p>
            <w:pPr>
              <w:pStyle w:val="Compact"/>
              <w:jc w:val="left"/>
            </w:pPr>
            <w:r>
              <w:rPr>
                <w:bCs/>
                <w:b/>
              </w:rPr>
              <w:t xml:space="preserve">Scope 2 Emissions (Purchased Electricity for Production)</w:t>
            </w:r>
          </w:p>
        </w:tc>
        <w:tc>
          <w:tcPr/>
          <w:p>
            <w:pPr>
              <w:pStyle w:val="Compact"/>
              <w:jc w:val="left"/>
            </w:pPr>
            <w:r>
              <w:t xml:space="preserve">3.00</w:t>
            </w:r>
          </w:p>
        </w:tc>
      </w:tr>
      <w:tr>
        <w:tc>
          <w:tcPr>
            <w:gridSpan w:val="2"/>
          </w:tcPr>
          <w:p>
            <w:pPr>
              <w:pStyle w:val="Compact"/>
              <w:jc w:val="left"/>
            </w:pPr>
            <w:r>
              <w:rPr>
                <w:bCs/>
                <w:b/>
              </w:rPr>
              <w:t xml:space="preserve">Scope 3 Emissions (Value Chain)</w:t>
            </w:r>
          </w:p>
        </w:tc>
      </w:tr>
      <w:tr>
        <w:tc>
          <w:tcPr/>
          <w:p>
            <w:pPr>
              <w:pStyle w:val="Compact"/>
              <w:jc w:val="left"/>
            </w:pPr>
            <w:r>
              <w:t xml:space="preserve">    Category 1: Purchased Goods and Services (Materials)</w:t>
            </w:r>
          </w:p>
        </w:tc>
        <w:tc>
          <w:tcPr/>
          <w:p>
            <w:pPr>
              <w:pStyle w:val="Compact"/>
              <w:jc w:val="left"/>
            </w:pPr>
            <w:r>
              <w:t xml:space="preserve">3.71</w:t>
            </w:r>
          </w:p>
        </w:tc>
      </w:tr>
      <w:tr>
        <w:tc>
          <w:tcPr/>
          <w:p>
            <w:pPr>
              <w:pStyle w:val="Compact"/>
              <w:jc w:val="left"/>
            </w:pPr>
            <w:r>
              <w:t xml:space="preserve">    Category 4: Upstream Transportation and Distribution</w:t>
            </w:r>
          </w:p>
        </w:tc>
        <w:tc>
          <w:tcPr/>
          <w:p>
            <w:pPr>
              <w:pStyle w:val="Compact"/>
              <w:jc w:val="left"/>
            </w:pPr>
            <w:r>
              <w:t xml:space="preserve">0.08</w:t>
            </w:r>
          </w:p>
        </w:tc>
      </w:tr>
      <w:tr>
        <w:tc>
          <w:tcPr/>
          <w:p>
            <w:pPr>
              <w:pStyle w:val="Compact"/>
              <w:jc w:val="left"/>
            </w:pPr>
            <w:r>
              <w:t xml:space="preserve">    Category 9: Downstream Transportation and Distribution</w:t>
            </w:r>
          </w:p>
        </w:tc>
        <w:tc>
          <w:tcPr/>
          <w:p>
            <w:pPr>
              <w:pStyle w:val="Compact"/>
              <w:jc w:val="left"/>
            </w:pPr>
            <w:r>
              <w:t xml:space="preserve">0.55</w:t>
            </w:r>
          </w:p>
        </w:tc>
      </w:tr>
      <w:tr>
        <w:tc>
          <w:tcPr/>
          <w:p>
            <w:pPr>
              <w:pStyle w:val="Compact"/>
              <w:jc w:val="left"/>
            </w:pPr>
            <w:r>
              <w:t xml:space="preserve">    Category 11: Use of Sold Products</w:t>
            </w:r>
          </w:p>
        </w:tc>
        <w:tc>
          <w:tcPr/>
          <w:p>
            <w:pPr>
              <w:pStyle w:val="Compact"/>
              <w:jc w:val="left"/>
            </w:pPr>
            <w:r>
              <w:t xml:space="preserve">6.25</w:t>
            </w:r>
          </w:p>
        </w:tc>
      </w:tr>
      <w:tr>
        <w:tc>
          <w:tcPr/>
          <w:p>
            <w:pPr>
              <w:pStyle w:val="Compact"/>
              <w:jc w:val="left"/>
            </w:pPr>
            <w:r>
              <w:t xml:space="preserve">    Category 12: End-of-Life Treatment of Sold Products</w:t>
            </w:r>
          </w:p>
        </w:tc>
        <w:tc>
          <w:tcPr/>
          <w:p>
            <w:pPr>
              <w:pStyle w:val="Compact"/>
              <w:jc w:val="left"/>
            </w:pPr>
            <w:r>
              <w:t xml:space="preserve">0.30</w:t>
            </w:r>
          </w:p>
        </w:tc>
      </w:tr>
      <w:tr>
        <w:tc>
          <w:tcPr/>
          <w:p>
            <w:pPr>
              <w:pStyle w:val="Compact"/>
              <w:jc w:val="left"/>
            </w:pPr>
            <w:r>
              <w:rPr>
                <w:bCs/>
                <w:b/>
              </w:rPr>
              <w:t xml:space="preserve">Total Product Carbon Footprint</w:t>
            </w:r>
          </w:p>
        </w:tc>
        <w:tc>
          <w:tcPr/>
          <w:p>
            <w:pPr>
              <w:pStyle w:val="Compact"/>
              <w:jc w:val="left"/>
            </w:pPr>
            <w:r>
              <w:rPr>
                <w:bCs/>
                <w:b/>
              </w:rPr>
              <w:t xml:space="preserve">13.89</w:t>
            </w:r>
          </w:p>
        </w:tc>
      </w:tr>
    </w:tbl>
    <w:p>
      <w:r>
        <w:pict>
          <v:rect style="width:0;height:1.5pt" o:hralign="center" o:hrstd="t" o:hr="t"/>
        </w:pict>
      </w:r>
    </w:p>
    <w:bookmarkEnd w:id="40"/>
    <w:bookmarkEnd w:id="41"/>
    <w:bookmarkStart w:id="44" w:name="review-report"/>
    <w:p>
      <w:pPr>
        <w:pStyle w:val="Heading2"/>
      </w:pPr>
      <w:r>
        <w:t xml:space="preserve">5. Review &amp; Report</w:t>
      </w:r>
    </w:p>
    <w:bookmarkStart w:id="42" w:name="hotspots-and-reliability"/>
    <w:p>
      <w:pPr>
        <w:pStyle w:val="Heading3"/>
      </w:pPr>
      <w:r>
        <w:t xml:space="preserve">Hotspots and Reliability</w:t>
      </w:r>
    </w:p>
    <w:p>
      <w:pPr>
        <w:pStyle w:val="FirstParagraph"/>
      </w:pPr>
      <w:r>
        <w:t xml:space="preserve">Based on the illustrative analysis, the primary emission hotspots for \'yznioqthyx\' are:</w:t>
      </w:r>
    </w:p>
    <w:p>
      <w:pPr>
        <w:numPr>
          <w:ilvl w:val="0"/>
          <w:numId w:val="1015"/>
        </w:numPr>
        <w:pStyle w:val="Compact"/>
      </w:pPr>
      <w:r>
        <w:rPr>
          <w:bCs/>
          <w:b/>
        </w:rPr>
        <w:t xml:space="preserve">Use Phase (Category 11):</w:t>
      </w:r>
      <w:r>
        <w:t xml:space="preserve"> </w:t>
      </w:r>
      <w:r>
        <w:t xml:space="preserve">This category represents the largest portion of the PCF (6.25 kg CO2e), highlighting the significant impact of electricity consumption during the product\'s 5-year lifespan. This suggests that improving energy efficiency during use is critical.</w:t>
      </w:r>
    </w:p>
    <w:p>
      <w:pPr>
        <w:numPr>
          <w:ilvl w:val="0"/>
          <w:numId w:val="1015"/>
        </w:numPr>
        <w:pStyle w:val="Compact"/>
      </w:pPr>
      <w:r>
        <w:rPr>
          <w:bCs/>
          <w:b/>
        </w:rPr>
        <w:t xml:space="preserve">Purchased Goods and Services (Category 1 - Materials):</w:t>
      </w:r>
      <w:r>
        <w:t xml:space="preserve"> </w:t>
      </w:r>
      <w:r>
        <w:t xml:space="preserve">With 3.71 kg CO2e, the raw materials and their associated manufacturing processes are the second most impactful area. Focus on sustainable sourcing and material efficiency is essential.</w:t>
      </w:r>
    </w:p>
    <w:p>
      <w:pPr>
        <w:numPr>
          <w:ilvl w:val="0"/>
          <w:numId w:val="1015"/>
        </w:numPr>
        <w:pStyle w:val="Compact"/>
      </w:pPr>
      <w:r>
        <w:rPr>
          <w:bCs/>
          <w:b/>
        </w:rPr>
        <w:t xml:space="preserve">Production Energy (Scope 2):</w:t>
      </w:r>
      <w:r>
        <w:t xml:space="preserve"> </w:t>
      </w:r>
      <w:r>
        <w:t xml:space="preserve">Although partially mitigated by renewable energy, the electricity used in manufacturing remains a substantial contributor (3.00 kg CO2e).</w:t>
      </w:r>
    </w:p>
    <w:p>
      <w:pPr>
        <w:pStyle w:val="FirstParagraph"/>
      </w:pPr>
      <w:r>
        <w:t xml:space="preserve">The reliability of this report is directly tied to the accuracy and completeness of the input data. As several parameters were provided as placeholders and illustrative values were used for demonstration, the actual PCF may vary. \'sihhgellpm\' should strive to collect primary, supplier-specific data for all significant inputs to enhance the accuracy and robustness of future analyses.</w:t>
      </w:r>
    </w:p>
    <w:bookmarkEnd w:id="42"/>
    <w:bookmarkStart w:id="43" w:name="recommendations-for-sihhgellpm"/>
    <w:p>
      <w:pPr>
        <w:pStyle w:val="Heading3"/>
      </w:pPr>
      <w:r>
        <w:t xml:space="preserve">Recommendations for \'sihhgellpm\'</w:t>
      </w:r>
    </w:p>
    <w:p>
      <w:pPr>
        <w:pStyle w:val="FirstParagraph"/>
      </w:pPr>
      <w:r>
        <w:t xml:space="preserve">To reduce the carbon footprint of \'yznioqthyx\' and improve sustainability performance, \'sihhgellpm\' should consider the following:</w:t>
      </w:r>
    </w:p>
    <w:p>
      <w:pPr>
        <w:numPr>
          <w:ilvl w:val="0"/>
          <w:numId w:val="1016"/>
        </w:numPr>
        <w:pStyle w:val="Compact"/>
      </w:pPr>
      <w:r>
        <w:rPr>
          <w:bCs/>
          <w:b/>
        </w:rPr>
        <w:t xml:space="preserve">Optimize Use Phase Energy Efficiency:</w:t>
      </w:r>
      <w:r>
        <w:t xml:space="preserve"> </w:t>
      </w:r>
      <w:r>
        <w:t xml:space="preserve">Redesign \'yznioqthyx\' to minimize energy consumption during its operational lifespan. This could involve using more energy-efficient components or developing low-power modes.</w:t>
      </w:r>
    </w:p>
    <w:p>
      <w:pPr>
        <w:numPr>
          <w:ilvl w:val="0"/>
          <w:numId w:val="1016"/>
        </w:numPr>
        <w:pStyle w:val="Compact"/>
      </w:pPr>
      <w:r>
        <w:rPr>
          <w:bCs/>
          <w:b/>
        </w:rPr>
        <w:t xml:space="preserve">Sustainable Material Sourcing:</w:t>
      </w:r>
      <w:r>
        <w:t xml:space="preserve"> </w:t>
      </w:r>
      <w:r>
        <w:t xml:space="preserve">Explore alternative materials with lower embodied carbon, engage with suppliers to obtain product-specific environmental declarations (EPDs), and investigate opportunities for recycled content.</w:t>
      </w:r>
    </w:p>
    <w:p>
      <w:pPr>
        <w:numPr>
          <w:ilvl w:val="0"/>
          <w:numId w:val="1016"/>
        </w:numPr>
        <w:pStyle w:val="Compact"/>
      </w:pPr>
      <w:r>
        <w:rPr>
          <w:bCs/>
          <w:b/>
        </w:rPr>
        <w:t xml:space="preserve">Increase Renewable Energy in Production:</w:t>
      </w:r>
      <w:r>
        <w:t xml:space="preserve"> </w:t>
      </w:r>
      <w:r>
        <w:t xml:space="preserve">Further increase the share of renewable energy used in the production facility beyond the current illustrative 50%, either through direct procurement or renewable energy credits.</w:t>
      </w:r>
    </w:p>
    <w:p>
      <w:pPr>
        <w:numPr>
          <w:ilvl w:val="0"/>
          <w:numId w:val="1016"/>
        </w:numPr>
        <w:pStyle w:val="Compact"/>
      </w:pPr>
      <w:r>
        <w:rPr>
          <w:bCs/>
          <w:b/>
        </w:rPr>
        <w:t xml:space="preserve">Enhance Circularity:</w:t>
      </w:r>
      <w:r>
        <w:t xml:space="preserve"> </w:t>
      </w:r>
      <w:r>
        <w:t xml:space="preserve">Strengthen existing circular/take-back programs to increase actual material recovery and recycling rates beyond the illustrative 70% and 20% respectively. Explore product-as-a-service models or modular designs for easier repair and refurbishment.</w:t>
      </w:r>
    </w:p>
    <w:p>
      <w:pPr>
        <w:numPr>
          <w:ilvl w:val="0"/>
          <w:numId w:val="1016"/>
        </w:numPr>
        <w:pStyle w:val="Compact"/>
      </w:pPr>
      <w:r>
        <w:rPr>
          <w:bCs/>
          <w:b/>
        </w:rPr>
        <w:t xml:space="preserve">Data System Improvement:</w:t>
      </w:r>
      <w:r>
        <w:t xml:space="preserve"> </w:t>
      </w:r>
      <w:r>
        <w:t xml:space="preserve">Implement robust systems for collecting high-quality, primary data across the value chain, especially from upstream suppliers, to meet the 95% Scope 3 coverage requirement and enable more precise PCF calculations.</w:t>
      </w:r>
    </w:p>
    <w:p>
      <w:pPr>
        <w:numPr>
          <w:ilvl w:val="0"/>
          <w:numId w:val="1016"/>
        </w:numPr>
        <w:pStyle w:val="Compact"/>
      </w:pPr>
      <w:r>
        <w:rPr>
          <w:bCs/>
          <w:b/>
        </w:rPr>
        <w:t xml:space="preserve">Supply Chain Engagement:</w:t>
      </w:r>
      <w:r>
        <w:t xml:space="preserve"> </w:t>
      </w:r>
      <w:r>
        <w:t xml:space="preserve">Collaborate with transportation providers to explore more efficient modes and routes, and encourage suppliers to report their GHG emissions.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yznioqthyx</dc:title>
  <dc:creator/>
  <dc:description>High-detail Product Carbon Footprint (PCF) analysis report for yznioqthyx, prepared by ieethuqywj, Senior Sustainability Consultant at sihhgellpm, adhering to GHG Protocol standards and 2026 updates.</dc:description>
  <dc:language>en</dc:language>
  <cp:keywords/>
  <dcterms:created xsi:type="dcterms:W3CDTF">2026-05-30T20:10:28Z</dcterms:created>
  <dcterms:modified xsi:type="dcterms:W3CDTF">2026-05-30T20:10:28Z</dcterms:modified>
</cp:coreProperties>
</file>

<file path=docProps/custom.xml><?xml version="1.0" encoding="utf-8"?>
<Properties xmlns="http://schemas.openxmlformats.org/officeDocument/2006/custom-properties" xmlns:vt="http://schemas.openxmlformats.org/officeDocument/2006/docPropsVTypes"/>
</file>