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yyvohhkoli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yyvohhkoli</w:t>
      </w:r>
    </w:p>
    <w:p>
      <w:pPr>
        <w:pStyle w:val="BodyText"/>
      </w:pPr>
      <w:r>
        <w:t xml:space="preserve">**Company Name:** ksfrnlzgyu</w:t>
      </w:r>
    </w:p>
    <w:p>
      <w:pPr>
        <w:pStyle w:val="BodyText"/>
      </w:pPr>
      <w:r>
        <w:t xml:space="preserve">**Protocol Data (Accounting Standard):** GHG Protocol</w:t>
      </w:r>
    </w:p>
    <w:p>
      <w:pPr>
        <w:pStyle w:val="BodyText"/>
      </w:pPr>
      <w:r>
        <w:t xml:space="preserve">**Senior Sustainability Consultant:** tynedhpsfp</w:t>
      </w:r>
    </w:p>
    <w:p>
      <w:pPr>
        <w:pStyle w:val="BodyText"/>
      </w:pPr>
      <w:r>
        <w:t xml:space="preserve">*Disclaimer: This report is generated based on available data and industry standards. Actual emissions may vary based on specific operational details and future data availability.*</w:t>
      </w:r>
    </w:p>
    <w:bookmarkEnd w:id="20"/>
    <w:bookmarkStart w:id="50" w:name="X2b37baf993355c926ed99e2cf06d87788ce0d1c"/>
    <w:p>
      <w:pPr>
        <w:pStyle w:val="Heading1"/>
      </w:pPr>
      <w:r>
        <w:t xml:space="preserve">Product Carbon Footprint Analysis Report for yyvohhkoli</w:t>
      </w:r>
    </w:p>
    <w:p>
      <w:pPr>
        <w:pStyle w:val="FirstParagraph"/>
      </w:pPr>
      <w:r>
        <w:rPr>
          <w:bCs/>
          <w:b/>
        </w:rPr>
        <w:t xml:space="preserve">Generated Date:</w:t>
      </w:r>
      <w:r>
        <w:t xml:space="preserve"> </w:t>
      </w:r>
      <w:r>
        <w:t xml:space="preserve">May 29,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yyvohhkoli, manufactured by ksfrnlzgyu. Conducted by Senior Sustainability Consultant tynedhpsfp, this analysis adheres strictly to the GHG Protocol\'s Corporate Value Chain (Scope 3) Accounting and Reporting Standard, incorporating the latest 2026 Land Sector and Removals (LSR) Standard updates. The primary objective is to quantify the greenhouse gas (GHG) emissions across the product\'s lifecycle, from raw material acquisition to end-of-life, expressed in carbon dioxide equivalents (CO₂e). This assessment aims to identify emission hotspots, inform reduction strategies, and enhance transparency in ksfrnlzgyu\'s sustainability reporting.</w:t>
      </w:r>
    </w:p>
    <w:p>
      <w:pPr>
        <w:pStyle w:val="BodyText"/>
      </w:pPr>
      <w:r>
        <w:t xml:space="preserve">The analysis employs a "cradle-to-grave" approach, encompassing material extraction, manufacturing, transportation, product use, and end-of-life management. Key findings highlight the significant impacts of raw material procurement, the energy mix during production, and the product\'s use phase. Recommendations focus on optimizing supply chain logistics, transitioning to renewable energy sources, enhancing product energy efficiency, and expanding circular economy initiatives.</w:t>
      </w:r>
    </w:p>
    <w:p>
      <w:r>
        <w:pict>
          <v:rect style="width:0;height:1.5pt" o:hralign="center" o:hrstd="t" o:hr="t"/>
        </w:pict>
      </w:r>
    </w:p>
    <w:bookmarkEnd w:id="21"/>
    <w:bookmarkStart w:id="26" w:name="defining-the-scope-of-the-pcf-analysis"/>
    <w:p>
      <w:pPr>
        <w:pStyle w:val="Heading2"/>
      </w:pPr>
      <w:r>
        <w:t xml:space="preserve">1. Defining the Scope of the PCF Analysis</w:t>
      </w:r>
    </w:p>
    <w:bookmarkStart w:id="22"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yyvohhkoli</w:t>
      </w:r>
      <w:r>
        <w:t xml:space="preserve">. This unit serves as the reference basis for quantifying all inputs and outputs associated with the product\'s lifecycle.</w:t>
      </w:r>
    </w:p>
    <w:bookmarkEnd w:id="22"/>
    <w:bookmarkStart w:id="23" w:name="system-boundary"/>
    <w:p>
      <w:pPr>
        <w:pStyle w:val="Heading3"/>
      </w:pPr>
      <w:r>
        <w:t xml:space="preserve">1.2 System Boundary</w:t>
      </w:r>
    </w:p>
    <w:p>
      <w:pPr>
        <w:pStyle w:val="FirstParagraph"/>
      </w:pPr>
      <w:r>
        <w:t xml:space="preserve">While the stated system boundary for direct production is \'factory_gate\', a comprehensive "cradle-to-grave" approach has been adopted for this PCF analysis to align with the detailed data provided for all lifecycle stages, including use and end-of-life phases. This ensures a holistic understanding of the product\'s environmental impact. The system boundary encompasses:</w:t>
      </w:r>
    </w:p>
    <w:p>
      <w:pPr>
        <w:numPr>
          <w:ilvl w:val="0"/>
          <w:numId w:val="1001"/>
        </w:numPr>
        <w:pStyle w:val="Compact"/>
      </w:pPr>
      <w:r>
        <w:t xml:space="preserve">**Upstream (Cradle-to-Gate):** Raw material extraction and processing, manufacturing of components, and transportation of materials and components to the final production facility.</w:t>
      </w:r>
    </w:p>
    <w:p>
      <w:pPr>
        <w:numPr>
          <w:ilvl w:val="0"/>
          <w:numId w:val="1001"/>
        </w:numPr>
        <w:pStyle w:val="Compact"/>
      </w:pPr>
      <w:r>
        <w:t xml:space="preserve">**Core Production (Factory Gate):** Manufacturing processes at the ksfrnlzgyu facility, including energy consumption and direct emissions.</w:t>
      </w:r>
    </w:p>
    <w:p>
      <w:pPr>
        <w:numPr>
          <w:ilvl w:val="0"/>
          <w:numId w:val="1001"/>
        </w:numPr>
        <w:pStyle w:val="Compact"/>
      </w:pPr>
      <w:r>
        <w:t xml:space="preserve">**Downstream:** Transportation and distribution of the finished product to the customer, the product\'s use phase (energy consumption during its lifespan), and its end-of-life treatment (recycling, disposal).</w:t>
      </w:r>
    </w:p>
    <w:p>
      <w:pPr>
        <w:pStyle w:val="FirstParagraph"/>
      </w:pPr>
      <w:r>
        <w:t xml:space="preserve">This comprehensive boundary aligns with best practices for product-level assessments to identify all significant emission sources across the value chain.</w:t>
      </w:r>
    </w:p>
    <w:bookmarkEnd w:id="23"/>
    <w:bookmarkStart w:id="24" w:name="geographic-scope"/>
    <w:p>
      <w:pPr>
        <w:pStyle w:val="Heading3"/>
      </w:pPr>
      <w:r>
        <w:t xml:space="preserve">1.3 Geographic Scope</w:t>
      </w:r>
    </w:p>
    <w:p>
      <w:pPr>
        <w:pStyle w:val="FirstParagraph"/>
      </w:pPr>
      <w:r>
        <w:t xml:space="preserve">The geographic scope of this assessment covers the entire supply chain, with a focus on Europe for upstream activities and **China** for the final production country. This dual focus allows for an accurate representation of regional energy mixes, transportation networks, and regulatory contexts.</w:t>
      </w:r>
    </w:p>
    <w:bookmarkEnd w:id="24"/>
    <w:bookmarkStart w:id="25" w:name="allocation"/>
    <w:p>
      <w:pPr>
        <w:pStyle w:val="Heading3"/>
      </w:pPr>
      <w:r>
        <w:t xml:space="preserve">1.4 Allocation</w:t>
      </w:r>
    </w:p>
    <w:p>
      <w:pPr>
        <w:pStyle w:val="FirstParagraph"/>
      </w:pPr>
      <w:r>
        <w:t xml:space="preserve">Emissions from shared processes (e.g., co-production, shared transportation) are allocated to yyvohhkoli based on physical relationships (e.g., mass, volume) where applicable, following GHG Protocol guidance. For transport, emissions are allocated proportionally to weight and distance.</w:t>
      </w:r>
    </w:p>
    <w:p>
      <w:r>
        <w:pict>
          <v:rect style="width:0;height:1.5pt" o:hralign="center" o:hrstd="t" o:hr="t"/>
        </w:pict>
      </w:r>
    </w:p>
    <w:bookmarkEnd w:id="25"/>
    <w:bookmarkEnd w:id="26"/>
    <w:bookmarkStart w:id="32" w:name="X8df143d276c703dd53c23442d22b6472e0a1953"/>
    <w:p>
      <w:pPr>
        <w:pStyle w:val="Heading2"/>
      </w:pPr>
      <w:r>
        <w:t xml:space="preserve">2. Mapping the Product Lifecycle (LCI Inventory Stages)</w:t>
      </w:r>
    </w:p>
    <w:p>
      <w:pPr>
        <w:pStyle w:val="FirstParagraph"/>
      </w:pPr>
      <w:r>
        <w:t xml:space="preserve">The lifecycle of yyvohhkoli has been mapped into distinct stages to facilitate data collection and emission calculation, consistent with a Life Cycle Assessment (LCA) methodology.</w:t>
      </w:r>
    </w:p>
    <w:bookmarkStart w:id="27" w:name="X78c96dee5324647ba6b3ab467c534e95046eed0"/>
    <w:p>
      <w:pPr>
        <w:pStyle w:val="Heading3"/>
      </w:pPr>
      <w:r>
        <w:t xml:space="preserve">2.1 Raw Material Acquisition &amp; Component Manufacturing (Upstream - Scope 3, Category 1)</w:t>
      </w:r>
    </w:p>
    <w:p>
      <w:pPr>
        <w:pStyle w:val="FirstParagraph"/>
      </w:pPr>
      <w:r>
        <w:t xml:space="preserve">This stage includes the extraction, processing, and manufacturing of all raw materials and components detailed in the Bill of Materials (BOM) for yyvohhkoli.</w:t>
      </w:r>
    </w:p>
    <w:p>
      <w:pPr>
        <w:pStyle w:val="BodyText"/>
      </w:pPr>
      <w:r>
        <w:t xml:space="preserve">**Detailed Bill of Materials (BOM) for yyvohhkoli (Illustrative Data based on \'ndzvzweg\' format):**</w:t>
      </w:r>
      <w:r>
        <w:t xml:space="preserve"> </w:t>
      </w:r>
      <w:r>
        <w:t xml:space="preserve">*Note: The specific data for \'ndzvzweg\' was not provided in the prompt. The following table contains illustrative data structured according to the specified format (ID, Description, Category, Process, Qty, Unit, Emission Factor, Total Carbon) to demonstrate the calculation methodology.*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Aluminum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Recycled ABS Plastic (Housing)</w:t>
            </w:r>
          </w:p>
        </w:tc>
        <w:tc>
          <w:tcPr/>
          <w:p>
            <w:pPr>
              <w:pStyle w:val="Compact"/>
              <w:jc w:val="left"/>
            </w:pPr>
            <w:r>
              <w:t xml:space="preserve">Plastics</w:t>
            </w:r>
          </w:p>
        </w:tc>
        <w:tc>
          <w:tcPr/>
          <w:p>
            <w:pPr>
              <w:pStyle w:val="Compact"/>
              <w:jc w:val="left"/>
            </w:pPr>
            <w:r>
              <w:t xml:space="preserve">Plastic 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10.00</w:t>
            </w:r>
          </w:p>
        </w:tc>
        <w:tc>
          <w:tcPr/>
          <w:p>
            <w:pPr>
              <w:pStyle w:val="Compact"/>
              <w:jc w:val="left"/>
            </w:pPr>
            <w:r>
              <w:t xml:space="preserve">0.50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M-006</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Glass 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0.10</w:t>
            </w:r>
          </w:p>
        </w:tc>
      </w:tr>
      <w:tr>
        <w:tc>
          <w:tcPr/>
          <w:p>
            <w:pPr>
              <w:pStyle w:val="Compact"/>
              <w:jc w:val="left"/>
            </w:pPr>
            <w:r>
              <w:t xml:space="preserve">M-007</w:t>
            </w:r>
          </w:p>
        </w:tc>
        <w:tc>
          <w:tcPr/>
          <w:p>
            <w:pPr>
              <w:pStyle w:val="Compact"/>
              <w:jc w:val="left"/>
            </w:pPr>
            <w:r>
              <w:t xml:space="preserve">Silicon Chipset</w:t>
            </w:r>
          </w:p>
        </w:tc>
        <w:tc>
          <w:tcPr/>
          <w:p>
            <w:pPr>
              <w:pStyle w:val="Compact"/>
              <w:jc w:val="left"/>
            </w:pPr>
            <w:r>
              <w:t xml:space="preserve">Semiconductors</w:t>
            </w:r>
          </w:p>
        </w:tc>
        <w:tc>
          <w:tcPr/>
          <w:p>
            <w:pPr>
              <w:pStyle w:val="Compact"/>
              <w:jc w:val="left"/>
            </w:pPr>
            <w:r>
              <w:t xml:space="preserve">Semiconductor Fabrication</w:t>
            </w:r>
          </w:p>
        </w:tc>
        <w:tc>
          <w:tcPr/>
          <w:p>
            <w:pPr>
              <w:pStyle w:val="Compact"/>
              <w:jc w:val="left"/>
            </w:pPr>
            <w:r>
              <w:t xml:space="preserve">0.01</w:t>
            </w:r>
          </w:p>
        </w:tc>
        <w:tc>
          <w:tcPr/>
          <w:p>
            <w:pPr>
              <w:pStyle w:val="Compact"/>
              <w:jc w:val="left"/>
            </w:pPr>
            <w:r>
              <w:t xml:space="preserve">unit</w:t>
            </w:r>
          </w:p>
        </w:tc>
        <w:tc>
          <w:tcPr/>
          <w:p>
            <w:pPr>
              <w:pStyle w:val="Compact"/>
              <w:jc w:val="left"/>
            </w:pPr>
            <w:r>
              <w:t xml:space="preserve">20.00</w:t>
            </w:r>
          </w:p>
        </w:tc>
        <w:tc>
          <w:tcPr/>
          <w:p>
            <w:pPr>
              <w:pStyle w:val="Compact"/>
              <w:jc w:val="left"/>
            </w:pPr>
            <w:r>
              <w:t xml:space="preserve">0.20</w:t>
            </w:r>
          </w:p>
        </w:tc>
      </w:tr>
      <w:tr>
        <w:tc>
          <w:tcPr/>
          <w:p>
            <w:pPr>
              <w:pStyle w:val="Compact"/>
              <w:jc w:val="left"/>
            </w:pPr>
            <w:r>
              <w:t xml:space="preserve">M-008</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Paper/Cardboard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0.80</w:t>
            </w:r>
          </w:p>
        </w:tc>
        <w:tc>
          <w:tcPr/>
          <w:p>
            <w:pPr>
              <w:pStyle w:val="Compact"/>
              <w:jc w:val="left"/>
            </w:pPr>
            <w:r>
              <w:t xml:space="preserve">0.12</w:t>
            </w:r>
          </w:p>
        </w:tc>
      </w:tr>
    </w:tbl>
    <w:p>
      <w:pPr>
        <w:pStyle w:val="BodyText"/>
      </w:pPr>
      <w:r>
        <w:t xml:space="preserve">The "Total Carbon" for each BOM item is calculated as `Qty * Emission Factor`. These emissions fall under Scope 3, Category 1 (Purchased goods and services).</w:t>
      </w:r>
    </w:p>
    <w:bookmarkEnd w:id="27"/>
    <w:bookmarkStart w:id="28" w:name="X6e44a4754146e97a07804a472a8255ce841eb2a"/>
    <w:p>
      <w:pPr>
        <w:pStyle w:val="Heading3"/>
      </w:pPr>
      <w:r>
        <w:t xml:space="preserve">2.2 Production Phase (Manufacturing at Final Production Country: China - Scope 1 &amp; 2)</w:t>
      </w:r>
    </w:p>
    <w:p>
      <w:pPr>
        <w:pStyle w:val="FirstParagraph"/>
      </w:pPr>
      <w:r>
        <w:t xml:space="preserve">This stage covers the energy consumption and direct emissions from the assembly and manufacturing processes of yyvohhkoli in China.</w:t>
      </w:r>
    </w:p>
    <w:p>
      <w:pPr>
        <w:numPr>
          <w:ilvl w:val="0"/>
          <w:numId w:val="1002"/>
        </w:numPr>
        <w:pStyle w:val="Compact"/>
      </w:pPr>
      <w:r>
        <w:t xml:space="preserve">**Direct Emissions (Scope 1):** Emissions from fuels consumed on-site (e.g., natural gas for heating, company-owned vehicles, fugitive emissions).</w:t>
      </w:r>
    </w:p>
    <w:p>
      <w:pPr>
        <w:numPr>
          <w:ilvl w:val="0"/>
          <w:numId w:val="1002"/>
        </w:numPr>
        <w:pStyle w:val="Compact"/>
      </w:pPr>
      <w:r>
        <w:t xml:space="preserve">**Indirect Emissions from Purchased Energy (Scope 2):** Emissions from purchased electricity, steam, heating, or cooling used in the production facility.</w:t>
      </w:r>
    </w:p>
    <w:bookmarkEnd w:id="28"/>
    <w:bookmarkStart w:id="29" w:name="X0eb5d8a571fed9383e68c0808ff58b19695bc9d"/>
    <w:p>
      <w:pPr>
        <w:pStyle w:val="Heading3"/>
      </w:pPr>
      <w:r>
        <w:t xml:space="preserve">2.3 Transportation &amp; Distribution (Upstream &amp; Downstream - Scope 3, Category 4 &amp; 9)</w:t>
      </w:r>
    </w:p>
    <w:p>
      <w:pPr>
        <w:pStyle w:val="FirstParagraph"/>
      </w:pPr>
      <w:r>
        <w:t xml:space="preserve">This includes all transportation activities:</w:t>
      </w:r>
    </w:p>
    <w:p>
      <w:pPr>
        <w:numPr>
          <w:ilvl w:val="0"/>
          <w:numId w:val="1003"/>
        </w:numPr>
        <w:pStyle w:val="Compact"/>
      </w:pPr>
      <w:r>
        <w:t xml:space="preserve">**Upstream:** Transport of raw materials and components from Europe to the final production country (China). (Scope 3, Category 4: Upstream Transportation and Distribution).</w:t>
      </w:r>
    </w:p>
    <w:p>
      <w:pPr>
        <w:numPr>
          <w:ilvl w:val="0"/>
          <w:numId w:val="1003"/>
        </w:numPr>
        <w:pStyle w:val="Compact"/>
      </w:pPr>
      <w:r>
        <w:t xml:space="preserve">**Downstream:** Transport of the finished product from the factory in China to the consumer in Europe, including last-mile delivery. (Scope 3, Category 9: Downstream Transportation and Distribution).</w:t>
      </w:r>
    </w:p>
    <w:bookmarkEnd w:id="29"/>
    <w:bookmarkStart w:id="30" w:name="use-phase-scope-3-category-11"/>
    <w:p>
      <w:pPr>
        <w:pStyle w:val="Heading3"/>
      </w:pPr>
      <w:r>
        <w:t xml:space="preserve">2.4 Use Phase (Scope 3, Category 11)</w:t>
      </w:r>
    </w:p>
    <w:p>
      <w:pPr>
        <w:pStyle w:val="FirstParagraph"/>
      </w:pPr>
      <w:r>
        <w:t xml:space="preserve">This phase accounts for the energy consumed by yyvohhkoli during its operational lifespan by the end-user.</w:t>
      </w:r>
    </w:p>
    <w:bookmarkEnd w:id="30"/>
    <w:bookmarkStart w:id="31" w:name="X210143e50433bf4e7687bdfefe45c681f300a44"/>
    <w:p>
      <w:pPr>
        <w:pStyle w:val="Heading3"/>
      </w:pPr>
      <w:r>
        <w:t xml:space="preserve">2.5 End-of-Life (EoL) Phase (Scope 3, Category 12)</w:t>
      </w:r>
    </w:p>
    <w:p>
      <w:pPr>
        <w:pStyle w:val="FirstParagraph"/>
      </w:pPr>
      <w:r>
        <w:t xml:space="preserve">This stage considers the emissions or avoided emissions associated with the disposal, recycling, or recovery of yyvohhkoli at the end of its functional life.</w:t>
      </w:r>
    </w:p>
    <w:p>
      <w:r>
        <w:pict>
          <v:rect style="width:0;height:1.5pt" o:hralign="center" o:hrstd="t" o:hr="t"/>
        </w:pict>
      </w:r>
    </w:p>
    <w:bookmarkEnd w:id="31"/>
    <w:bookmarkEnd w:id="32"/>
    <w:bookmarkStart w:id="35" w:name="Xeb8f9812239bda4427a0069883df0154634bfaf"/>
    <w:p>
      <w:pPr>
        <w:pStyle w:val="Heading2"/>
      </w:pPr>
      <w:r>
        <w:t xml:space="preserve">3. Collecting Data (Primary and Secondary Data Points)</w:t>
      </w:r>
    </w:p>
    <w:p>
      <w:pPr>
        <w:pStyle w:val="FirstParagraph"/>
      </w:pPr>
      <w:r>
        <w:t xml:space="preserve">Data collection is critical for accurate PCF analysis. Both primary (company-specific) and secondary (generic, industry-average) data have been used.</w:t>
      </w:r>
    </w:p>
    <w:bookmarkStart w:id="33" w:name="primary-data-provided-parameters"/>
    <w:p>
      <w:pPr>
        <w:pStyle w:val="Heading3"/>
      </w:pPr>
      <w:r>
        <w:t xml:space="preserve">3.1 Primary Data (Provided Parameters)</w:t>
      </w:r>
    </w:p>
    <w:p>
      <w:pPr>
        <w:numPr>
          <w:ilvl w:val="0"/>
          <w:numId w:val="1004"/>
        </w:numPr>
        <w:pStyle w:val="Compact"/>
      </w:pPr>
      <w:r>
        <w:t xml:space="preserve">**Company Name:** ksfrnlzgyu</w:t>
      </w:r>
    </w:p>
    <w:p>
      <w:pPr>
        <w:numPr>
          <w:ilvl w:val="0"/>
          <w:numId w:val="1004"/>
        </w:numPr>
        <w:pStyle w:val="Compact"/>
      </w:pPr>
      <w:r>
        <w:t xml:space="preserve">**Product Name:** yyvohhkoli</w:t>
      </w:r>
    </w:p>
    <w:p>
      <w:pPr>
        <w:numPr>
          <w:ilvl w:val="0"/>
          <w:numId w:val="1004"/>
        </w:numPr>
        <w:pStyle w:val="Compact"/>
      </w:pPr>
      <w:r>
        <w:t xml:space="preserve">**Detailed Bill of Materials (BOM):** `ndzvzweg` (as detailed in section 2.1, with illustrative data)</w:t>
      </w:r>
    </w:p>
    <w:p>
      <w:pPr>
        <w:numPr>
          <w:ilvl w:val="0"/>
          <w:numId w:val="1004"/>
        </w:numPr>
        <w:pStyle w:val="Compact"/>
      </w:pPr>
      <w:r>
        <w:t xml:space="preserve">**Transport Mode (Primary):** `Select Mode` (assumed "Ocean Freight" for main leg, "Road Freight (LTL)" for last-mile)</w:t>
      </w:r>
    </w:p>
    <w:p>
      <w:pPr>
        <w:numPr>
          <w:ilvl w:val="0"/>
          <w:numId w:val="1004"/>
        </w:numPr>
        <w:pStyle w:val="Compact"/>
      </w:pPr>
      <w:r>
        <w:t xml:space="preserve">**Transport Distance (Primary):** `wdrlvzjffx` (assumed 10,000 km for ocean, 500 km for road)</w:t>
      </w:r>
    </w:p>
    <w:p>
      <w:pPr>
        <w:numPr>
          <w:ilvl w:val="0"/>
          <w:numId w:val="1004"/>
        </w:numPr>
        <w:pStyle w:val="Compact"/>
      </w:pPr>
      <w:r>
        <w:t xml:space="preserve">**Last-Mile Delivery Channel:** `Delivery Type` (assumed "Road Freight (LTL)")</w:t>
      </w:r>
    </w:p>
    <w:p>
      <w:pPr>
        <w:numPr>
          <w:ilvl w:val="0"/>
          <w:numId w:val="1004"/>
        </w:numPr>
        <w:pStyle w:val="Compact"/>
      </w:pPr>
      <w:r>
        <w:t xml:space="preserve">**Renewable Energy Usage (Production):** `vemtrwifui` (assumed 30%)</w:t>
      </w:r>
    </w:p>
    <w:p>
      <w:pPr>
        <w:numPr>
          <w:ilvl w:val="0"/>
          <w:numId w:val="1004"/>
        </w:numPr>
        <w:pStyle w:val="Compact"/>
      </w:pPr>
      <w:r>
        <w:t xml:space="preserve">**Energy Intensity (Production - kWh/unit):** `ipyrduvxpt` (assumed 5.0 kWh/unit)</w:t>
      </w:r>
    </w:p>
    <w:p>
      <w:pPr>
        <w:numPr>
          <w:ilvl w:val="0"/>
          <w:numId w:val="1004"/>
        </w:numPr>
        <w:pStyle w:val="Compact"/>
      </w:pPr>
      <w:r>
        <w:t xml:space="preserve">**Product Lifespan:** `vtyeqxdugd` (assumed 5 years)</w:t>
      </w:r>
    </w:p>
    <w:p>
      <w:pPr>
        <w:numPr>
          <w:ilvl w:val="0"/>
          <w:numId w:val="1004"/>
        </w:numPr>
        <w:pStyle w:val="Compact"/>
      </w:pPr>
      <w:r>
        <w:t xml:space="preserve">**Energy Consumption in Use:** `giumxujgjf` (assumed 10 kWh/year)</w:t>
      </w:r>
    </w:p>
    <w:p>
      <w:pPr>
        <w:numPr>
          <w:ilvl w:val="0"/>
          <w:numId w:val="1004"/>
        </w:numPr>
        <w:pStyle w:val="Compact"/>
      </w:pPr>
      <w:r>
        <w:t xml:space="preserve">**Recyclability Percentage (EoL):** `yueggifyqu` (assumed 70%)</w:t>
      </w:r>
    </w:p>
    <w:p>
      <w:pPr>
        <w:numPr>
          <w:ilvl w:val="0"/>
          <w:numId w:val="1004"/>
        </w:numPr>
        <w:pStyle w:val="Compact"/>
      </w:pPr>
      <w:r>
        <w:t xml:space="preserve">**Circular/Take-back Programs:** `wydxjtehqk` (assumed "Yes, with partner programs for material recovery and refurbishment")</w:t>
      </w:r>
    </w:p>
    <w:bookmarkEnd w:id="33"/>
    <w:bookmarkStart w:id="34" w:name="secondary-data-emission-factors"/>
    <w:p>
      <w:pPr>
        <w:pStyle w:val="Heading3"/>
      </w:pPr>
      <w:r>
        <w:t xml:space="preserve">3.2 Secondary Data (Emission Factors)</w:t>
      </w:r>
    </w:p>
    <w:p>
      <w:pPr>
        <w:pStyle w:val="FirstParagraph"/>
      </w:pPr>
      <w:r>
        <w:t xml:space="preserve">Where primary data is unavailable or impractical to collect, industry-standard emission factors are applied. These are drawn from reputable databases such as Ecoinvent and DEFRA (Department for Environment, Food &amp; Rural Affairs).</w:t>
      </w:r>
    </w:p>
    <w:p>
      <w:pPr>
        <w:numPr>
          <w:ilvl w:val="0"/>
          <w:numId w:val="1005"/>
        </w:numPr>
        <w:pStyle w:val="Compact"/>
      </w:pPr>
      <w:r>
        <w:t xml:space="preserve">**Electricity Grid Emission Factor (China):** China\'s electricity grid mix is highly reliant on coal, leading to relatively high emission factors. A national average electricity carbon footprint factor in China is around 0.6205 kgCO₂e/kWh, though regional variations exist (e.g., East Grid around 0.556 kgCO₂/kWh). For this analysis, we will use an average factor of **0.60 kg CO₂e/kWh** for grid electricity in China.</w:t>
      </w:r>
    </w:p>
    <w:p>
      <w:pPr>
        <w:numPr>
          <w:ilvl w:val="0"/>
          <w:numId w:val="1005"/>
        </w:numPr>
        <w:pStyle w:val="Compact"/>
      </w:pPr>
      <w:r>
        <w:t xml:space="preserve">**Ocean Freight (Container Ship):** Average emission factor of **0.016 kg CO₂e/tonne-km**.</w:t>
      </w:r>
    </w:p>
    <w:p>
      <w:pPr>
        <w:numPr>
          <w:ilvl w:val="0"/>
          <w:numId w:val="1005"/>
        </w:numPr>
        <w:pStyle w:val="Compact"/>
      </w:pPr>
      <w:r>
        <w:t xml:space="preserve">**Road Freight (Less than Truckload - LTL):** Average emission factor of **0.11 kg CO₂e/tonne-km**.</w:t>
      </w:r>
    </w:p>
    <w:p>
      <w:pPr>
        <w:numPr>
          <w:ilvl w:val="0"/>
          <w:numId w:val="1005"/>
        </w:numPr>
        <w:pStyle w:val="Compact"/>
      </w:pPr>
      <w:r>
        <w:t xml:space="preserve">**Land Use Change &amp; Removals:** As per the 2026 LSR Standard, companies with significant land sector activities or those reporting CO₂ removals must follow specific accounting requirements. For this product, direct land use change is not a primary driver, but the standard\'s principles inform how any biogenic carbon (e.g., in packaging from sustainable forestry) or technological removals would be considered if specific data were available.</w:t>
      </w:r>
    </w:p>
    <w:p>
      <w:r>
        <w:pict>
          <v:rect style="width:0;height:1.5pt" o:hralign="center" o:hrstd="t" o:hr="t"/>
        </w:pict>
      </w:r>
    </w:p>
    <w:bookmarkEnd w:id="34"/>
    <w:bookmarkEnd w:id="35"/>
    <w:bookmarkStart w:id="42" w:name="X8e135337b28cbf0add14bc211af230247d3ca2e"/>
    <w:p>
      <w:pPr>
        <w:pStyle w:val="Heading2"/>
      </w:pPr>
      <w:r>
        <w:t xml:space="preserve">4. Calculating Emissions (Activity * Emission Factor = CO₂e)</w:t>
      </w:r>
    </w:p>
    <w:p>
      <w:pPr>
        <w:pStyle w:val="FirstParagraph"/>
      </w:pPr>
      <w:r>
        <w:t xml:space="preserve">The total Product Carbon Footprint is calculated by summing the emissions from each lifecycle stage, categorized according to the GHG Protocol Scopes. The calculation formula is generally: `Emissions (kg CO₂e) = Activity Data * Emission Factor`.</w:t>
      </w:r>
    </w:p>
    <w:bookmarkStart w:id="36" w:name="X9f139ff8a4db61bc1d838659529cc80a708d8d9"/>
    <w:p>
      <w:pPr>
        <w:pStyle w:val="Heading3"/>
      </w:pPr>
      <w:r>
        <w:t xml:space="preserve">4.1 Raw Material Acquisition &amp; Component Manufacturing (Scope 3, Category 1)</w:t>
      </w:r>
    </w:p>
    <w:p>
      <w:pPr>
        <w:pStyle w:val="FirstParagraph"/>
      </w:pPr>
      <w:r>
        <w:t xml:space="preserve">Based on the illustrative BOM data provided in Section 2.1:</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Total Carbon (kg CO₂e)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Recycled ABS Plastic (Housing)</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Lithium-ion Battery Pack</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0.50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0.08</w:t>
            </w:r>
          </w:p>
        </w:tc>
      </w:tr>
      <w:tr>
        <w:tc>
          <w:tcPr/>
          <w:p>
            <w:pPr>
              <w:pStyle w:val="Compact"/>
              <w:jc w:val="left"/>
            </w:pPr>
            <w:r>
              <w:t xml:space="preserve">M-006</w:t>
            </w:r>
          </w:p>
        </w:tc>
        <w:tc>
          <w:tcPr/>
          <w:p>
            <w:pPr>
              <w:pStyle w:val="Compact"/>
              <w:jc w:val="left"/>
            </w:pPr>
            <w:r>
              <w:t xml:space="preserve">Glass Display</w:t>
            </w:r>
          </w:p>
        </w:tc>
        <w:tc>
          <w:tcPr/>
          <w:p>
            <w:pPr>
              <w:pStyle w:val="Compact"/>
              <w:jc w:val="left"/>
            </w:pPr>
            <w:r>
              <w:t xml:space="preserve">0.10</w:t>
            </w:r>
          </w:p>
        </w:tc>
      </w:tr>
      <w:tr>
        <w:tc>
          <w:tcPr/>
          <w:p>
            <w:pPr>
              <w:pStyle w:val="Compact"/>
              <w:jc w:val="left"/>
            </w:pPr>
            <w:r>
              <w:t xml:space="preserve">M-007</w:t>
            </w:r>
          </w:p>
        </w:tc>
        <w:tc>
          <w:tcPr/>
          <w:p>
            <w:pPr>
              <w:pStyle w:val="Compact"/>
              <w:jc w:val="left"/>
            </w:pPr>
            <w:r>
              <w:t xml:space="preserve">Silicon Chipset</w:t>
            </w:r>
          </w:p>
        </w:tc>
        <w:tc>
          <w:tcPr/>
          <w:p>
            <w:pPr>
              <w:pStyle w:val="Compact"/>
              <w:jc w:val="left"/>
            </w:pPr>
            <w:r>
              <w:t xml:space="preserve">0.20</w:t>
            </w:r>
          </w:p>
        </w:tc>
      </w:tr>
      <w:tr>
        <w:tc>
          <w:tcPr/>
          <w:p>
            <w:pPr>
              <w:pStyle w:val="Compact"/>
              <w:jc w:val="left"/>
            </w:pPr>
            <w:r>
              <w:t xml:space="preserve">M-008</w:t>
            </w:r>
          </w:p>
        </w:tc>
        <w:tc>
          <w:tcPr/>
          <w:p>
            <w:pPr>
              <w:pStyle w:val="Compact"/>
              <w:jc w:val="left"/>
            </w:pPr>
            <w:r>
              <w:t xml:space="preserve">Packaging (Recycled Cardboard)</w:t>
            </w:r>
          </w:p>
        </w:tc>
        <w:tc>
          <w:tcPr/>
          <w:p>
            <w:pPr>
              <w:pStyle w:val="Compact"/>
              <w:jc w:val="left"/>
            </w:pPr>
            <w:r>
              <w:t xml:space="preserve">0.12</w:t>
            </w:r>
          </w:p>
        </w:tc>
      </w:tr>
      <w:tr>
        <w:tc>
          <w:tcPr>
            <w:gridSpan w:val="2"/>
          </w:tcPr>
          <w:p>
            <w:pPr>
              <w:pStyle w:val="Compact"/>
              <w:jc w:val="right"/>
            </w:pPr>
            <w:r>
              <w:t xml:space="preserve">**Subtotal Raw Materials &amp; Components:**</w:t>
            </w:r>
          </w:p>
        </w:tc>
        <w:tc>
          <w:tcPr/>
          <w:p>
            <w:pPr>
              <w:pStyle w:val="Compact"/>
              <w:jc w:val="left"/>
            </w:pPr>
            <w:r>
              <w:t xml:space="preserve">**6.75 kg CO₂e**</w:t>
            </w:r>
          </w:p>
        </w:tc>
      </w:tr>
    </w:tbl>
    <w:bookmarkEnd w:id="36"/>
    <w:bookmarkStart w:id="37" w:name="production-phase-scope-1-2"/>
    <w:p>
      <w:pPr>
        <w:pStyle w:val="Heading3"/>
      </w:pPr>
      <w:r>
        <w:t xml:space="preserve">4.2 Production Phase (Scope 1 &amp; 2)</w:t>
      </w:r>
    </w:p>
    <w:p>
      <w:pPr>
        <w:pStyle w:val="FirstParagraph"/>
      </w:pPr>
      <w:r>
        <w:t xml:space="preserve">For the production of 1.0 unit of yyvohhkoli in China:</w:t>
      </w:r>
    </w:p>
    <w:p>
      <w:pPr>
        <w:numPr>
          <w:ilvl w:val="0"/>
          <w:numId w:val="1006"/>
        </w:numPr>
        <w:pStyle w:val="Compact"/>
      </w:pPr>
      <w:r>
        <w:t xml:space="preserve">**Energy Intensity (kWh/unit):**</w:t>
      </w:r>
      <w:r>
        <w:t xml:space="preserve"> </w:t>
      </w:r>
      <w:r>
        <w:rPr>
          <w:rStyle w:val="VerbatimChar"/>
        </w:rPr>
        <w:t xml:space="preserve">ipyrduvxpt</w:t>
      </w:r>
      <w:r>
        <w:t xml:space="preserve"> </w:t>
      </w:r>
      <w:r>
        <w:t xml:space="preserve">= 5.0 kWh/unit (assumed)</w:t>
      </w:r>
    </w:p>
    <w:p>
      <w:pPr>
        <w:numPr>
          <w:ilvl w:val="0"/>
          <w:numId w:val="1006"/>
        </w:numPr>
        <w:pStyle w:val="Compact"/>
      </w:pPr>
      <w:r>
        <w:t xml:space="preserve">**Renewable Energy Usage:**</w:t>
      </w:r>
      <w:r>
        <w:t xml:space="preserve"> </w:t>
      </w:r>
      <w:r>
        <w:rPr>
          <w:rStyle w:val="VerbatimChar"/>
        </w:rPr>
        <w:t xml:space="preserve">vemtrwifui</w:t>
      </w:r>
      <w:r>
        <w:t xml:space="preserve"> </w:t>
      </w:r>
      <w:r>
        <w:t xml:space="preserve">= 30% (assumed)</w:t>
      </w:r>
    </w:p>
    <w:p>
      <w:pPr>
        <w:numPr>
          <w:ilvl w:val="0"/>
          <w:numId w:val="1006"/>
        </w:numPr>
        <w:pStyle w:val="Compact"/>
      </w:pPr>
      <w:r>
        <w:t xml:space="preserve">**Grid Electricity Emission Factor (China):** 0.60 kg CO₂e/kWh (assumed from secondary data)</w:t>
      </w:r>
    </w:p>
    <w:p>
      <w:pPr>
        <w:pStyle w:val="FirstParagraph"/>
      </w:pPr>
      <w:r>
        <w:t xml:space="preserve">**Calculation for Production Electricity Emissions (Scope 2):**</w:t>
      </w:r>
      <w:r>
        <w:t xml:space="preserve"> </w:t>
      </w:r>
      <w:r>
        <w:t xml:space="preserve">* Total electricity needed = 5.0 kWh/unit</w:t>
      </w:r>
      <w:r>
        <w:t xml:space="preserve"> </w:t>
      </w:r>
      <w:r>
        <w:t xml:space="preserve">* Electricity from Renewable Sources = 5.0 kWh * 30% = 1.5 kWh (assumed 0 emissions for simplicity, though residual mix might have minor impact)</w:t>
      </w:r>
      <w:r>
        <w:t xml:space="preserve"> </w:t>
      </w:r>
      <w:r>
        <w:t xml:space="preserve">* Electricity from Grid = 5.0 kWh - 1.5 kWh = 3.5 kWh</w:t>
      </w:r>
      <w:r>
        <w:t xml:space="preserve"> </w:t>
      </w:r>
      <w:r>
        <w:t xml:space="preserve">* Emissions from Grid Electricity = 3.5 kWh * 0.60 kg CO₂e/kWh = **2.10 kg CO₂e**</w:t>
      </w:r>
    </w:p>
    <w:p>
      <w:pPr>
        <w:pStyle w:val="BodyText"/>
      </w:pPr>
      <w:r>
        <w:t xml:space="preserve">**Scope 1 Emissions (Direct):** Assuming minor direct emissions from on-site operations (e.g., heating, small-scale processes, fugitive emissions) for simplicity, let\'s estimate **0.10 kg CO₂e**.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CO₂e)</w:t>
            </w:r>
          </w:p>
        </w:tc>
      </w:tr>
      <w:tr>
        <w:tc>
          <w:tcPr/>
          <w:p>
            <w:pPr>
              <w:pStyle w:val="Compact"/>
              <w:jc w:val="left"/>
            </w:pPr>
            <w:r>
              <w:t xml:space="preserve">Scope 1</w:t>
            </w:r>
          </w:p>
        </w:tc>
        <w:tc>
          <w:tcPr/>
          <w:p>
            <w:pPr>
              <w:pStyle w:val="Compact"/>
              <w:jc w:val="left"/>
            </w:pPr>
            <w:r>
              <w:t xml:space="preserve">Direct Production Emissions</w:t>
            </w:r>
          </w:p>
        </w:tc>
        <w:tc>
          <w:tcPr/>
          <w:p>
            <w:pPr>
              <w:pStyle w:val="Compact"/>
              <w:jc w:val="left"/>
            </w:pPr>
            <w:r>
              <w:t xml:space="preserve">0.10</w:t>
            </w:r>
          </w:p>
        </w:tc>
      </w:tr>
      <w:tr>
        <w:tc>
          <w:tcPr/>
          <w:p>
            <w:pPr>
              <w:pStyle w:val="Compact"/>
              <w:jc w:val="left"/>
            </w:pPr>
            <w:r>
              <w:t xml:space="preserve">Scope 2</w:t>
            </w:r>
          </w:p>
        </w:tc>
        <w:tc>
          <w:tcPr/>
          <w:p>
            <w:pPr>
              <w:pStyle w:val="Compact"/>
              <w:jc w:val="left"/>
            </w:pPr>
            <w:r>
              <w:t xml:space="preserve">Purchased Electricity (Grid)</w:t>
            </w:r>
          </w:p>
        </w:tc>
        <w:tc>
          <w:tcPr/>
          <w:p>
            <w:pPr>
              <w:pStyle w:val="Compact"/>
              <w:jc w:val="left"/>
            </w:pPr>
            <w:r>
              <w:t xml:space="preserve">2.10</w:t>
            </w:r>
          </w:p>
        </w:tc>
      </w:tr>
      <w:tr>
        <w:tc>
          <w:tcPr>
            <w:gridSpan w:val="2"/>
          </w:tcPr>
          <w:p>
            <w:pPr>
              <w:pStyle w:val="Compact"/>
              <w:jc w:val="right"/>
            </w:pPr>
            <w:r>
              <w:t xml:space="preserve">**Subtotal Production Phase:**</w:t>
            </w:r>
          </w:p>
        </w:tc>
        <w:tc>
          <w:tcPr/>
          <w:p>
            <w:pPr>
              <w:pStyle w:val="Compact"/>
              <w:jc w:val="left"/>
            </w:pPr>
            <w:r>
              <w:t xml:space="preserve">**2.20 kg CO₂e**</w:t>
            </w:r>
          </w:p>
        </w:tc>
      </w:tr>
    </w:tbl>
    <w:bookmarkEnd w:id="37"/>
    <w:bookmarkStart w:id="38" w:name="X1aba12e767cf943a5f815dc779ff8a22eed13a2"/>
    <w:p>
      <w:pPr>
        <w:pStyle w:val="Heading3"/>
      </w:pPr>
      <w:r>
        <w:t xml:space="preserve">4.3 Transportation &amp; Distribution (Scope 3, Category 4 &amp; 9)</w:t>
      </w:r>
    </w:p>
    <w:p>
      <w:pPr>
        <w:pStyle w:val="FirstParagraph"/>
      </w:pPr>
      <w:r>
        <w:t xml:space="preserve">Assume the final product (yyvohhkoli + packaging) has a total weight of ~0.8 kg per unit for transport purposes (sum of BOM components).</w:t>
      </w:r>
    </w:p>
    <w:p>
      <w:pPr>
        <w:numPr>
          <w:ilvl w:val="0"/>
          <w:numId w:val="1007"/>
        </w:numPr>
        <w:pStyle w:val="Compact"/>
      </w:pPr>
      <w:r>
        <w:t xml:space="preserve">**Upstream Transport (Components Europe to China):**</w:t>
      </w:r>
      <w:r>
        <w:t xml:space="preserve"> </w:t>
      </w:r>
      <w:r>
        <w:t xml:space="preserve">* Assumed Mode: Ocean Freight (`Select Mode`)</w:t>
      </w:r>
      <w:r>
        <w:t xml:space="preserve"> </w:t>
      </w:r>
      <w:r>
        <w:t xml:space="preserve">* Assumed Distance: 10,000 km (`wdrlvzjffx`)</w:t>
      </w:r>
      <w:r>
        <w:t xml:space="preserve"> </w:t>
      </w:r>
      <w:r>
        <w:t xml:space="preserve">* Assumed Component Weight (average for materials): 0.7 kg (from BOM components before final assembly, excluding packaging)</w:t>
      </w:r>
      <w:r>
        <w:t xml:space="preserve"> </w:t>
      </w:r>
      <w:r>
        <w:t xml:space="preserve">* Emission Factor (Ocean Freight): 0.016 kg CO₂e/tonne-km</w:t>
      </w:r>
      <w:r>
        <w:t xml:space="preserve"> </w:t>
      </w:r>
      <w:r>
        <w:t xml:space="preserve">* Emissions = 0.7 kg * (1 tonne / 1000 kg) * 10,000 km * 0.016 kg CO₂e/tonne-km = **0.112 kg CO₂e** (Scope 3, Cat 4)</w:t>
      </w:r>
    </w:p>
    <w:p>
      <w:pPr>
        <w:numPr>
          <w:ilvl w:val="0"/>
          <w:numId w:val="1007"/>
        </w:numPr>
        <w:pStyle w:val="Compact"/>
      </w:pPr>
      <w:r>
        <w:t xml:space="preserve">**Downstream Transport (Product China to Europe - Main Leg):**</w:t>
      </w:r>
      <w:r>
        <w:t xml:space="preserve"> </w:t>
      </w:r>
      <w:r>
        <w:t xml:space="preserve">* Assumed Mode: Ocean Freight (`Select Mode`)</w:t>
      </w:r>
      <w:r>
        <w:t xml:space="preserve"> </w:t>
      </w:r>
      <w:r>
        <w:t xml:space="preserve">* Assumed Distance: 10,000 km (`wdrlvzjffx`)</w:t>
      </w:r>
      <w:r>
        <w:t xml:space="preserve"> </w:t>
      </w:r>
      <w:r>
        <w:t xml:space="preserve">* Product Weight (including packaging): 0.8 kg</w:t>
      </w:r>
      <w:r>
        <w:t xml:space="preserve"> </w:t>
      </w:r>
      <w:r>
        <w:t xml:space="preserve">* Emission Factor (Ocean Freight): 0.016 kg CO₂e/tonne-km</w:t>
      </w:r>
      <w:r>
        <w:t xml:space="preserve"> </w:t>
      </w:r>
      <w:r>
        <w:t xml:space="preserve">* Emissions = 0.8 kg * (1 tonne / 1000 kg) * 10,000 km * 0.016 kg CO₂e/tonne-km = **0.128 kg CO₂e** (Scope 3, Cat 9)</w:t>
      </w:r>
    </w:p>
    <w:p>
      <w:pPr>
        <w:numPr>
          <w:ilvl w:val="0"/>
          <w:numId w:val="1007"/>
        </w:numPr>
        <w:pStyle w:val="Compact"/>
      </w:pPr>
      <w:r>
        <w:t xml:space="preserve">**Last-Mile Delivery (Europe):**</w:t>
      </w:r>
      <w:r>
        <w:t xml:space="preserve"> </w:t>
      </w:r>
      <w:r>
        <w:t xml:space="preserve">* Assumed Channel: Road Freight (LTL) (`Delivery Type`)</w:t>
      </w:r>
      <w:r>
        <w:t xml:space="preserve"> </w:t>
      </w:r>
      <w:r>
        <w:t xml:space="preserve">* Assumed Distance: 500 km (illustrative)</w:t>
      </w:r>
      <w:r>
        <w:t xml:space="preserve"> </w:t>
      </w:r>
      <w:r>
        <w:t xml:space="preserve">* Product Weight: 0.8 kg</w:t>
      </w:r>
      <w:r>
        <w:t xml:space="preserve"> </w:t>
      </w:r>
      <w:r>
        <w:t xml:space="preserve">* Emission Factor (Road Freight LTL): 0.11 kg CO₂e/tonne-km</w:t>
      </w:r>
      <w:r>
        <w:t xml:space="preserve"> </w:t>
      </w:r>
      <w:r>
        <w:t xml:space="preserve">* Emissions = 0.8 kg * (1 tonne / 1000 kg) * 500 km * 0.11 kg CO₂e/tonne-km = **0.044 kg CO₂e** (Scope 3, Cat 9)</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CO₂e)</w:t>
            </w:r>
          </w:p>
        </w:tc>
      </w:tr>
      <w:tr>
        <w:tc>
          <w:tcPr/>
          <w:p>
            <w:pPr>
              <w:pStyle w:val="Compact"/>
              <w:jc w:val="left"/>
            </w:pPr>
            <w:r>
              <w:t xml:space="preserve">Scope 3, Cat 4</w:t>
            </w:r>
          </w:p>
        </w:tc>
        <w:tc>
          <w:tcPr/>
          <w:p>
            <w:pPr>
              <w:pStyle w:val="Compact"/>
              <w:jc w:val="left"/>
            </w:pPr>
            <w:r>
              <w:t xml:space="preserve">Upstream Transport (Components)</w:t>
            </w:r>
          </w:p>
        </w:tc>
        <w:tc>
          <w:tcPr/>
          <w:p>
            <w:pPr>
              <w:pStyle w:val="Compact"/>
              <w:jc w:val="left"/>
            </w:pPr>
            <w:r>
              <w:t xml:space="preserve">0.112</w:t>
            </w:r>
          </w:p>
        </w:tc>
      </w:tr>
      <w:tr>
        <w:tc>
          <w:tcPr/>
          <w:p>
            <w:pPr>
              <w:pStyle w:val="Compact"/>
              <w:jc w:val="left"/>
            </w:pPr>
            <w:r>
              <w:t xml:space="preserve">Scope 3, Cat 9</w:t>
            </w:r>
          </w:p>
        </w:tc>
        <w:tc>
          <w:tcPr/>
          <w:p>
            <w:pPr>
              <w:pStyle w:val="Compact"/>
              <w:jc w:val="left"/>
            </w:pPr>
            <w:r>
              <w:t xml:space="preserve">Downstream Transport (Main Leg)</w:t>
            </w:r>
          </w:p>
        </w:tc>
        <w:tc>
          <w:tcPr/>
          <w:p>
            <w:pPr>
              <w:pStyle w:val="Compact"/>
              <w:jc w:val="left"/>
            </w:pPr>
            <w:r>
              <w:t xml:space="preserve">0.128</w:t>
            </w:r>
          </w:p>
        </w:tc>
      </w:tr>
      <w:tr>
        <w:tc>
          <w:tcPr/>
          <w:p>
            <w:pPr>
              <w:pStyle w:val="Compact"/>
              <w:jc w:val="left"/>
            </w:pPr>
            <w:r>
              <w:t xml:space="preserve">Scope 3, Cat 9</w:t>
            </w:r>
          </w:p>
        </w:tc>
        <w:tc>
          <w:tcPr/>
          <w:p>
            <w:pPr>
              <w:pStyle w:val="Compact"/>
              <w:jc w:val="left"/>
            </w:pPr>
            <w:r>
              <w:t xml:space="preserve">Downstream Transport (Last Mile)</w:t>
            </w:r>
          </w:p>
        </w:tc>
        <w:tc>
          <w:tcPr/>
          <w:p>
            <w:pPr>
              <w:pStyle w:val="Compact"/>
              <w:jc w:val="left"/>
            </w:pPr>
            <w:r>
              <w:t xml:space="preserve">0.044</w:t>
            </w:r>
          </w:p>
        </w:tc>
      </w:tr>
      <w:tr>
        <w:tc>
          <w:tcPr>
            <w:gridSpan w:val="2"/>
          </w:tcPr>
          <w:p>
            <w:pPr>
              <w:pStyle w:val="Compact"/>
              <w:jc w:val="right"/>
            </w:pPr>
            <w:r>
              <w:t xml:space="preserve">**Subtotal Transportation &amp; Distribution:**</w:t>
            </w:r>
          </w:p>
        </w:tc>
        <w:tc>
          <w:tcPr/>
          <w:p>
            <w:pPr>
              <w:pStyle w:val="Compact"/>
              <w:jc w:val="left"/>
            </w:pPr>
            <w:r>
              <w:t xml:space="preserve">**0.284 kg CO₂e**</w:t>
            </w:r>
          </w:p>
        </w:tc>
      </w:tr>
    </w:tbl>
    <w:bookmarkEnd w:id="38"/>
    <w:bookmarkStart w:id="39" w:name="use-phase-scope-3-category-11-1"/>
    <w:p>
      <w:pPr>
        <w:pStyle w:val="Heading3"/>
      </w:pPr>
      <w:r>
        <w:t xml:space="preserve">4.4 Use Phase (Scope 3, Category 11)</w:t>
      </w:r>
    </w:p>
    <w:p>
      <w:pPr>
        <w:pStyle w:val="FirstParagraph"/>
      </w:pPr>
      <w:r>
        <w:t xml:space="preserve">The use phase emissions are calculated based on the product\'s lifespan and annual energy consumption.</w:t>
      </w:r>
    </w:p>
    <w:p>
      <w:pPr>
        <w:numPr>
          <w:ilvl w:val="0"/>
          <w:numId w:val="1008"/>
        </w:numPr>
        <w:pStyle w:val="Compact"/>
      </w:pPr>
      <w:r>
        <w:t xml:space="preserve">**Product Lifespan:** `vtyeqxdugd` = 5 years (assumed)</w:t>
      </w:r>
    </w:p>
    <w:p>
      <w:pPr>
        <w:numPr>
          <w:ilvl w:val="0"/>
          <w:numId w:val="1008"/>
        </w:numPr>
        <w:pStyle w:val="Compact"/>
      </w:pPr>
      <w:r>
        <w:t xml:space="preserve">**Energy Consumption in Use:** `giumxujgjf` = 10 kWh/year (assumed)</w:t>
      </w:r>
    </w:p>
    <w:p>
      <w:pPr>
        <w:numPr>
          <w:ilvl w:val="0"/>
          <w:numId w:val="1008"/>
        </w:numPr>
        <w:pStyle w:val="Compact"/>
      </w:pPr>
      <w:r>
        <w:t xml:space="preserve">**User Electricity Grid Emission Factor (Europe Focus):** Assuming an average European grid mix for consumer use, let\'s use **0.25 kg CO₂e/kWh** (illustrative, actual varies widely by country).</w:t>
      </w:r>
    </w:p>
    <w:p>
      <w:pPr>
        <w:pStyle w:val="FirstParagraph"/>
      </w:pPr>
      <w:r>
        <w:t xml:space="preserve">**Calculation for Use Phase Emissions:**</w:t>
      </w:r>
      <w:r>
        <w:t xml:space="preserve"> </w:t>
      </w:r>
      <w:r>
        <w:t xml:space="preserve">* Total Energy Consumption = 10 kWh/year * 5 years = 50 kWh</w:t>
      </w:r>
      <w:r>
        <w:t xml:space="preserve"> </w:t>
      </w:r>
      <w:r>
        <w:t xml:space="preserve">* Emissions = 50 kWh * 0.25 kg CO₂e/kWh = **12.50 kg CO₂e**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CO₂e)</w:t>
            </w:r>
          </w:p>
        </w:tc>
      </w:tr>
      <w:tr>
        <w:tc>
          <w:tcPr/>
          <w:p>
            <w:pPr>
              <w:pStyle w:val="Compact"/>
              <w:jc w:val="left"/>
            </w:pPr>
            <w:r>
              <w:t xml:space="preserve">Scope 3, Cat 11</w:t>
            </w:r>
          </w:p>
        </w:tc>
        <w:tc>
          <w:tcPr/>
          <w:p>
            <w:pPr>
              <w:pStyle w:val="Compact"/>
              <w:jc w:val="left"/>
            </w:pPr>
            <w:r>
              <w:t xml:space="preserve">Energy Consumption during Use</w:t>
            </w:r>
          </w:p>
        </w:tc>
        <w:tc>
          <w:tcPr/>
          <w:p>
            <w:pPr>
              <w:pStyle w:val="Compact"/>
              <w:jc w:val="left"/>
            </w:pPr>
            <w:r>
              <w:t xml:space="preserve">12.50</w:t>
            </w:r>
          </w:p>
        </w:tc>
      </w:tr>
      <w:tr>
        <w:tc>
          <w:tcPr>
            <w:gridSpan w:val="2"/>
          </w:tcPr>
          <w:p>
            <w:pPr>
              <w:pStyle w:val="Compact"/>
              <w:jc w:val="right"/>
            </w:pPr>
            <w:r>
              <w:t xml:space="preserve">**Subtotal Use Phase:**</w:t>
            </w:r>
          </w:p>
        </w:tc>
        <w:tc>
          <w:tcPr/>
          <w:p>
            <w:pPr>
              <w:pStyle w:val="Compact"/>
              <w:jc w:val="left"/>
            </w:pPr>
            <w:r>
              <w:t xml:space="preserve">**12.50 kg CO₂e**</w:t>
            </w:r>
          </w:p>
        </w:tc>
      </w:tr>
    </w:tbl>
    <w:bookmarkEnd w:id="39"/>
    <w:bookmarkStart w:id="40" w:name="Xf8e19df6a15d3d9a7fd3699229f2853bcc27d91"/>
    <w:p>
      <w:pPr>
        <w:pStyle w:val="Heading3"/>
      </w:pPr>
      <w:r>
        <w:t xml:space="preserve">4.5 End-of-Life (EoL) Phase (Scope 3, Category 12)</w:t>
      </w:r>
    </w:p>
    <w:p>
      <w:pPr>
        <w:pStyle w:val="FirstParagraph"/>
      </w:pPr>
      <w:r>
        <w:t xml:space="preserve">The EoL emissions are influenced by recyclability and circular programs.</w:t>
      </w:r>
    </w:p>
    <w:p>
      <w:pPr>
        <w:numPr>
          <w:ilvl w:val="0"/>
          <w:numId w:val="1009"/>
        </w:numPr>
        <w:pStyle w:val="Compact"/>
      </w:pPr>
      <w:r>
        <w:t xml:space="preserve">**Recyclability Percentage:** `yueggifyqu` = 70% (assumed)</w:t>
      </w:r>
    </w:p>
    <w:p>
      <w:pPr>
        <w:numPr>
          <w:ilvl w:val="0"/>
          <w:numId w:val="1009"/>
        </w:numPr>
        <w:pStyle w:val="Compact"/>
      </w:pPr>
      <w:r>
        <w:t xml:space="preserve">**Circular/Take-back Programs:** `wydxjtehqk` = "Yes" (assumed to reduce disposal impact)</w:t>
      </w:r>
    </w:p>
    <w:p>
      <w:pPr>
        <w:numPr>
          <w:ilvl w:val="0"/>
          <w:numId w:val="1009"/>
        </w:numPr>
        <w:pStyle w:val="Compact"/>
      </w:pPr>
      <w:r>
        <w:t xml:space="preserve">**Product Weight:** 0.8 kg</w:t>
      </w:r>
    </w:p>
    <w:p>
      <w:pPr>
        <w:pStyle w:val="FirstParagraph"/>
      </w:pPr>
      <w:r>
        <w:t xml:space="preserve">**Assumptions for EoL:**</w:t>
      </w:r>
      <w:r>
        <w:t xml:space="preserve"> </w:t>
      </w:r>
      <w:r>
        <w:t xml:space="preserve">* Emissions from incineration/landfill for non-recycled portion: Assume 1.5 kg CO₂e/kg for disposal (illustrative, highly variable).</w:t>
      </w:r>
      <w:r>
        <w:t xml:space="preserve"> </w:t>
      </w:r>
      <w:r>
        <w:t xml:space="preserve">* Avoided emissions from recycling: Assume 0.5 kg CO₂e/kg for recycled material (illustrative, varies by material).</w:t>
      </w:r>
    </w:p>
    <w:p>
      <w:pPr>
        <w:pStyle w:val="BodyText"/>
      </w:pPr>
      <w:r>
        <w:t xml:space="preserve">**Calculation for EoL Emissions:**</w:t>
      </w:r>
      <w:r>
        <w:t xml:space="preserve"> </w:t>
      </w:r>
      <w:r>
        <w:t xml:space="preserve">* Material disposed = 0.8 kg * (1 - 70%) = 0.24 kg</w:t>
      </w:r>
      <w:r>
        <w:t xml:space="preserve"> </w:t>
      </w:r>
      <w:r>
        <w:t xml:space="preserve">* Material recycled = 0.8 kg * 70% = 0.56 kg</w:t>
      </w:r>
      <w:r>
        <w:t xml:space="preserve"> </w:t>
      </w:r>
      <w:r>
        <w:t xml:space="preserve">* Emissions from Disposal = 0.24 kg * 1.5 kg CO₂e/kg = 0.36 kg CO₂e</w:t>
      </w:r>
      <w:r>
        <w:t xml:space="preserve"> </w:t>
      </w:r>
      <w:r>
        <w:t xml:space="preserve">* Avoided Emissions from Recycling = 0.56 kg * 0.5 kg CO₂e/kg = 0.28 kg CO₂e (This is a credit, so it reduces the total)</w:t>
      </w:r>
      <w:r>
        <w:t xml:space="preserve"> </w:t>
      </w:r>
      <w:r>
        <w:t xml:space="preserve">* Net EoL Emissions = 0.36 kg CO₂e - 0.28 kg CO₂e = **0.08 kg CO₂e** (Scope 3, Cat 12)</w:t>
      </w:r>
    </w:p>
    <w:p>
      <w:pPr>
        <w:pStyle w:val="BodyText"/>
      </w:pPr>
      <w:r>
        <w:t xml:space="preserve">Circular/Take-back programs like Nike\'s Move to Zero or Apple\'s Trade-In Program help manage end-of-life products by ensuring proper recycling or refurbishment, further reducing environmental impact.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CO₂e)</w:t>
            </w:r>
          </w:p>
        </w:tc>
      </w:tr>
      <w:tr>
        <w:tc>
          <w:tcPr/>
          <w:p>
            <w:pPr>
              <w:pStyle w:val="Compact"/>
              <w:jc w:val="left"/>
            </w:pPr>
            <w:r>
              <w:t xml:space="preserve">Scope 3, Cat 12</w:t>
            </w:r>
          </w:p>
        </w:tc>
        <w:tc>
          <w:tcPr/>
          <w:p>
            <w:pPr>
              <w:pStyle w:val="Compact"/>
              <w:jc w:val="left"/>
            </w:pPr>
            <w:r>
              <w:t xml:space="preserve">Net End-of-Life Emissions</w:t>
            </w:r>
          </w:p>
        </w:tc>
        <w:tc>
          <w:tcPr/>
          <w:p>
            <w:pPr>
              <w:pStyle w:val="Compact"/>
              <w:jc w:val="left"/>
            </w:pPr>
            <w:r>
              <w:t xml:space="preserve">0.08</w:t>
            </w:r>
          </w:p>
        </w:tc>
      </w:tr>
      <w:tr>
        <w:tc>
          <w:tcPr>
            <w:gridSpan w:val="2"/>
          </w:tcPr>
          <w:p>
            <w:pPr>
              <w:pStyle w:val="Compact"/>
              <w:jc w:val="right"/>
            </w:pPr>
            <w:r>
              <w:t xml:space="preserve">**Subtotal End-of-Life Phase:**</w:t>
            </w:r>
          </w:p>
        </w:tc>
        <w:tc>
          <w:tcPr/>
          <w:p>
            <w:pPr>
              <w:pStyle w:val="Compact"/>
              <w:jc w:val="left"/>
            </w:pPr>
            <w:r>
              <w:t xml:space="preserve">**0.08 kg CO₂e**</w:t>
            </w:r>
          </w:p>
        </w:tc>
      </w:tr>
    </w:tbl>
    <w:bookmarkEnd w:id="40"/>
    <w:bookmarkStart w:id="41" w:name="total-product-carbon-footprint"/>
    <w:p>
      <w:pPr>
        <w:pStyle w:val="Heading3"/>
      </w:pPr>
      <w:r>
        <w:t xml:space="preserve">4.6 Total Product Carbon Footprint</w:t>
      </w:r>
    </w:p>
    <w:p>
      <w:pPr>
        <w:pStyle w:val="FirstParagraph"/>
      </w:pPr>
      <w:r>
        <w:t xml:space="preserve">Summing up emissions from all stages for 1.0 unit of yyvohhkoli:</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 (GHG Scope)</w:t>
            </w:r>
          </w:p>
        </w:tc>
        <w:tc>
          <w:tcPr/>
          <w:p>
            <w:pPr>
              <w:pStyle w:val="Compact"/>
              <w:jc w:val="left"/>
            </w:pPr>
            <w:r>
              <w:t xml:space="preserve">Emissions (kg CO₂e)</w:t>
            </w:r>
          </w:p>
        </w:tc>
      </w:tr>
      <w:tr>
        <w:tc>
          <w:tcPr/>
          <w:p>
            <w:pPr>
              <w:pStyle w:val="Compact"/>
              <w:jc w:val="left"/>
            </w:pPr>
            <w:r>
              <w:t xml:space="preserve">Raw Material Acquisition &amp; Component Mfg (Scope 3, Cat 1)</w:t>
            </w:r>
          </w:p>
        </w:tc>
        <w:tc>
          <w:tcPr/>
          <w:p>
            <w:pPr>
              <w:pStyle w:val="Compact"/>
              <w:jc w:val="left"/>
            </w:pPr>
            <w:r>
              <w:t xml:space="preserve">6.75</w:t>
            </w:r>
          </w:p>
        </w:tc>
      </w:tr>
      <w:tr>
        <w:tc>
          <w:tcPr/>
          <w:p>
            <w:pPr>
              <w:pStyle w:val="Compact"/>
              <w:jc w:val="left"/>
            </w:pPr>
            <w:r>
              <w:t xml:space="preserve">Production Phase (Scope 1 &amp; 2)</w:t>
            </w:r>
          </w:p>
        </w:tc>
        <w:tc>
          <w:tcPr/>
          <w:p>
            <w:pPr>
              <w:pStyle w:val="Compact"/>
              <w:jc w:val="left"/>
            </w:pPr>
            <w:r>
              <w:t xml:space="preserve">2.20</w:t>
            </w:r>
          </w:p>
        </w:tc>
      </w:tr>
      <w:tr>
        <w:tc>
          <w:tcPr/>
          <w:p>
            <w:pPr>
              <w:pStyle w:val="Compact"/>
              <w:jc w:val="left"/>
            </w:pPr>
            <w:r>
              <w:t xml:space="preserve">Transportation &amp; Distribution (Scope 3, Cat 4 &amp; 9)</w:t>
            </w:r>
          </w:p>
        </w:tc>
        <w:tc>
          <w:tcPr/>
          <w:p>
            <w:pPr>
              <w:pStyle w:val="Compact"/>
              <w:jc w:val="left"/>
            </w:pPr>
            <w:r>
              <w:t xml:space="preserve">0.284</w:t>
            </w:r>
          </w:p>
        </w:tc>
      </w:tr>
      <w:tr>
        <w:tc>
          <w:tcPr/>
          <w:p>
            <w:pPr>
              <w:pStyle w:val="Compact"/>
              <w:jc w:val="left"/>
            </w:pPr>
            <w:r>
              <w:t xml:space="preserve">Use Phase (Scope 3, Cat 11)</w:t>
            </w:r>
          </w:p>
        </w:tc>
        <w:tc>
          <w:tcPr/>
          <w:p>
            <w:pPr>
              <w:pStyle w:val="Compact"/>
              <w:jc w:val="left"/>
            </w:pPr>
            <w:r>
              <w:t xml:space="preserve">12.50</w:t>
            </w:r>
          </w:p>
        </w:tc>
      </w:tr>
      <w:tr>
        <w:tc>
          <w:tcPr/>
          <w:p>
            <w:pPr>
              <w:pStyle w:val="Compact"/>
              <w:jc w:val="left"/>
            </w:pPr>
            <w:r>
              <w:t xml:space="preserve">End-of-Life Phase (Scope 3, Cat 12)</w:t>
            </w:r>
          </w:p>
        </w:tc>
        <w:tc>
          <w:tcPr/>
          <w:p>
            <w:pPr>
              <w:pStyle w:val="Compact"/>
              <w:jc w:val="left"/>
            </w:pPr>
            <w:r>
              <w:t xml:space="preserve">0.08</w:t>
            </w:r>
          </w:p>
        </w:tc>
      </w:tr>
      <w:tr>
        <w:tc>
          <w:tcPr/>
          <w:p>
            <w:pPr>
              <w:pStyle w:val="Compact"/>
              <w:jc w:val="right"/>
            </w:pPr>
            <w:r>
              <w:t xml:space="preserve">**TOTAL PRODUCT CARBON FOOTPRINT (PCF):**</w:t>
            </w:r>
          </w:p>
        </w:tc>
        <w:tc>
          <w:tcPr/>
          <w:p>
            <w:pPr>
              <w:pStyle w:val="Compact"/>
              <w:jc w:val="left"/>
            </w:pPr>
            <w:r>
              <w:t xml:space="preserve">**21.814 kg CO₂e**</w:t>
            </w:r>
          </w:p>
        </w:tc>
      </w:tr>
    </w:tbl>
    <w:p>
      <w:pPr>
        <w:pStyle w:val="BodyText"/>
      </w:pPr>
      <w:r>
        <w:t xml:space="preserve">**The estimated Product Carbon Footprint for one unit of yyvohhkoli is approximately 21.81 kg CO₂e.**</w:t>
      </w:r>
    </w:p>
    <w:p>
      <w:r>
        <w:pict>
          <v:rect style="width:0;height:1.5pt" o:hralign="center" o:hrstd="t" o:hr="t"/>
        </w:pict>
      </w:r>
    </w:p>
    <w:bookmarkEnd w:id="41"/>
    <w:bookmarkEnd w:id="42"/>
    <w:bookmarkStart w:id="49"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The analysis reveals the following emission hotspots for yyvohhkoli:</w:t>
      </w:r>
    </w:p>
    <w:p>
      <w:pPr>
        <w:numPr>
          <w:ilvl w:val="0"/>
          <w:numId w:val="1010"/>
        </w:numPr>
        <w:pStyle w:val="Compact"/>
      </w:pPr>
      <w:r>
        <w:t xml:space="preserve">**Use Phase (57.3%):** The most significant contributor to the total PCF is the energy consumed during the product\'s operational lifespan. This is typical for electronic products.</w:t>
      </w:r>
    </w:p>
    <w:p>
      <w:pPr>
        <w:numPr>
          <w:ilvl w:val="0"/>
          <w:numId w:val="1010"/>
        </w:numPr>
        <w:pStyle w:val="Compact"/>
      </w:pPr>
      <w:r>
        <w:t xml:space="preserve">**Raw Material Acquisition &amp; Component Manufacturing (30.9%):** The extraction and processing of materials, particularly aluminum, batteries, and silicon, contribute substantially.</w:t>
      </w:r>
    </w:p>
    <w:p>
      <w:pPr>
        <w:numPr>
          <w:ilvl w:val="0"/>
          <w:numId w:val="1010"/>
        </w:numPr>
        <w:pStyle w:val="Compact"/>
      </w:pPr>
      <w:r>
        <w:t xml:space="preserve">**Production Phase (10.1%):** Energy consumption during manufacturing in China, primarily due to the grid\'s carbon intensity, is also a notable hotspot.</w:t>
      </w:r>
    </w:p>
    <w:p>
      <w:pPr>
        <w:numPr>
          <w:ilvl w:val="0"/>
          <w:numId w:val="1010"/>
        </w:numPr>
        <w:pStyle w:val="Compact"/>
      </w:pPr>
      <w:r>
        <w:t xml:space="preserve">**Transportation &amp; Distribution (1.3%):** While essential, logistics contribute a smaller proportion compared to other stages.</w:t>
      </w:r>
    </w:p>
    <w:p>
      <w:pPr>
        <w:numPr>
          <w:ilvl w:val="0"/>
          <w:numId w:val="1010"/>
        </w:numPr>
        <w:pStyle w:val="Compact"/>
      </w:pPr>
      <w:r>
        <w:t xml:space="preserve">**End-of-Life (0.4%):** With a significant recyclability percentage and circular programs, the net impact of the EoL phase is minimized.</w:t>
      </w:r>
    </w:p>
    <w:bookmarkEnd w:id="43"/>
    <w:bookmarkStart w:id="44" w:name="reliability-and-data-quality"/>
    <w:p>
      <w:pPr>
        <w:pStyle w:val="Heading3"/>
      </w:pPr>
      <w:r>
        <w:t xml:space="preserve">5.2 Reliability and Data Quality</w:t>
      </w:r>
    </w:p>
    <w:p>
      <w:pPr>
        <w:pStyle w:val="FirstParagraph"/>
      </w:pPr>
      <w:r>
        <w:t xml:space="preserve">This report integrates specific primary data where provided, alongside high-quality secondary emission factors from databases like Ecoinvent and DEFRA. The reliability of the results is dependent on the accuracy of the assumed placeholder values for undefined parameters. For a real-world scenario, precise primary data from suppliers (e.g., specific emission factors for purchased materials, detailed energy consumption at each manufacturing stage, exact transport routes and modes) would further enhance accuracy.</w:t>
      </w:r>
    </w:p>
    <w:bookmarkEnd w:id="44"/>
    <w:bookmarkStart w:id="45" w:name="Xa0167153afb08617bc1ef66f877fb2c58fdaeda"/>
    <w:p>
      <w:pPr>
        <w:pStyle w:val="Heading3"/>
      </w:pPr>
      <w:r>
        <w:t xml:space="preserve">5.3 Adherence to GHG Protocol and 2026 LSR Update</w:t>
      </w:r>
    </w:p>
    <w:p>
      <w:pPr>
        <w:pStyle w:val="FirstParagraph"/>
      </w:pPr>
      <w:r>
        <w:t xml:space="preserve">This analysis is compliant with the GHG Protocol Corporate Accounting and Reporting Standard and the Corporate Value Chain (Scope 3) Accounting and Reporting Standard.</w:t>
      </w:r>
    </w:p>
    <w:p>
      <w:pPr>
        <w:numPr>
          <w:ilvl w:val="0"/>
          <w:numId w:val="1011"/>
        </w:numPr>
        <w:pStyle w:val="Compact"/>
      </w:pPr>
      <w:r>
        <w:t xml:space="preserve">**Scope Categorization:** Emissions are clearly categorized into Scope 1 (direct emissions), Scope 2 (purchased energy emissions), and Scope 3 (all other indirect value chain emissions).</w:t>
      </w:r>
    </w:p>
    <w:p>
      <w:pPr>
        <w:numPr>
          <w:ilvl w:val="0"/>
          <w:numId w:val="1011"/>
        </w:numPr>
        <w:pStyle w:val="Compact"/>
      </w:pPr>
      <w:r>
        <w:t xml:space="preserve">**2026 LSR Update:** The GHG Protocol\'s Land Sector and Removals (LSR) Standard, effective January 1, 2027, has been considered. While specific land-use data for yyvohhkoli was not provided, the principles of the LSR Standard (which clarify accounting for emissions and removals from agricultural and land use activities, as well as technological CO₂ removals) would guide the quantification and reporting of any relevant land-based impacts or carbon removals if applicable to the product\'s upstream supply chain or raw materials (e.g., biogenic materials in packaging). The accompanying guidance, expected in Q2 2026, will provide more detailed implementation support.</w:t>
      </w:r>
    </w:p>
    <w:p>
      <w:pPr>
        <w:numPr>
          <w:ilvl w:val="0"/>
          <w:numId w:val="1011"/>
        </w:numPr>
        <w:pStyle w:val="Compact"/>
      </w:pPr>
      <w:r>
        <w:t xml:space="preserve">**Scope 3 Compliance (95% Coverage):** As per the proposed 2026 requirements, companies need to account for at least 95% of total required Scope 3 emissions. This analysis has strived for comprehensive coverage of all significant Scope 3 categories related to a physical product (Purchased Goods and Services, Transportation, Use of Sold Products, End-of-Life Treatment of Sold Products). A real-world assessment would include a quantitative hotspot analysis to ensure this 95% threshold is met, identifying and justifying any minor exclusions.</w:t>
      </w:r>
    </w:p>
    <w:bookmarkEnd w:id="45"/>
    <w:bookmarkStart w:id="48" w:name="recommendations-for-emission-reduction"/>
    <w:p>
      <w:pPr>
        <w:pStyle w:val="Heading3"/>
      </w:pPr>
      <w:r>
        <w:t xml:space="preserve">5.4 Recommendations for Emission Reduction</w:t>
      </w:r>
    </w:p>
    <w:p>
      <w:pPr>
        <w:numPr>
          <w:ilvl w:val="0"/>
          <w:numId w:val="1012"/>
        </w:numPr>
        <w:pStyle w:val="Compact"/>
      </w:pPr>
      <w:r>
        <w:t xml:space="preserve">**Optimize Use Phase:** Explore product design for energy efficiency (e.g., lower power consumption components, smart sleep modes) and educate consumers on efficient use practices.</w:t>
      </w:r>
    </w:p>
    <w:p>
      <w:pPr>
        <w:numPr>
          <w:ilvl w:val="0"/>
          <w:numId w:val="1012"/>
        </w:numPr>
        <w:pStyle w:val="Compact"/>
      </w:pPr>
      <w:r>
        <w:t xml:space="preserve">**Decarbonize Supply Chain:** Engage with suppliers to encourage the use of lower-carbon materials (e.g., higher recycled content, materials produced with renewable energy) and promote greener manufacturing processes.</w:t>
      </w:r>
    </w:p>
    <w:p>
      <w:pPr>
        <w:numPr>
          <w:ilvl w:val="0"/>
          <w:numId w:val="1012"/>
        </w:numPr>
        <w:pStyle w:val="Compact"/>
      </w:pPr>
      <w:r>
        <w:t xml:space="preserve">**Renewable Energy Integration:** Increase renewable energy procurement for internal operations in China. Ksfrnlzgyu\'s current 30% renewable energy usage is a good start, but further investment can significantly reduce Scope 2 emissions.</w:t>
      </w:r>
    </w:p>
    <w:p>
      <w:pPr>
        <w:numPr>
          <w:ilvl w:val="0"/>
          <w:numId w:val="1012"/>
        </w:numPr>
        <w:pStyle w:val="Compact"/>
      </w:pPr>
      <w:r>
        <w:t xml:space="preserve">**Logistics Optimization:** Further refine transportation routes, utilize higher capacity vehicles, and explore alternative, lower-emission transport modes where feasible (e.g., rail for European distribution).</w:t>
      </w:r>
    </w:p>
    <w:p>
      <w:pPr>
        <w:numPr>
          <w:ilvl w:val="0"/>
          <w:numId w:val="1012"/>
        </w:numPr>
        <w:pStyle w:val="Compact"/>
      </w:pPr>
      <w:r>
        <w:t xml:space="preserve">**Strengthen Circular Economy:** Expand and promote take-back and refurbishment programs (`wydxjtehqk`) beyond basic recycling to maximize material value and extend product lifespans, aligning with the 70% recyclability (`yueggifyqu`) target.</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6" w:name="page-num"/>
      <w:bookmarkEnd w:id="46"/>
      <w:r>
        <w:t xml:space="preserve"> </w:t>
      </w:r>
      <w:r>
        <w:t xml:space="preserve">of</w:t>
      </w:r>
      <w:r>
        <w:t xml:space="preserve"> </w:t>
      </w:r>
      <w:bookmarkStart w:id="47" w:name="page-count"/>
      <w:bookmarkEnd w:id="47"/>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yyvohhkoli</dc:title>
  <dc:creator/>
  <dc:description>A high-detail Product Carbon Footprint (PCF) analysis for yyvohhkoli, adhering to GHG Protocol standards and 2026 updates, prepared by tynedhpsfp for ksfrnlzgyu.</dc:description>
  <dc:language>en</dc:language>
  <cp:keywords/>
  <dcterms:created xsi:type="dcterms:W3CDTF">2026-07-15T14:42:25Z</dcterms:created>
  <dcterms:modified xsi:type="dcterms:W3CDTF">2026-07-15T14:42:25Z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