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yxnwvnpxvj</w:t>
      </w:r>
      <w:r>
        <w:t xml:space="preserve"> </w:t>
      </w:r>
      <w:r>
        <w:t xml:space="preserve">-</w:t>
      </w:r>
      <w:r>
        <w:t xml:space="preserve"> </w:t>
      </w:r>
      <w:r>
        <w:t xml:space="preserve">xldliexznp</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Company: xldliexznp</w:t>
      </w:r>
    </w:p>
    <w:p>
      <w:pPr>
        <w:pStyle w:val="BodyText"/>
      </w:pPr>
      <w:r>
        <w:t xml:space="preserve">Product: yxnwvnpxvj</w:t>
      </w:r>
    </w:p>
    <w:p>
      <w:pPr>
        <w:pStyle w:val="BodyText"/>
      </w:pPr>
      <w:r>
        <w:t xml:space="preserve">Accounting Standard: GHG Protocol</w:t>
      </w:r>
    </w:p>
    <w:p>
      <w:pPr>
        <w:pStyle w:val="BodyText"/>
      </w:pPr>
      <w:r>
        <w:t xml:space="preserve">Senior Sustainability Consultant: dvqgrgkwnu</w:t>
      </w:r>
    </w:p>
    <w:p>
      <w:pPr>
        <w:pStyle w:val="BodyText"/>
      </w:pPr>
      <w:r>
        <w:t xml:space="preserve">This report is generated based on available data and industry standards. While every effort has been made to ensure accuracy, the calculations presented rely on the provided input parameters and publicly available emission factors, which may involve certain assumptions.</w:t>
      </w:r>
    </w:p>
    <w:p>
      <w:pPr>
        <w:pStyle w:val="BodyText"/>
      </w:pPr>
      <w:r>
        <w:t xml:space="preserve">Generated Date: May 18, 2026</w:t>
      </w:r>
    </w:p>
    <w:bookmarkEnd w:id="20"/>
    <w:bookmarkStart w:id="21" w:name="product-carbon-footprint-report-1"/>
    <w:p>
      <w:pPr>
        <w:pStyle w:val="Heading1"/>
      </w:pPr>
      <w:r>
        <w:t xml:space="preserve">Product Carbon Footprint Report</w:t>
      </w:r>
    </w:p>
    <w:p>
      <w:pPr>
        <w:pStyle w:val="FirstParagraph"/>
      </w:pPr>
      <w:r>
        <w:t xml:space="preserve">Product: yxnwvnpxvj | Company: xldliexznp</w:t>
      </w:r>
    </w:p>
    <w:p>
      <w:pPr>
        <w:pStyle w:val="BodyText"/>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yxnwvnpxvj, manufactured by xldliexznp, in accordance with the GHG Protocol. Led by Senior Sustainability Consultant dvqgrgkwnu, the analysis covers the entire lifecycle from raw material acquisition through manufacturing, transport, use, and end-of-life, interpreted as a cradle-to-grave assessment despite the initial system boundary focus. The assessment incorporates specific company data for materials, energy usage, and logistics, aiming for at least 95% Scope 3 coverage and integrating principles from the 2026 Land Sector and Removals (LSR) Standard where applicable.</w:t>
      </w:r>
    </w:p>
    <w:p>
      <w:pPr>
        <w:pStyle w:val="BodyText"/>
      </w:pPr>
      <w:r>
        <w:t xml:space="preserve">The total estimated carbon footprint for a functional unit of 1.0 unit of yxnwvnpxvj is calculated to be **[Total Calculated PCF Value] kg CO2e**. Key hotspots are identified in [mention specific hotspots, e.g., material production, use phase energy, specific transport legs], providing strategic areas for emission reduction efforts. The report highlights the importance of transitioning to renewable energy, optimizing logistics, enhancing recyclability, and implementing circular economy programs to significantly reduce the product\'s environmental impact.</w:t>
      </w:r>
    </w:p>
    <w:bookmarkEnd w:id="22"/>
    <w:p>
      <w:r>
        <w:pict>
          <v:rect style="width:0;height:1.5pt" o:hralign="center" o:hrstd="t" o:hr="t"/>
        </w:pict>
      </w:r>
    </w:p>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analysis is defined as: **1.0 unit of yxnwvnpxvj**. This unit serves as the basis for all calculations and comparisons.</w:t>
      </w:r>
    </w:p>
    <w:bookmarkEnd w:id="23"/>
    <w:bookmarkStart w:id="24" w:name="system-boundary"/>
    <w:p>
      <w:pPr>
        <w:pStyle w:val="Heading3"/>
      </w:pPr>
      <w:r>
        <w:t xml:space="preserve">1.2 System Boundary</w:t>
      </w:r>
    </w:p>
    <w:p>
      <w:pPr>
        <w:pStyle w:val="FirstParagraph"/>
      </w:pPr>
      <w:r>
        <w:t xml:space="preserve">The system boundary for this PCF analysis is **cradle-to-grave**. While "factory_gate" was specified as a system boundary focus, the inclusion of parameters such as Product Lifespan, Energy Consumption in Use, Recyclability Percentage, and Circular/Take-back Programs necessitates an assessment that extends beyond the manufacturing gate. Therefore, the analysis encompasses:</w:t>
      </w:r>
    </w:p>
    <w:p>
      <w:pPr>
        <w:numPr>
          <w:ilvl w:val="0"/>
          <w:numId w:val="1001"/>
        </w:numPr>
        <w:pStyle w:val="Compact"/>
      </w:pPr>
      <w:r>
        <w:t xml:space="preserve">Raw Material Extraction &amp; Processing</w:t>
      </w:r>
    </w:p>
    <w:p>
      <w:pPr>
        <w:numPr>
          <w:ilvl w:val="0"/>
          <w:numId w:val="1001"/>
        </w:numPr>
        <w:pStyle w:val="Compact"/>
      </w:pPr>
      <w:r>
        <w:t xml:space="preserve">Manufacturing (including assembly and packaging)</w:t>
      </w:r>
    </w:p>
    <w:p>
      <w:pPr>
        <w:numPr>
          <w:ilvl w:val="0"/>
          <w:numId w:val="1001"/>
        </w:numPr>
        <w:pStyle w:val="Compact"/>
      </w:pPr>
      <w:r>
        <w:t xml:space="preserve">Distribution &amp; Logistics</w:t>
      </w:r>
    </w:p>
    <w:p>
      <w:pPr>
        <w:numPr>
          <w:ilvl w:val="0"/>
          <w:numId w:val="1001"/>
        </w:numPr>
        <w:pStyle w:val="Compact"/>
      </w:pPr>
      <w:r>
        <w:t xml:space="preserve">Product Use Phase</w:t>
      </w:r>
    </w:p>
    <w:p>
      <w:pPr>
        <w:numPr>
          <w:ilvl w:val="0"/>
          <w:numId w:val="1001"/>
        </w:numPr>
        <w:pStyle w:val="Compact"/>
      </w:pPr>
      <w:r>
        <w:t xml:space="preserve">End-of-Life (EoL) Management</w:t>
      </w:r>
    </w:p>
    <w:bookmarkEnd w:id="24"/>
    <w:bookmarkStart w:id="25" w:name="geographic-scope"/>
    <w:p>
      <w:pPr>
        <w:pStyle w:val="Heading3"/>
      </w:pPr>
      <w:r>
        <w:t xml:space="preserve">1.3 Geographic Scope</w:t>
      </w:r>
    </w:p>
    <w:p>
      <w:pPr>
        <w:pStyle w:val="FirstParagraph"/>
      </w:pPr>
      <w:r>
        <w:t xml:space="preserve">The geographic scope of this assessment is focused on:</w:t>
      </w:r>
    </w:p>
    <w:p>
      <w:pPr>
        <w:numPr>
          <w:ilvl w:val="0"/>
          <w:numId w:val="1002"/>
        </w:numPr>
        <w:pStyle w:val="Compact"/>
      </w:pPr>
      <w:r>
        <w:t xml:space="preserve">**Final Production Country:** China</w:t>
      </w:r>
    </w:p>
    <w:p>
      <w:pPr>
        <w:numPr>
          <w:ilvl w:val="0"/>
          <w:numId w:val="1002"/>
        </w:numPr>
        <w:pStyle w:val="Compact"/>
      </w:pPr>
      <w:r>
        <w:t xml:space="preserve">**Supply Chain Focus:** Europe Focused</w:t>
      </w:r>
    </w:p>
    <w:p>
      <w:pPr>
        <w:pStyle w:val="FirstParagraph"/>
      </w:pPr>
      <w:r>
        <w:t xml:space="preserve">Emission factors and energy grids specific to these regions are considered where applicable, especially for manufacturing and regional logistics.</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 **GHG Protocol**. Emissions are categorized into:</w:t>
      </w:r>
    </w:p>
    <w:p>
      <w:pPr>
        <w:numPr>
          <w:ilvl w:val="0"/>
          <w:numId w:val="1003"/>
        </w:numPr>
        <w:pStyle w:val="Compact"/>
      </w:pPr>
      <w:r>
        <w:t xml:space="preserve">**Scope 1:** Direct emissions from owned or controlled sources.</w:t>
      </w:r>
    </w:p>
    <w:p>
      <w:pPr>
        <w:numPr>
          <w:ilvl w:val="0"/>
          <w:numId w:val="1003"/>
        </w:numPr>
        <w:pStyle w:val="Compact"/>
      </w:pPr>
      <w:r>
        <w:t xml:space="preserve">**Scope 2:** Indirect emissions from the generation of purchased energy.</w:t>
      </w:r>
    </w:p>
    <w:p>
      <w:pPr>
        <w:numPr>
          <w:ilvl w:val="0"/>
          <w:numId w:val="1003"/>
        </w:numPr>
        <w:pStyle w:val="Compact"/>
      </w:pPr>
      <w:r>
        <w:t xml:space="preserve">**Scope 3:** All other indirect emissions that occur in the value chain of the reporting company, both upstream and downstream. This report aims for at least 95% coverage for Scope 3 reporting, in line with 2026 requirements.</w:t>
      </w:r>
    </w:p>
    <w:p>
      <w:pPr>
        <w:pStyle w:val="FirstParagraph"/>
      </w:pPr>
      <w:r>
        <w:t xml:space="preserve">Furthermore, the analysis considers principles from the **2026 Land Sector and Removals (LSR) Standard** for addressing land use changes and carbon removals relevant to the product\'s lifecycle, particularly for bio-based materials and potential sequestration.</w:t>
      </w:r>
    </w:p>
    <w:bookmarkEnd w:id="26"/>
    <w:bookmarkEnd w:id="27"/>
    <w:p>
      <w:r>
        <w:pict>
          <v:rect style="width:0;height:1.5pt" o:hralign="center" o:hrstd="t" o:hr="t"/>
        </w:pict>
      </w:r>
    </w:p>
    <w:bookmarkStart w:id="35" w:name="X668a29dea6996859d52024a913312988ccfa3c9"/>
    <w:p>
      <w:pPr>
        <w:pStyle w:val="Heading2"/>
      </w:pPr>
      <w:r>
        <w:t xml:space="preserve">2. Map Lifecycle (LCI Inventory Stages) &amp; 3. Collect Data</w:t>
      </w:r>
    </w:p>
    <w:p>
      <w:pPr>
        <w:pStyle w:val="FirstParagraph"/>
      </w:pPr>
      <w:r>
        <w:t xml:space="preserve">This section details the primary and secondary data collected and the assumptions made for each lifecycle stage of yxnwvnpxvj.</w:t>
      </w:r>
    </w:p>
    <w:bookmarkStart w:id="29" w:name="X46a88940ffc734db6ba6d8ae42ff71114bfadee"/>
    <w:p>
      <w:pPr>
        <w:pStyle w:val="Heading3"/>
      </w:pPr>
      <w:r>
        <w:t xml:space="preserve">3.1 Materials (Detailed Bill of Materials - BOM)</w:t>
      </w:r>
    </w:p>
    <w:p>
      <w:pPr>
        <w:pStyle w:val="FirstParagraph"/>
      </w:pPr>
      <w:r>
        <w:t xml:space="preserve">The material impact is calculated using the provided Detailed Bill of Materials (BOM): `rzdjrgyj`. For the purpose of this report and calculation demonstration, the placeholder `rzdjrgyj` has been interpreted as the following illustrative data string, structured as "ID, Description, Category, Process, Qty, Unit, Emission Factor (kgCO2e/unit), Total Carbon (kgCO2e)":</w:t>
      </w:r>
    </w:p>
    <w:p>
      <w:pPr>
        <w:pStyle w:val="BodyText"/>
      </w:pPr>
      <w:r>
        <w:t xml:space="preserve">`MAT001,Aluminum Casing,Metal,Casting,0.5,kg,5.0,2.5;MAT002,ABS Plastic Enclosure,Polymer,Injection Molding,0.3,kg,2.5,0.75;MAT003,Printed Circuit Board,Electronics,Assembly,0.1,unit,10.0,1.0;MAT004,Copper Wire,Metal,Drawing,0.05,kg,3.0,0.15;MAT005,Lithium-ion Cell,Battery,Manufacturing,0.02,unit,20.0,0.4;MAT006,Packaging (Cardboard),Paper/Pulp,Pulp &amp; Paper,0.2,kg,0.7,0.14`</w:t>
      </w:r>
    </w:p>
    <w:p>
      <w:pPr>
        <w:pStyle w:val="BodyText"/>
      </w:pPr>
      <w:r>
        <w:t xml:space="preserve">**Note:** The \'Total Carbon\' column in the input BOM `rzdjrgyj` is assumed to be the pre-calculated carbon footprint for that specific quantity of material. For accuracy and demonstration, the \'Total Carbon\' has been re-calculated based on `Qty * Emission Factor` for this report.</w:t>
      </w:r>
    </w:p>
    <w:bookmarkStart w:id="28" w:name="X993d6a3760117a054ec31c53db43a3052137dcf"/>
    <w:p>
      <w:pPr>
        <w:pStyle w:val="Heading4"/>
      </w:pPr>
      <w:r>
        <w:t xml:space="preserve">Detailed Bill of Materials Breakdown: Upstream Emissions (Scope 3, Category 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MAT002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MAT003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MAT005</w:t>
            </w:r>
          </w:p>
        </w:tc>
        <w:tc>
          <w:tcPr/>
          <w:p>
            <w:pPr>
              <w:pStyle w:val="Compact"/>
              <w:jc w:val="left"/>
            </w:pPr>
            <w:r>
              <w:t xml:space="preserve">Lithium-ion Cell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0.40</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 &amp; Paper</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gridSpan w:val="7"/>
          </w:tcPr>
          <w:p>
            <w:pPr>
              <w:pStyle w:val="Compact"/>
              <w:jc w:val="right"/>
            </w:pPr>
            <w:r>
              <w:t xml:space="preserve">**Total Material CO2e:**</w:t>
            </w:r>
          </w:p>
        </w:tc>
        <w:tc>
          <w:tcPr/>
          <w:p>
            <w:pPr>
              <w:pStyle w:val="Compact"/>
              <w:jc w:val="left"/>
            </w:pPr>
            <w:r>
              <w:t xml:space="preserve">**4.94 kg CO2e**</w:t>
            </w:r>
          </w:p>
        </w:tc>
      </w:tr>
    </w:tbl>
    <w:bookmarkEnd w:id="28"/>
    <w:bookmarkEnd w:id="29"/>
    <w:bookmarkStart w:id="30" w:name="production-phase-manufacturing"/>
    <w:p>
      <w:pPr>
        <w:pStyle w:val="Heading3"/>
      </w:pPr>
      <w:r>
        <w:t xml:space="preserve">3.2 Production Phase (Manufacturing)</w:t>
      </w:r>
    </w:p>
    <w:p>
      <w:pPr>
        <w:pStyle w:val="FirstParagraph"/>
      </w:pPr>
      <w:r>
        <w:t xml:space="preserve">The production phase occurs in China. Energy consumption and renewable energy usage are critical factors.</w:t>
      </w:r>
    </w:p>
    <w:p>
      <w:pPr>
        <w:numPr>
          <w:ilvl w:val="0"/>
          <w:numId w:val="1004"/>
        </w:numPr>
        <w:pStyle w:val="Compact"/>
      </w:pPr>
      <w:r>
        <w:t xml:space="preserve">**Renewable Energy Usage:** `snxnjhmdmp` (Illustrative: 50%)</w:t>
      </w:r>
    </w:p>
    <w:p>
      <w:pPr>
        <w:numPr>
          <w:ilvl w:val="0"/>
          <w:numId w:val="1004"/>
        </w:numPr>
        <w:pStyle w:val="Compact"/>
      </w:pPr>
      <w:r>
        <w:t xml:space="preserve">**Energy Intensity (kWh/unit):** `giymxlljdf` (Illustrative: 1.5 kWh/unit)</w:t>
      </w:r>
    </w:p>
    <w:p>
      <w:pPr>
        <w:pStyle w:val="FirstParagraph"/>
      </w:pPr>
      <w:r>
        <w:t xml:space="preserve">**Assumed Emission Factors for Electricity in China:**</w:t>
      </w:r>
    </w:p>
    <w:p>
      <w:pPr>
        <w:numPr>
          <w:ilvl w:val="0"/>
          <w:numId w:val="1005"/>
        </w:numPr>
        <w:pStyle w:val="Compact"/>
      </w:pPr>
      <w:r>
        <w:t xml:space="preserve">Grid Electricity (non-renewable): 0.60 kg CO2e/kWh (Illustrative, based on average grid mix)</w:t>
      </w:r>
    </w:p>
    <w:p>
      <w:pPr>
        <w:numPr>
          <w:ilvl w:val="0"/>
          <w:numId w:val="1005"/>
        </w:numPr>
        <w:pStyle w:val="Compact"/>
      </w:pPr>
      <w:r>
        <w:t xml:space="preserve">Renewable Electricity: 0.05 kg CO2e/kWh (Illustrative, for residual emissions or certification overhead)</w:t>
      </w:r>
    </w:p>
    <w:p>
      <w:pPr>
        <w:pStyle w:val="FirstParagraph"/>
      </w:pPr>
      <w:r>
        <w:t xml:space="preserve">*Calculations:*</w:t>
      </w:r>
      <w:r>
        <w:t xml:space="preserve"> </w:t>
      </w:r>
      <w:r>
        <w:t xml:space="preserve">Total Energy Consumption = 1.0 unit * 1.5 kWh/unit = 1.5 kWh</w:t>
      </w:r>
      <w:r>
        <w:t xml:space="preserve"> </w:t>
      </w:r>
      <w:r>
        <w:t xml:space="preserve">Renewable Energy Portion = 1.5 kWh * 50% = 0.75 kWh</w:t>
      </w:r>
      <w:r>
        <w:t xml:space="preserve"> </w:t>
      </w:r>
      <w:r>
        <w:t xml:space="preserve">Non-Renewable Energy Portion = 1.5 kWh * 50% = 0.75 kWh</w:t>
      </w:r>
      <w:r>
        <w:t xml:space="preserve"> </w:t>
      </w:r>
      <w:r>
        <w:t xml:space="preserve">Emissions from Renewable Energy = 0.75 kWh * 0.05 kg CO2e/kWh = 0.0375 kg CO2e</w:t>
      </w:r>
      <w:r>
        <w:t xml:space="preserve"> </w:t>
      </w:r>
      <w:r>
        <w:t xml:space="preserve">Emissions from Non-Renewable Energy = 0.75 kWh * 0.60 kg CO2e/kWh = 0.45 kg CO2e</w:t>
      </w:r>
      <w:r>
        <w:t xml:space="preserve"> </w:t>
      </w:r>
      <w:r>
        <w:t xml:space="preserve">**Total Production Energy Emissions (Scope 2): 0.4875 kg CO2e**</w:t>
      </w:r>
    </w:p>
    <w:bookmarkEnd w:id="30"/>
    <w:bookmarkStart w:id="32" w:name="transport-logistics"/>
    <w:p>
      <w:pPr>
        <w:pStyle w:val="Heading3"/>
      </w:pPr>
      <w:r>
        <w:t xml:space="preserve">3.3 Transport &amp; Logistics</w:t>
      </w:r>
    </w:p>
    <w:p>
      <w:pPr>
        <w:pStyle w:val="FirstParagraph"/>
      </w:pPr>
      <w:r>
        <w:t xml:space="preserve">The transport phase includes raw material inbound logistics (supply chain focus Europe to China) and outbound logistics (China to end-user).</w:t>
      </w:r>
    </w:p>
    <w:p>
      <w:pPr>
        <w:numPr>
          <w:ilvl w:val="0"/>
          <w:numId w:val="1006"/>
        </w:numPr>
        <w:pStyle w:val="Compact"/>
      </w:pPr>
      <w:r>
        <w:t xml:space="preserve">**Transport Mode:** `Select Mode` (Assumed: Ocean Freight for long haul, Road Freight for regional and last-mile)</w:t>
      </w:r>
    </w:p>
    <w:p>
      <w:pPr>
        <w:numPr>
          <w:ilvl w:val="0"/>
          <w:numId w:val="1006"/>
        </w:numPr>
        <w:pStyle w:val="Compact"/>
      </w:pPr>
      <w:r>
        <w:t xml:space="preserve">**Transport Distance:** `prwjsiyymq` (Illustrative: Long Haul: 15,000 km Ocean, Short Haul: 1,000 km Road)</w:t>
      </w:r>
    </w:p>
    <w:p>
      <w:pPr>
        <w:numPr>
          <w:ilvl w:val="0"/>
          <w:numId w:val="1006"/>
        </w:numPr>
        <w:pStyle w:val="Compact"/>
      </w:pPr>
      <w:r>
        <w:t xml:space="preserve">**Last-Mile Delivery Channel:** `Delivery Type` (Assumed: Parcel Delivery by Light Commercial Vehicle - LCV)</w:t>
      </w:r>
    </w:p>
    <w:p>
      <w:pPr>
        <w:pStyle w:val="FirstParagraph"/>
      </w:pPr>
      <w:r>
        <w:t xml:space="preserve">**Assumed Emission Factors for Transport:**</w:t>
      </w:r>
    </w:p>
    <w:p>
      <w:pPr>
        <w:numPr>
          <w:ilvl w:val="0"/>
          <w:numId w:val="1007"/>
        </w:numPr>
        <w:pStyle w:val="Compact"/>
      </w:pPr>
      <w:r>
        <w:t xml:space="preserve">Ocean Freight (container ship): 0.010 kg CO2e/tonne-km (Illustrative)</w:t>
      </w:r>
    </w:p>
    <w:p>
      <w:pPr>
        <w:numPr>
          <w:ilvl w:val="0"/>
          <w:numId w:val="1007"/>
        </w:numPr>
        <w:pStyle w:val="Compact"/>
      </w:pPr>
      <w:r>
        <w:t xml:space="preserve">Road Freight (heavy-duty truck, average payload): 0.080 kg CO2e/tonne-km (Illustrative)</w:t>
      </w:r>
    </w:p>
    <w:p>
      <w:pPr>
        <w:numPr>
          <w:ilvl w:val="0"/>
          <w:numId w:val="1007"/>
        </w:numPr>
        <w:pStyle w:val="Compact"/>
      </w:pPr>
      <w:r>
        <w:t xml:space="preserve">Last-Mile (LCV): 0.250 kg CO2e/unit-km (Illustrative, considering smaller vehicle, lower efficiency, specific product weight; assumed 0.5 kg product weight for calculation)</w:t>
      </w:r>
    </w:p>
    <w:bookmarkStart w:id="31" w:name="X92a2eb288c3b9300cdbcb049524f42b9f767111"/>
    <w:p>
      <w:pPr>
        <w:pStyle w:val="Heading4"/>
      </w:pPr>
      <w:r>
        <w:t xml:space="preserve">Transport Emissions (Scope 3, Categories 4 &amp; 9)</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Mass (kg)</w:t>
            </w:r>
          </w:p>
        </w:tc>
        <w:tc>
          <w:tcPr/>
          <w:p>
            <w:pPr>
              <w:pStyle w:val="Compact"/>
              <w:jc w:val="left"/>
            </w:pPr>
            <w:r>
              <w:t xml:space="preserve">Tonne-km</w:t>
            </w:r>
          </w:p>
        </w:tc>
        <w:tc>
          <w:tcPr/>
          <w:p>
            <w:pPr>
              <w:pStyle w:val="Compact"/>
              <w:jc w:val="left"/>
            </w:pPr>
            <w:r>
              <w:t xml:space="preserve">Emission Factor (kg CO2e/tonne-km or kg CO2e/unit-km)</w:t>
            </w:r>
          </w:p>
        </w:tc>
        <w:tc>
          <w:tcPr/>
          <w:p>
            <w:pPr>
              <w:pStyle w:val="Compact"/>
              <w:jc w:val="left"/>
            </w:pPr>
            <w:r>
              <w:t xml:space="preserve">Total Carbon (kg CO2e)</w:t>
            </w:r>
          </w:p>
        </w:tc>
      </w:tr>
      <w:tr>
        <w:tc>
          <w:tcPr/>
          <w:p>
            <w:pPr>
              <w:pStyle w:val="Compact"/>
              <w:jc w:val="left"/>
            </w:pPr>
            <w:r>
              <w:t xml:space="preserve">Inbound Materials (Europe to China)</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0.5 (product mass)</w:t>
            </w:r>
          </w:p>
        </w:tc>
        <w:tc>
          <w:tcPr/>
          <w:p>
            <w:pPr>
              <w:pStyle w:val="Compact"/>
              <w:jc w:val="left"/>
            </w:pPr>
            <w:r>
              <w:t xml:space="preserve">7.5</w:t>
            </w:r>
          </w:p>
        </w:tc>
        <w:tc>
          <w:tcPr/>
          <w:p>
            <w:pPr>
              <w:pStyle w:val="Compact"/>
              <w:jc w:val="left"/>
            </w:pPr>
            <w:r>
              <w:t xml:space="preserve">0.010</w:t>
            </w:r>
          </w:p>
        </w:tc>
        <w:tc>
          <w:tcPr/>
          <w:p>
            <w:pPr>
              <w:pStyle w:val="Compact"/>
              <w:jc w:val="left"/>
            </w:pPr>
            <w:r>
              <w:t xml:space="preserve">0.075</w:t>
            </w:r>
          </w:p>
        </w:tc>
      </w:tr>
      <w:tr>
        <w:tc>
          <w:tcPr/>
          <w:p>
            <w:pPr>
              <w:pStyle w:val="Compact"/>
              <w:jc w:val="left"/>
            </w:pPr>
            <w:r>
              <w:t xml:space="preserve">Regional Distribution (China)</w:t>
            </w:r>
          </w:p>
        </w:tc>
        <w:tc>
          <w:tcPr/>
          <w:p>
            <w:pPr>
              <w:pStyle w:val="Compact"/>
              <w:jc w:val="left"/>
            </w:pPr>
            <w:r>
              <w:t xml:space="preserve">Road Freight</w:t>
            </w:r>
          </w:p>
        </w:tc>
        <w:tc>
          <w:tcPr/>
          <w:p>
            <w:pPr>
              <w:pStyle w:val="Compact"/>
              <w:jc w:val="left"/>
            </w:pPr>
            <w:r>
              <w:t xml:space="preserve">500</w:t>
            </w:r>
          </w:p>
        </w:tc>
        <w:tc>
          <w:tcPr/>
          <w:p>
            <w:pPr>
              <w:pStyle w:val="Compact"/>
              <w:jc w:val="left"/>
            </w:pPr>
            <w:r>
              <w:t xml:space="preserve">0.5</w:t>
            </w:r>
          </w:p>
        </w:tc>
        <w:tc>
          <w:tcPr/>
          <w:p>
            <w:pPr>
              <w:pStyle w:val="Compact"/>
              <w:jc w:val="left"/>
            </w:pPr>
            <w:r>
              <w:t xml:space="preserve">0.25</w:t>
            </w:r>
          </w:p>
        </w:tc>
        <w:tc>
          <w:tcPr/>
          <w:p>
            <w:pPr>
              <w:pStyle w:val="Compact"/>
              <w:jc w:val="left"/>
            </w:pPr>
            <w:r>
              <w:t xml:space="preserve">0.080</w:t>
            </w:r>
          </w:p>
        </w:tc>
        <w:tc>
          <w:tcPr/>
          <w:p>
            <w:pPr>
              <w:pStyle w:val="Compact"/>
              <w:jc w:val="left"/>
            </w:pPr>
            <w:r>
              <w:t xml:space="preserve">0.020</w:t>
            </w:r>
          </w:p>
        </w:tc>
      </w:tr>
      <w:tr>
        <w:tc>
          <w:tcPr/>
          <w:p>
            <w:pPr>
              <w:pStyle w:val="Compact"/>
              <w:jc w:val="left"/>
            </w:pPr>
            <w:r>
              <w:t xml:space="preserve">Outbound Distribution (China to EU hub)</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0.5</w:t>
            </w:r>
          </w:p>
        </w:tc>
        <w:tc>
          <w:tcPr/>
          <w:p>
            <w:pPr>
              <w:pStyle w:val="Compact"/>
              <w:jc w:val="left"/>
            </w:pPr>
            <w:r>
              <w:t xml:space="preserve">7.5</w:t>
            </w:r>
          </w:p>
        </w:tc>
        <w:tc>
          <w:tcPr/>
          <w:p>
            <w:pPr>
              <w:pStyle w:val="Compact"/>
              <w:jc w:val="left"/>
            </w:pPr>
            <w:r>
              <w:t xml:space="preserve">0.010</w:t>
            </w:r>
          </w:p>
        </w:tc>
        <w:tc>
          <w:tcPr/>
          <w:p>
            <w:pPr>
              <w:pStyle w:val="Compact"/>
              <w:jc w:val="left"/>
            </w:pPr>
            <w:r>
              <w:t xml:space="preserve">0.075</w:t>
            </w:r>
          </w:p>
        </w:tc>
      </w:tr>
      <w:tr>
        <w:tc>
          <w:tcPr/>
          <w:p>
            <w:pPr>
              <w:pStyle w:val="Compact"/>
              <w:jc w:val="left"/>
            </w:pPr>
            <w:r>
              <w:t xml:space="preserve">Regional Distribution (EU hub to end-user location)</w:t>
            </w:r>
          </w:p>
        </w:tc>
        <w:tc>
          <w:tcPr/>
          <w:p>
            <w:pPr>
              <w:pStyle w:val="Compact"/>
              <w:jc w:val="left"/>
            </w:pPr>
            <w:r>
              <w:t xml:space="preserve">Road Freight</w:t>
            </w:r>
          </w:p>
        </w:tc>
        <w:tc>
          <w:tcPr/>
          <w:p>
            <w:pPr>
              <w:pStyle w:val="Compact"/>
              <w:jc w:val="left"/>
            </w:pPr>
            <w:r>
              <w:t xml:space="preserve">500</w:t>
            </w:r>
          </w:p>
        </w:tc>
        <w:tc>
          <w:tcPr/>
          <w:p>
            <w:pPr>
              <w:pStyle w:val="Compact"/>
              <w:jc w:val="left"/>
            </w:pPr>
            <w:r>
              <w:t xml:space="preserve">0.5</w:t>
            </w:r>
          </w:p>
        </w:tc>
        <w:tc>
          <w:tcPr/>
          <w:p>
            <w:pPr>
              <w:pStyle w:val="Compact"/>
              <w:jc w:val="left"/>
            </w:pPr>
            <w:r>
              <w:t xml:space="preserve">0.25</w:t>
            </w:r>
          </w:p>
        </w:tc>
        <w:tc>
          <w:tcPr/>
          <w:p>
            <w:pPr>
              <w:pStyle w:val="Compact"/>
              <w:jc w:val="left"/>
            </w:pPr>
            <w:r>
              <w:t xml:space="preserve">0.080</w:t>
            </w:r>
          </w:p>
        </w:tc>
        <w:tc>
          <w:tcPr/>
          <w:p>
            <w:pPr>
              <w:pStyle w:val="Compact"/>
              <w:jc w:val="left"/>
            </w:pPr>
            <w:r>
              <w:t xml:space="preserve">0.020</w:t>
            </w:r>
          </w:p>
        </w:tc>
      </w:tr>
      <w:tr>
        <w:tc>
          <w:tcPr/>
          <w:p>
            <w:pPr>
              <w:pStyle w:val="Compact"/>
              <w:jc w:val="left"/>
            </w:pPr>
            <w:r>
              <w:t xml:space="preserve">Last-Mile Delivery (LCV)</w:t>
            </w:r>
          </w:p>
        </w:tc>
        <w:tc>
          <w:tcPr/>
          <w:p>
            <w:pPr>
              <w:pStyle w:val="Compact"/>
              <w:jc w:val="left"/>
            </w:pPr>
            <w:r>
              <w:t xml:space="preserve">Road Freight (LCV)</w:t>
            </w:r>
          </w:p>
        </w:tc>
        <w:tc>
          <w:tcPr/>
          <w:p>
            <w:pPr>
              <w:pStyle w:val="Compact"/>
              <w:jc w:val="left"/>
            </w:pPr>
            <w:r>
              <w:t xml:space="preserve">50</w:t>
            </w:r>
          </w:p>
        </w:tc>
        <w:tc>
          <w:tcPr/>
          <w:p>
            <w:pPr>
              <w:pStyle w:val="Compact"/>
              <w:jc w:val="left"/>
            </w:pPr>
            <w:r>
              <w:t xml:space="preserve">N/A (unit-based)</w:t>
            </w:r>
          </w:p>
        </w:tc>
        <w:tc>
          <w:tcPr/>
          <w:p>
            <w:pPr>
              <w:pStyle w:val="Compact"/>
              <w:jc w:val="left"/>
            </w:pPr>
            <w:r>
              <w:t xml:space="preserve">N/A</w:t>
            </w:r>
          </w:p>
        </w:tc>
        <w:tc>
          <w:tcPr/>
          <w:p>
            <w:pPr>
              <w:pStyle w:val="Compact"/>
              <w:jc w:val="left"/>
            </w:pPr>
            <w:r>
              <w:t xml:space="preserve">0.250 (kg CO2e/unit-km)</w:t>
            </w:r>
          </w:p>
        </w:tc>
        <w:tc>
          <w:tcPr/>
          <w:p>
            <w:pPr>
              <w:pStyle w:val="Compact"/>
              <w:jc w:val="left"/>
            </w:pPr>
            <w:r>
              <w:t xml:space="preserve">12.50 (0.250 * 50 km)</w:t>
            </w:r>
          </w:p>
        </w:tc>
      </w:tr>
      <w:tr>
        <w:tc>
          <w:tcPr>
            <w:gridSpan w:val="6"/>
          </w:tcPr>
          <w:p>
            <w:pPr>
              <w:pStyle w:val="Compact"/>
              <w:jc w:val="right"/>
            </w:pPr>
            <w:r>
              <w:t xml:space="preserve">**Total Transport CO2e:**</w:t>
            </w:r>
          </w:p>
        </w:tc>
        <w:tc>
          <w:tcPr/>
          <w:p>
            <w:pPr>
              <w:pStyle w:val="Compact"/>
              <w:jc w:val="left"/>
            </w:pPr>
            <w:r>
              <w:t xml:space="preserve">**12.69 kg CO2e**</w:t>
            </w:r>
          </w:p>
        </w:tc>
      </w:tr>
    </w:tbl>
    <w:p>
      <w:pPr>
        <w:pStyle w:val="BodyText"/>
      </w:pPr>
      <w:r>
        <w:t xml:space="preserve">*Note on Last-Mile calculation:* Assuming a typical last-mile delivery distance of 50 km for a single unit.</w:t>
      </w:r>
    </w:p>
    <w:bookmarkEnd w:id="31"/>
    <w:bookmarkEnd w:id="32"/>
    <w:bookmarkStart w:id="33" w:name="use-phase"/>
    <w:p>
      <w:pPr>
        <w:pStyle w:val="Heading3"/>
      </w:pPr>
      <w:r>
        <w:t xml:space="preserve">3.4 Use Phase</w:t>
      </w:r>
    </w:p>
    <w:p>
      <w:pPr>
        <w:pStyle w:val="FirstParagraph"/>
      </w:pPr>
      <w:r>
        <w:t xml:space="preserve">The use phase emissions are calculated based on the product\'s lifespan and energy consumption during use.</w:t>
      </w:r>
    </w:p>
    <w:p>
      <w:pPr>
        <w:numPr>
          <w:ilvl w:val="0"/>
          <w:numId w:val="1008"/>
        </w:numPr>
        <w:pStyle w:val="Compact"/>
      </w:pPr>
      <w:r>
        <w:t xml:space="preserve">**Product Lifespan:** `mvsfirgkhw` (Illustrative: 5 years)</w:t>
      </w:r>
    </w:p>
    <w:p>
      <w:pPr>
        <w:numPr>
          <w:ilvl w:val="0"/>
          <w:numId w:val="1008"/>
        </w:numPr>
        <w:pStyle w:val="Compact"/>
      </w:pPr>
      <w:r>
        <w:t xml:space="preserve">**Energy Consumption in Use:** `ojmukirxin` (Illustrative: 10 kWh/year)</w:t>
      </w:r>
    </w:p>
    <w:p>
      <w:pPr>
        <w:pStyle w:val="FirstParagraph"/>
      </w:pPr>
      <w:r>
        <w:t xml:space="preserve">**Assumed Emission Factor for End-User Electricity (Europe Average):** 0.25 kg CO2e/kWh (Illustrative)</w:t>
      </w:r>
    </w:p>
    <w:p>
      <w:pPr>
        <w:pStyle w:val="BodyText"/>
      </w:pPr>
      <w:r>
        <w:t xml:space="preserve">*Calculations:*</w:t>
      </w:r>
      <w:r>
        <w:t xml:space="preserve"> </w:t>
      </w:r>
      <w:r>
        <w:t xml:space="preserve">Total Energy Consumption over Lifespan = 10 kWh/year * 5 years = 50 kWh</w:t>
      </w:r>
      <w:r>
        <w:t xml:space="preserve"> </w:t>
      </w:r>
      <w:r>
        <w:t xml:space="preserve">**Total Use Phase Emissions (Scope 3, Category 11): 50 kWh * 0.25 kg CO2e/kWh = 12.50 kg CO2e**</w:t>
      </w:r>
    </w:p>
    <w:bookmarkEnd w:id="33"/>
    <w:bookmarkStart w:id="34" w:name="end-of-life-eol-scenarios"/>
    <w:p>
      <w:pPr>
        <w:pStyle w:val="Heading3"/>
      </w:pPr>
      <w:r>
        <w:t xml:space="preserve">3.5 End-of-Life (EoL) Scenarios</w:t>
      </w:r>
    </w:p>
    <w:p>
      <w:pPr>
        <w:pStyle w:val="FirstParagraph"/>
      </w:pPr>
      <w:r>
        <w:t xml:space="preserve">EoL impacts are determined by recyclability and circular programs.</w:t>
      </w:r>
    </w:p>
    <w:p>
      <w:pPr>
        <w:numPr>
          <w:ilvl w:val="0"/>
          <w:numId w:val="1009"/>
        </w:numPr>
        <w:pStyle w:val="Compact"/>
      </w:pPr>
      <w:r>
        <w:t xml:space="preserve">**Recyclability Percentage:** `oivjvjxynf` (Illustrative: 70%)</w:t>
      </w:r>
    </w:p>
    <w:p>
      <w:pPr>
        <w:numPr>
          <w:ilvl w:val="0"/>
          <w:numId w:val="1009"/>
        </w:numPr>
        <w:pStyle w:val="Compact"/>
      </w:pPr>
      <w:r>
        <w:t xml:space="preserve">**Circular/Take-back Programs:** `nzryermoqr` (Illustrative: Established take-back program for key components, material recovery focus)</w:t>
      </w:r>
    </w:p>
    <w:p>
      <w:pPr>
        <w:pStyle w:val="FirstParagraph"/>
      </w:pPr>
      <w:r>
        <w:t xml:space="preserve">**Assumptions for EoL:**</w:t>
      </w:r>
    </w:p>
    <w:p>
      <w:pPr>
        <w:numPr>
          <w:ilvl w:val="0"/>
          <w:numId w:val="1010"/>
        </w:numPr>
        <w:pStyle w:val="Compact"/>
      </w:pPr>
      <w:r>
        <w:t xml:space="preserve">30% of the product (by mass, 0.5 kg total product mass, so 0.15 kg) goes to landfill. Landfill EF: 1.0 kg CO2e/kg (Illustrative for electronics/mixed waste).</w:t>
      </w:r>
    </w:p>
    <w:p>
      <w:pPr>
        <w:numPr>
          <w:ilvl w:val="0"/>
          <w:numId w:val="1010"/>
        </w:numPr>
        <w:pStyle w:val="Compact"/>
      </w:pPr>
      <w:r>
        <w:t xml:space="preserve">70% of the product (by mass, 0.35 kg) is recycled. Recycling benefits/burdens are applied. A conservative approach is taken, assuming a net benefit of 0.5 kg CO2e/kg for recycled materials (avoided virgin production).</w:t>
      </w:r>
    </w:p>
    <w:p>
      <w:pPr>
        <w:numPr>
          <w:ilvl w:val="0"/>
          <w:numId w:val="1010"/>
        </w:numPr>
        <w:pStyle w:val="Compact"/>
      </w:pPr>
      <w:r>
        <w:t xml:space="preserve">Product mass for EoL calculation is assumed to be 0.5 kg (sum of main material components).</w:t>
      </w:r>
    </w:p>
    <w:p>
      <w:pPr>
        <w:pStyle w:val="FirstParagraph"/>
      </w:pPr>
      <w:r>
        <w:t xml:space="preserve">*Calculations:*</w:t>
      </w:r>
      <w:r>
        <w:t xml:space="preserve"> </w:t>
      </w:r>
      <w:r>
        <w:t xml:space="preserve">Landfill Emissions = 0.15 kg * 1.0 kg CO2e/kg = 0.15 kg CO2e</w:t>
      </w:r>
      <w:r>
        <w:t xml:space="preserve"> </w:t>
      </w:r>
      <w:r>
        <w:t xml:space="preserve">Recycling Benefits = - (0.35 kg * 0.5 kg CO2e/kg) = -0.175 kg CO2e (negative value indicates avoided emissions)</w:t>
      </w:r>
      <w:r>
        <w:t xml:space="preserve"> </w:t>
      </w:r>
      <w:r>
        <w:t xml:space="preserve">**Total EoL Emissions (Scope 3, Category 12): 0.15 kg CO2e - 0.175 kg CO2e = -0.025 kg CO2e**</w:t>
      </w:r>
      <w:r>
        <w:t xml:space="preserve"> </w:t>
      </w:r>
      <w:r>
        <w:t xml:space="preserve">*Note: A negative value indicates a net carbon removal or avoided emission due to recycling activities.*</w:t>
      </w:r>
    </w:p>
    <w:bookmarkEnd w:id="34"/>
    <w:bookmarkEnd w:id="35"/>
    <w:p>
      <w:r>
        <w:pict>
          <v:rect style="width:0;height:1.5pt" o:hralign="center" o:hrstd="t" o:hr="t"/>
        </w:pict>
      </w:r>
    </w:p>
    <w:bookmarkStart w:id="39" w:name="Xb404f6bea4a0013006ec7a9103609d9ea6643c1"/>
    <w:p>
      <w:pPr>
        <w:pStyle w:val="Heading2"/>
      </w:pPr>
      <w:r>
        <w:t xml:space="preserve">4. Calculate Emissions (Activity * Emission Factor = CO2e)</w:t>
      </w:r>
    </w:p>
    <w:p>
      <w:pPr>
        <w:pStyle w:val="FirstParagraph"/>
      </w:pPr>
      <w:r>
        <w:t xml:space="preserve">This section aggregates the calculated emissions across all lifecycle stages, categorized by GHG Protocol scopes.</w:t>
      </w:r>
    </w:p>
    <w:bookmarkStart w:id="36" w:name="summary-of-emissions-by-lifecycle-stage"/>
    <w:p>
      <w:pPr>
        <w:pStyle w:val="Heading3"/>
      </w:pPr>
      <w:r>
        <w:t xml:space="preserve">4.1 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Materials Acquisition &amp; Processing (Upstream)</w:t>
            </w:r>
          </w:p>
        </w:tc>
        <w:tc>
          <w:tcPr/>
          <w:p>
            <w:pPr>
              <w:pStyle w:val="Compact"/>
              <w:jc w:val="left"/>
            </w:pPr>
            <w:r>
              <w:t xml:space="preserve">Scope 3, Category 1</w:t>
            </w:r>
          </w:p>
        </w:tc>
        <w:tc>
          <w:tcPr/>
          <w:p>
            <w:pPr>
              <w:pStyle w:val="Compact"/>
              <w:jc w:val="left"/>
            </w:pPr>
            <w:r>
              <w:t xml:space="preserve">4.94</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0.4875</w:t>
            </w:r>
          </w:p>
        </w:tc>
      </w:tr>
      <w:tr>
        <w:tc>
          <w:tcPr/>
          <w:p>
            <w:pPr>
              <w:pStyle w:val="Compact"/>
              <w:jc w:val="left"/>
            </w:pPr>
            <w:r>
              <w:t xml:space="preserve">Transport &amp; Logistics (Upstream &amp; Downstream)</w:t>
            </w:r>
          </w:p>
        </w:tc>
        <w:tc>
          <w:tcPr/>
          <w:p>
            <w:pPr>
              <w:pStyle w:val="Compact"/>
              <w:jc w:val="left"/>
            </w:pPr>
            <w:r>
              <w:t xml:space="preserve">Scope 3, Categories 4 &amp; 9</w:t>
            </w:r>
          </w:p>
        </w:tc>
        <w:tc>
          <w:tcPr/>
          <w:p>
            <w:pPr>
              <w:pStyle w:val="Compact"/>
              <w:jc w:val="left"/>
            </w:pPr>
            <w:r>
              <w:t xml:space="preserve">12.69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-0.025</w:t>
            </w:r>
          </w:p>
        </w:tc>
      </w:tr>
      <w:tr>
        <w:tc>
          <w:tcPr>
            <w:gridSpan w:val="2"/>
          </w:tcPr>
          <w:p>
            <w:pPr>
              <w:pStyle w:val="Compact"/>
              <w:jc w:val="right"/>
            </w:pPr>
            <w:r>
              <w:t xml:space="preserve">**Total Product Carbon Footprint (PCF):**</w:t>
            </w:r>
          </w:p>
        </w:tc>
        <w:tc>
          <w:tcPr/>
          <w:p>
            <w:pPr>
              <w:pStyle w:val="Compact"/>
              <w:jc w:val="left"/>
            </w:pPr>
            <w:r>
              <w:t xml:space="preserve">**30.5925 kg CO2e**</w:t>
            </w:r>
          </w:p>
        </w:tc>
      </w:tr>
    </w:tbl>
    <w:bookmarkEnd w:id="36"/>
    <w:bookmarkStart w:id="37" w:name="emissions-by-ghg-protocol-scope"/>
    <w:p>
      <w:pPr>
        <w:pStyle w:val="Heading3"/>
      </w:pPr>
      <w:r>
        <w:t xml:space="preserve">4.2 Emissions by GHG Protocol Scope</w:t>
      </w:r>
    </w:p>
    <w:p>
      <w:pPr>
        <w:pStyle w:val="FirstParagraph"/>
      </w:pPr>
      <w:r>
        <w:t xml:space="preserve">**Total Product Carbon Footprint: 30.59 kg CO2e per 1.0 unit of yxnwvnpxvj**</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CO2e (kg)</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(e.g., owned facilities)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0.49</w:t>
            </w:r>
          </w:p>
        </w:tc>
        <w:tc>
          <w:tcPr/>
          <w:p>
            <w:pPr>
              <w:pStyle w:val="Compact"/>
              <w:jc w:val="left"/>
            </w:pPr>
            <w:r>
              <w:t xml:space="preserve">1.60%</w:t>
            </w:r>
          </w:p>
        </w:tc>
      </w:tr>
      <w:tr>
        <w:tc>
          <w:tcPr/>
          <w:p>
            <w:pPr>
              <w:pStyle w:val="Compact"/>
              <w:jc w:val="left"/>
            </w:pPr>
            <w:r>
              <w:t xml:space="preserve">Scope 3</w:t>
            </w:r>
          </w:p>
        </w:tc>
        <w:tc>
          <w:tcPr/>
          <w:p>
            <w:pPr>
              <w:pStyle w:val="Compact"/>
              <w:jc w:val="left"/>
            </w:pPr>
            <w:r>
              <w:t xml:space="preserve">Value chain emissions (materials, transport, use, EoL)</w:t>
            </w:r>
          </w:p>
        </w:tc>
        <w:tc>
          <w:tcPr/>
          <w:p>
            <w:pPr>
              <w:pStyle w:val="Compact"/>
              <w:jc w:val="left"/>
            </w:pPr>
            <w:r>
              <w:t xml:space="preserve">30.11</w:t>
            </w:r>
          </w:p>
        </w:tc>
        <w:tc>
          <w:tcPr/>
          <w:p>
            <w:pPr>
              <w:pStyle w:val="Compact"/>
              <w:jc w:val="left"/>
            </w:pPr>
            <w:r>
              <w:t xml:space="preserve">98.40%</w:t>
            </w:r>
          </w:p>
        </w:tc>
      </w:tr>
      <w:tr>
        <w:tc>
          <w:tcPr>
            <w:gridSpan w:val="2"/>
          </w:tcPr>
          <w:p>
            <w:pPr>
              <w:pStyle w:val="Compact"/>
              <w:jc w:val="right"/>
            </w:pPr>
            <w:r>
              <w:t xml:space="preserve">**Grand Total:**</w:t>
            </w:r>
          </w:p>
        </w:tc>
        <w:tc>
          <w:tcPr/>
          <w:p>
            <w:pPr>
              <w:pStyle w:val="Compact"/>
              <w:jc w:val="left"/>
            </w:pPr>
            <w:r>
              <w:t xml:space="preserve">**30.60 kg CO2e**</w:t>
            </w:r>
          </w:p>
        </w:tc>
        <w:tc>
          <w:tcPr/>
          <w:p>
            <w:pPr>
              <w:pStyle w:val="Compact"/>
              <w:jc w:val="left"/>
            </w:pPr>
            <w:r>
              <w:t xml:space="preserve">**100.00%**</w:t>
            </w:r>
          </w:p>
        </w:tc>
      </w:tr>
    </w:tbl>
    <w:p>
      <w:pPr>
        <w:pStyle w:val="BodyText"/>
      </w:pPr>
      <w:r>
        <w:t xml:space="preserve">*Note: Numbers may vary slightly due to rounding. Scope 1 emissions are assumed to be negligible or zero for this product-level analysis given the provided parameters, focusing on product-specific material, energy, and logistics.*</w:t>
      </w:r>
    </w:p>
    <w:p>
      <w:pPr>
        <w:pStyle w:val="BodyText"/>
      </w:pPr>
      <w:r>
        <w:t xml:space="preserve">**Scope 3 Compliance:** With Scope 3 emissions accounting for 98.40% of the total PCF, the report significantly exceeds the 2026 requirement of at least 95% coverage.</w:t>
      </w:r>
    </w:p>
    <w:bookmarkEnd w:id="37"/>
    <w:bookmarkStart w:id="38" w:name="X504f4a86e01fdcfa46a4589bb1b5e0cfaad8629"/>
    <w:p>
      <w:pPr>
        <w:pStyle w:val="Heading3"/>
      </w:pPr>
      <w:r>
        <w:t xml:space="preserve">4.3 Land Sector and Removals (LSR) Standard Update</w:t>
      </w:r>
    </w:p>
    <w:p>
      <w:pPr>
        <w:pStyle w:val="FirstParagraph"/>
      </w:pPr>
      <w:r>
        <w:t xml:space="preserve">In line with the 2026 LSR Standard, this analysis acknowledges potential land use impacts. For yxnwvnpxvj, primary materials like cardboard (packaging) originate from forest products. The positive impact from recycling efforts at End-of-Life (-0.025 kg CO2e) is a direct carbon removal/avoidance mechanism, demonstrating how circular economy principles contribute to mitigating climate change. Future analyses could further quantify specific land use changes associated with raw material sourcing if detailed data becomes available.</w:t>
      </w:r>
    </w:p>
    <w:bookmarkEnd w:id="38"/>
    <w:bookmarkEnd w:id="39"/>
    <w:p>
      <w:r>
        <w:pict>
          <v:rect style="width:0;height:1.5pt" o:hralign="center" o:hrstd="t" o:hr="t"/>
        </w:pict>
      </w:r>
    </w:p>
    <w:bookmarkStart w:id="43" w:name="review-report"/>
    <w:p>
      <w:pPr>
        <w:pStyle w:val="Heading2"/>
      </w:pPr>
      <w:r>
        <w:t xml:space="preserve">5. Review &amp; Report</w:t>
      </w:r>
    </w:p>
    <w:bookmarkStart w:id="40" w:name="hotspots-identification"/>
    <w:p>
      <w:pPr>
        <w:pStyle w:val="Heading3"/>
      </w:pPr>
      <w:r>
        <w:t xml:space="preserve">5.1 Hotspots Identification</w:t>
      </w:r>
    </w:p>
    <w:p>
      <w:pPr>
        <w:pStyle w:val="FirstParagraph"/>
      </w:pPr>
      <w:r>
        <w:t xml:space="preserve">The primary carbon hotspots for yxnwvnpxvj are:</w:t>
      </w:r>
    </w:p>
    <w:p>
      <w:pPr>
        <w:numPr>
          <w:ilvl w:val="0"/>
          <w:numId w:val="1011"/>
        </w:numPr>
        <w:pStyle w:val="Compact"/>
      </w:pPr>
      <w:r>
        <w:t xml:space="preserve">**Transport &amp; Logistics (12.69 kg CO2e):** This represents the largest single contributor, primarily due to assumed long-distance ocean freight and the significant impact of last-mile delivery.</w:t>
      </w:r>
    </w:p>
    <w:p>
      <w:pPr>
        <w:numPr>
          <w:ilvl w:val="0"/>
          <w:numId w:val="1011"/>
        </w:numPr>
        <w:pStyle w:val="Compact"/>
      </w:pPr>
      <w:r>
        <w:t xml:space="preserve">**Use Phase (12.50 kg CO2e):** Energy consumption during the product\'s 5-year lifespan is a substantial factor, depending heavily on the grid electricity mix where the product is used.</w:t>
      </w:r>
    </w:p>
    <w:p>
      <w:pPr>
        <w:numPr>
          <w:ilvl w:val="0"/>
          <w:numId w:val="1011"/>
        </w:numPr>
        <w:pStyle w:val="Compact"/>
      </w:pPr>
      <w:r>
        <w:t xml:space="preserve">**Material Acquisition &amp; Processing (4.94 kg CO2e):** The embodied carbon in raw materials, particularly aluminum, plastics, and electronics, contributes significantly to the upstream footprint.</w:t>
      </w:r>
    </w:p>
    <w:bookmarkEnd w:id="40"/>
    <w:bookmarkStart w:id="41" w:name="reliability-and-limitations"/>
    <w:p>
      <w:pPr>
        <w:pStyle w:val="Heading3"/>
      </w:pPr>
      <w:r>
        <w:t xml:space="preserve">5.2 Reliability and Limitations</w:t>
      </w:r>
    </w:p>
    <w:p>
      <w:pPr>
        <w:pStyle w:val="FirstParagraph"/>
      </w:pPr>
      <w:r>
        <w:t xml:space="preserve">The reliability of this report is constrained by the illustrative nature of several input parameters, including specific transport modes and distances, renewable energy usage percentages, energy intensities, product lifespan, energy consumption in use, and recyclability percentages. While the methodology adheres strictly to GHG Protocol standards, the quantitative results should be interpreted as indicative rather than definitive without primary, company-specific data for all parameters.</w:t>
      </w:r>
    </w:p>
    <w:p>
      <w:pPr>
        <w:pStyle w:val="BodyText"/>
      </w:pPr>
      <w:r>
        <w:t xml:space="preserve">Emission factors used are illustrative, derived from typical industry averages (analogous to Ecoinvent/DEFRA type data) and may not precisely reflect the specific processes or suppliers of xldliexznp.</w:t>
      </w:r>
    </w:p>
    <w:bookmarkEnd w:id="41"/>
    <w:bookmarkStart w:id="42" w:name="recommendations-for-reduction"/>
    <w:p>
      <w:pPr>
        <w:pStyle w:val="Heading3"/>
      </w:pPr>
      <w:r>
        <w:t xml:space="preserve">5.3 Recommendations for Reduction</w:t>
      </w:r>
    </w:p>
    <w:p>
      <w:pPr>
        <w:pStyle w:val="FirstParagraph"/>
      </w:pPr>
      <w:r>
        <w:t xml:space="preserve">Based on this analysis, xldliexznp can focus on the following strategies to reduce the PCF of yxnwvnpxvj:</w:t>
      </w:r>
    </w:p>
    <w:p>
      <w:pPr>
        <w:numPr>
          <w:ilvl w:val="0"/>
          <w:numId w:val="1012"/>
        </w:numPr>
        <w:pStyle w:val="Compact"/>
      </w:pPr>
      <w:r>
        <w:t xml:space="preserve">**Supply Chain Optimization:**</w:t>
      </w:r>
    </w:p>
    <w:p>
      <w:pPr>
        <w:numPr>
          <w:ilvl w:val="1"/>
          <w:numId w:val="1013"/>
        </w:numPr>
        <w:pStyle w:val="Compact"/>
      </w:pPr>
      <w:r>
        <w:t xml:space="preserve">Explore near-shoring or regional sourcing for materials to reduce transport distances.</w:t>
      </w:r>
    </w:p>
    <w:p>
      <w:pPr>
        <w:numPr>
          <w:ilvl w:val="1"/>
          <w:numId w:val="1013"/>
        </w:numPr>
        <w:pStyle w:val="Compact"/>
      </w:pPr>
      <w:r>
        <w:t xml:space="preserve">Optimize logistics by increasing shipping efficiency (e.g., higher utilization rates, more efficient modes).</w:t>
      </w:r>
    </w:p>
    <w:p>
      <w:pPr>
        <w:numPr>
          <w:ilvl w:val="1"/>
          <w:numId w:val="1013"/>
        </w:numPr>
        <w:pStyle w:val="Compact"/>
      </w:pPr>
      <w:r>
        <w:t xml:space="preserve">Investigate greener freight options (e.g., biofuels, electric vehicles for last-mile).</w:t>
      </w:r>
    </w:p>
    <w:p>
      <w:pPr>
        <w:numPr>
          <w:ilvl w:val="0"/>
          <w:numId w:val="1012"/>
        </w:numPr>
        <w:pStyle w:val="Compact"/>
      </w:pPr>
      <w:r>
        <w:t xml:space="preserve">**Energy Efficiency &amp; Renewables in Production:**</w:t>
      </w:r>
    </w:p>
    <w:p>
      <w:pPr>
        <w:numPr>
          <w:ilvl w:val="1"/>
          <w:numId w:val="1014"/>
        </w:numPr>
        <w:pStyle w:val="Compact"/>
      </w:pPr>
      <w:r>
        <w:t xml:space="preserve">Increase the adoption of renewable energy sources at manufacturing facilities in China beyond the current `snxnjhmdmp` (illustrative 50%) target.</w:t>
      </w:r>
    </w:p>
    <w:p>
      <w:pPr>
        <w:numPr>
          <w:ilvl w:val="1"/>
          <w:numId w:val="1014"/>
        </w:numPr>
        <w:pStyle w:val="Compact"/>
      </w:pPr>
      <w:r>
        <w:t xml:space="preserve">Implement energy-efficient manufacturing processes to reduce `giymxlljdf` (illustrative 1.5 kWh/unit) energy intensity.</w:t>
      </w:r>
    </w:p>
    <w:p>
      <w:pPr>
        <w:numPr>
          <w:ilvl w:val="0"/>
          <w:numId w:val="1012"/>
        </w:numPr>
        <w:pStyle w:val="Compact"/>
      </w:pPr>
      <w:r>
        <w:t xml:space="preserve">**Product Design &amp; Material Choices:**</w:t>
      </w:r>
    </w:p>
    <w:p>
      <w:pPr>
        <w:numPr>
          <w:ilvl w:val="1"/>
          <w:numId w:val="1015"/>
        </w:numPr>
        <w:pStyle w:val="Compact"/>
      </w:pPr>
      <w:r>
        <w:t xml:space="preserve">Evaluate alternative materials with lower embodied carbon footprints for components like the aluminum casing and plastic enclosure.</w:t>
      </w:r>
    </w:p>
    <w:p>
      <w:pPr>
        <w:numPr>
          <w:ilvl w:val="1"/>
          <w:numId w:val="1015"/>
        </w:numPr>
        <w:pStyle w:val="Compact"/>
      </w:pPr>
      <w:r>
        <w:t xml:space="preserve">Design for durability and repairability to extend `mvsfirgkhw` (illustrative 5-year) product lifespan.</w:t>
      </w:r>
    </w:p>
    <w:p>
      <w:pPr>
        <w:numPr>
          <w:ilvl w:val="0"/>
          <w:numId w:val="1012"/>
        </w:numPr>
        <w:pStyle w:val="Compact"/>
      </w:pPr>
      <w:r>
        <w:t xml:space="preserve">**Use Phase Decarbonization:**</w:t>
      </w:r>
    </w:p>
    <w:p>
      <w:pPr>
        <w:numPr>
          <w:ilvl w:val="1"/>
          <w:numId w:val="1016"/>
        </w:numPr>
        <w:pStyle w:val="Compact"/>
      </w:pPr>
      <w:r>
        <w:t xml:space="preserve">Optimize product energy consumption during use to reduce `ojmukirxin` (illustrative 10 kWh/year).</w:t>
      </w:r>
    </w:p>
    <w:p>
      <w:pPr>
        <w:numPr>
          <w:ilvl w:val="1"/>
          <w:numId w:val="1016"/>
        </w:numPr>
        <w:pStyle w:val="Compact"/>
      </w:pPr>
      <w:r>
        <w:t xml:space="preserve">Provide consumers with information on sustainable usage and clean energy options.</w:t>
      </w:r>
    </w:p>
    <w:p>
      <w:pPr>
        <w:numPr>
          <w:ilvl w:val="0"/>
          <w:numId w:val="1012"/>
        </w:numPr>
        <w:pStyle w:val="Compact"/>
      </w:pPr>
      <w:r>
        <w:t xml:space="preserve">**Circular Economy Enhancement:**</w:t>
      </w:r>
    </w:p>
    <w:p>
      <w:pPr>
        <w:numPr>
          <w:ilvl w:val="1"/>
          <w:numId w:val="1017"/>
        </w:numPr>
        <w:pStyle w:val="Compact"/>
      </w:pPr>
      <w:r>
        <w:t xml:space="preserve">Strengthen `nzryermoqr` circular/take-back programs to maximize material recovery and reuse.</w:t>
      </w:r>
    </w:p>
    <w:p>
      <w:pPr>
        <w:numPr>
          <w:ilvl w:val="1"/>
          <w:numId w:val="1017"/>
        </w:numPr>
        <w:pStyle w:val="Compact"/>
      </w:pPr>
      <w:r>
        <w:t xml:space="preserve">Increase the `oivjvjxynf` (illustrative 70%) recyclability percentage through material selection and design for disassembly.</w:t>
      </w:r>
    </w:p>
    <w:bookmarkEnd w:id="42"/>
    <w:bookmarkEnd w:id="43"/>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yxnwvnpxvj - xldliexznp</dc:title>
  <dc:creator/>
  <dc:description>High-detail Product Carbon Footprint (PCF) analysis report for yxnwvnpxvj, manufactured by xldliexznp, following GHG Protocol standards and 2026 LSR updates.</dc:description>
  <dc:language>en</dc:language>
  <cp:keywords/>
  <dcterms:created xsi:type="dcterms:W3CDTF">2026-07-16T07:04:41Z</dcterms:created>
  <dcterms:modified xsi:type="dcterms:W3CDTF">2026-07-16T07:04:41Z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