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yxmkyeogxf</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yxmkyeogxf"/>
    <w:p>
      <w:pPr>
        <w:pStyle w:val="Heading2"/>
      </w:pPr>
      <w:r>
        <w:t xml:space="preserve">Product: yxmkyeogxf</w:t>
      </w:r>
    </w:p>
    <w:p>
      <w:pPr>
        <w:pStyle w:val="FirstParagraph"/>
      </w:pPr>
      <w:r>
        <w:rPr>
          <w:bCs/>
          <w:b/>
        </w:rPr>
        <w:t xml:space="preserve">Company Name:</w:t>
      </w:r>
      <w:r>
        <w:t xml:space="preserve"> </w:t>
      </w:r>
      <w:r>
        <w:t xml:space="preserve">sszlrdkzoo</w:t>
      </w:r>
    </w:p>
    <w:p>
      <w:pPr>
        <w:pStyle w:val="BodyText"/>
      </w:pPr>
      <w:r>
        <w:rPr>
          <w:bCs/>
          <w:b/>
        </w:rPr>
        <w:t xml:space="preserve">Senior Sustainability Consultant:</w:t>
      </w:r>
      <w:r>
        <w:t xml:space="preserve"> </w:t>
      </w:r>
      <w:r>
        <w:t xml:space="preserve">ostngoqkki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Assumptions have been made where specific data was not provided for illustrative calculation purposes.</w:t>
      </w:r>
    </w:p>
    <w:bookmarkEnd w:id="20"/>
    <w:bookmarkEnd w:id="21"/>
    <w:bookmarkStart w:id="22" w:name="product-carbon-footprint-analysis-report"/>
    <w:p>
      <w:pPr>
        <w:pStyle w:val="Heading1"/>
      </w:pPr>
      <w:r>
        <w:t xml:space="preserve">Product Carbon Footprint Analysis Report</w:t>
      </w:r>
    </w:p>
    <w:p>
      <w:pPr>
        <w:pStyle w:val="FirstParagraph"/>
      </w:pPr>
      <w:r>
        <w:t xml:space="preserve">Generated Date: 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yxmkyeogxf, manufactured by sszlrdkzoo. The analysis was conducted by ostngoqkki, a Senior Sustainability Consultant specializing in the GHG Protocol. This PCF quantifies the total greenhouse gas (GHG) emissions across the product\'s lifecycle, from raw material acquisition through manufacturing, transport, use, and end-of-life. The methodology strictly adheres to the GHG Protocol Product Standard, including the 2026 Land Sector and Removals (LSR) Standard update, ensuring comprehensive Scope 3 reporting with an aim for at least 95% coverage. The total carbon footprint for one functional unit of yxmkyeogxf is calculated to be approximately 12.48 kg CO2e.</w:t>
      </w:r>
    </w:p>
    <w:bookmarkEnd w:id="23"/>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A Product Carbon Footprint (PCF) quantifies all greenhouse gas (GHG) emissions generated throughout a product\'s life cycle. This analysis provides sszlrdkzoo with critical insights into the environmental impact of its product yxmkyeogxf, aligning with growing regulatory pressures and stakeholder expectations for transparent climate reporting.</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yxmkyeogxf</w:t>
      </w:r>
      <w:r>
        <w:t xml:space="preserve">.</w:t>
      </w:r>
    </w:p>
    <w:bookmarkEnd w:id="24"/>
    <w:bookmarkStart w:id="25" w:name="system-boundary"/>
    <w:p>
      <w:pPr>
        <w:pStyle w:val="Heading3"/>
      </w:pPr>
      <w:r>
        <w:t xml:space="preserve">1.2. System Boundary</w:t>
      </w:r>
    </w:p>
    <w:p>
      <w:pPr>
        <w:pStyle w:val="FirstParagraph"/>
      </w:pPr>
      <w:r>
        <w:t xml:space="preserve">The system boundary for this PCF analysis is</w:t>
      </w:r>
      <w:r>
        <w:t xml:space="preserve"> </w:t>
      </w:r>
      <w:r>
        <w:rPr>
          <w:bCs/>
          <w:b/>
        </w:rPr>
        <w:t xml:space="preserve">"cradle-to-gate" with an expanded "use phase" and "end-of-life" assessment, effectively covering a "cradle-to-grave" perspective</w:t>
      </w:r>
      <w:r>
        <w:t xml:space="preserve">. The primary focus is at the</w:t>
      </w:r>
      <w:r>
        <w:t xml:space="preserve"> </w:t>
      </w:r>
      <w:r>
        <w:rPr>
          <w:bCs/>
          <w:b/>
        </w:rPr>
        <w:t xml:space="preserve">factory_gate</w:t>
      </w:r>
      <w:r>
        <w:t xml:space="preserve"> </w:t>
      </w:r>
      <w:r>
        <w:t xml:space="preserve">for production, extending to cover downstream impacts.</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t xml:space="preserve">Special attention has been paid to the</w:t>
      </w:r>
      <w:r>
        <w:t xml:space="preserve"> </w:t>
      </w:r>
      <w:r>
        <w:rPr>
          <w:bCs/>
          <w:b/>
        </w:rPr>
        <w:t xml:space="preserve">2026 Land Sector and Removals (LSR) Standard update</w:t>
      </w:r>
      <w:r>
        <w:t xml:space="preserve">, which provides requirements and guidance for corporate GHG accounting covering emissions and carbon removals from agricultural and land use activities. While direct land-use change for this specific product\'s components is not explicitly detailed, the implications for bio-based materials (e.g., packaging cardboard) and associated removals are considered within the framework of the LSR Standard. The analysis aims for at least</w:t>
      </w:r>
      <w:r>
        <w:t xml:space="preserve"> </w:t>
      </w:r>
      <w:r>
        <w:rPr>
          <w:bCs/>
          <w:b/>
        </w:rPr>
        <w:t xml:space="preserve">95% coverage for Scope 3 reporting</w:t>
      </w:r>
      <w:r>
        <w:t xml:space="preserve">, as required by 2026 standards, by systematically including material acquisition, transportation, manufacturing, use, and end-of-life scenarios.</w:t>
      </w:r>
    </w:p>
    <w:bookmarkEnd w:id="27"/>
    <w:bookmarkEnd w:id="28"/>
    <w:p>
      <w:r>
        <w:pict>
          <v:rect style="width:0;height:1.5pt" o:hralign="center" o:hrstd="t" o:hr="t"/>
        </w:pict>
      </w:r>
    </w:p>
    <w:bookmarkStart w:id="34" w:name="X77c77e763eb0e7aad4619600a53bfcd0a36988a"/>
    <w:p>
      <w:pPr>
        <w:pStyle w:val="Heading2"/>
      </w:pPr>
      <w:r>
        <w:t xml:space="preserve">2. Lifecycle Mapping and Data Collection (LCI)</w:t>
      </w:r>
    </w:p>
    <w:p>
      <w:pPr>
        <w:pStyle w:val="FirstParagraph"/>
      </w:pPr>
      <w:r>
        <w:t xml:space="preserve">This section details the various lifecycle stages of yxmkyeogxf and the data collected for each, encompassing materials, energy, and transportation.</w:t>
      </w:r>
    </w:p>
    <w:bookmarkStart w:id="29" w:name="X242052bbbc5d7e11fc4c91c81761805f5e39998"/>
    <w:p>
      <w:pPr>
        <w:pStyle w:val="Heading3"/>
      </w:pPr>
      <w:r>
        <w:t xml:space="preserve">2.1. Detailed Bill of Materials (BOM) - Materials Acquisition &amp; Pre-processing (Scope 3, Category 1)</w:t>
      </w:r>
    </w:p>
    <w:p>
      <w:pPr>
        <w:pStyle w:val="FirstParagraph"/>
      </w:pPr>
      <w:r>
        <w:t xml:space="preserve">The following Bill of Materials (BOM) provides a high-accuracy basis for material impact calculations. Each item\'s total carbon impact, as provided in the BOM (dzgxnnxn), is used directly for this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bl>
    <w:p>
      <w:pPr>
        <w:pStyle w:val="BodyText"/>
      </w:pPr>
      <w:r>
        <w:rPr>
          <w:bCs/>
          <w:b/>
        </w:rPr>
        <w:t xml:space="preserve">Total Material Emissions (Scope 3):</w:t>
      </w:r>
      <w:r>
        <w:t xml:space="preserve"> </w:t>
      </w:r>
      <w:r>
        <w:t xml:space="preserve">6.25 kg CO2e</w:t>
      </w:r>
    </w:p>
    <w:bookmarkEnd w:id="29"/>
    <w:bookmarkStart w:id="30" w:name="X8b2a9d2553e0a6d947c843483fad8408ed4ea20"/>
    <w:p>
      <w:pPr>
        <w:pStyle w:val="Heading3"/>
      </w:pPr>
      <w:r>
        <w:t xml:space="preserve">2.2. Production Phase - Manufacturing (Scope 2 &amp; Partial Scope 3)</w:t>
      </w:r>
    </w:p>
    <w:p>
      <w:pPr>
        <w:numPr>
          <w:ilvl w:val="0"/>
          <w:numId w:val="1002"/>
        </w:numPr>
        <w:pStyle w:val="Compact"/>
      </w:pPr>
      <w:r>
        <w:rPr>
          <w:bCs/>
          <w:b/>
        </w:rPr>
        <w:t xml:space="preserve">Energy Intensity (kWh/unit):</w:t>
      </w:r>
      <w:r>
        <w:t xml:space="preserve"> </w:t>
      </w:r>
      <w:r>
        <w:t xml:space="preserve">gpvxfdphmv (10 kWh/unit)</w:t>
      </w:r>
    </w:p>
    <w:p>
      <w:pPr>
        <w:numPr>
          <w:ilvl w:val="0"/>
          <w:numId w:val="1002"/>
        </w:numPr>
        <w:pStyle w:val="Compact"/>
      </w:pPr>
      <w:r>
        <w:rPr>
          <w:bCs/>
          <w:b/>
        </w:rPr>
        <w:t xml:space="preserve">Renewable Energy Usage:</w:t>
      </w:r>
      <w:r>
        <w:t xml:space="preserve"> </w:t>
      </w:r>
      <w:r>
        <w:t xml:space="preserve">rdzogdmjgm (30%)</w:t>
      </w:r>
    </w:p>
    <w:p>
      <w:pPr>
        <w:numPr>
          <w:ilvl w:val="0"/>
          <w:numId w:val="1002"/>
        </w:numPr>
        <w:pStyle w:val="Compact"/>
      </w:pPr>
      <w:r>
        <w:rPr>
          <w:bCs/>
          <w:b/>
        </w:rPr>
        <w:t xml:space="preserve">Geographic Scope for Production:</w:t>
      </w:r>
      <w:r>
        <w:t xml:space="preserve"> </w:t>
      </w:r>
      <w:r>
        <w:t xml:space="preserve">China</w:t>
      </w:r>
    </w:p>
    <w:p>
      <w:pPr>
        <w:numPr>
          <w:ilvl w:val="0"/>
          <w:numId w:val="1002"/>
        </w:numPr>
        <w:pStyle w:val="Compact"/>
      </w:pPr>
      <w:r>
        <w:rPr>
          <w:bCs/>
          <w:b/>
        </w:rPr>
        <w:t xml:space="preserve">Assumption:</w:t>
      </w:r>
      <w:r>
        <w:t xml:space="preserve"> </w:t>
      </w:r>
      <w:r>
        <w:t xml:space="preserve">Direct Scope 1 emissions (e.g., on-site fuel combustion not for electricity generation) are considered negligible for this product\'s manufacturing process at the factory gate, or embedded within the upstream emissions of materials. The primary manufacturing impact is from purchased electricity.</w:t>
      </w:r>
    </w:p>
    <w:bookmarkEnd w:id="30"/>
    <w:bookmarkStart w:id="31" w:name="Xff931b162ab0e598949015d3bee039b11da4189"/>
    <w:p>
      <w:pPr>
        <w:pStyle w:val="Heading3"/>
      </w:pPr>
      <w:r>
        <w:t xml:space="preserve">2.3. Transport and Distribution (Scope 3, Categories 4 &amp; 9)</w:t>
      </w:r>
    </w:p>
    <w:p>
      <w:pPr>
        <w:numPr>
          <w:ilvl w:val="0"/>
          <w:numId w:val="1003"/>
        </w:numPr>
        <w:pStyle w:val="Compact"/>
      </w:pPr>
      <w:r>
        <w:rPr>
          <w:bCs/>
          <w:b/>
        </w:rPr>
        <w:t xml:space="preserve">Transport Mode:</w:t>
      </w:r>
      <w:r>
        <w:t xml:space="preserve"> </w:t>
      </w:r>
      <w:r>
        <w:t xml:space="preserve">Select Mode (Ocean Freight for primary transport, Road Freight for regional, Parcel Van for last-mile)</w:t>
      </w:r>
    </w:p>
    <w:p>
      <w:pPr>
        <w:numPr>
          <w:ilvl w:val="0"/>
          <w:numId w:val="1003"/>
        </w:numPr>
        <w:pStyle w:val="Compact"/>
      </w:pPr>
      <w:r>
        <w:rPr>
          <w:bCs/>
          <w:b/>
        </w:rPr>
        <w:t xml:space="preserve">Transport Distance:</w:t>
      </w:r>
      <w:r>
        <w:t xml:space="preserve"> </w:t>
      </w:r>
      <w:r>
        <w:t xml:space="preserve">zzggkywosr (15,000 km for Ocean, 500 km for Road, 50 km for Last-Mile)</w:t>
      </w:r>
    </w:p>
    <w:p>
      <w:pPr>
        <w:numPr>
          <w:ilvl w:val="0"/>
          <w:numId w:val="1003"/>
        </w:numPr>
        <w:pStyle w:val="Compact"/>
      </w:pPr>
      <w:r>
        <w:rPr>
          <w:bCs/>
          <w:b/>
        </w:rPr>
        <w:t xml:space="preserve">Last-Mile Delivery Channel:</w:t>
      </w:r>
      <w:r>
        <w:t xml:space="preserve"> </w:t>
      </w:r>
      <w:r>
        <w:t xml:space="preserve">Delivery Type (Parcel Van Delivery)</w:t>
      </w:r>
    </w:p>
    <w:p>
      <w:pPr>
        <w:numPr>
          <w:ilvl w:val="0"/>
          <w:numId w:val="1003"/>
        </w:numPr>
        <w:pStyle w:val="Compact"/>
      </w:pPr>
      <w:r>
        <w:rPr>
          <w:bCs/>
          <w:b/>
        </w:rPr>
        <w:t xml:space="preserve">Product Weight for Transport:</w:t>
      </w:r>
      <w:r>
        <w:t xml:space="preserve"> </w:t>
      </w:r>
      <w:r>
        <w:t xml:space="preserve">1.01 kg (calculated from BOM quantities)</w:t>
      </w:r>
    </w:p>
    <w:bookmarkEnd w:id="31"/>
    <w:bookmarkStart w:id="32" w:name="use-phase-scope-3-category-11"/>
    <w:p>
      <w:pPr>
        <w:pStyle w:val="Heading3"/>
      </w:pPr>
      <w:r>
        <w:t xml:space="preserve">2.4. Use Phase (Scope 3, Category 11)</w:t>
      </w:r>
    </w:p>
    <w:p>
      <w:pPr>
        <w:numPr>
          <w:ilvl w:val="0"/>
          <w:numId w:val="1004"/>
        </w:numPr>
        <w:pStyle w:val="Compact"/>
      </w:pPr>
      <w:r>
        <w:rPr>
          <w:bCs/>
          <w:b/>
        </w:rPr>
        <w:t xml:space="preserve">Product Lifespan:</w:t>
      </w:r>
      <w:r>
        <w:t xml:space="preserve"> </w:t>
      </w:r>
      <w:r>
        <w:t xml:space="preserve">jisyjqgzso (5 years)</w:t>
      </w:r>
    </w:p>
    <w:p>
      <w:pPr>
        <w:numPr>
          <w:ilvl w:val="0"/>
          <w:numId w:val="1004"/>
        </w:numPr>
        <w:pStyle w:val="Compact"/>
      </w:pPr>
      <w:r>
        <w:rPr>
          <w:bCs/>
          <w:b/>
        </w:rPr>
        <w:t xml:space="preserve">Energy Consumption in Use:</w:t>
      </w:r>
      <w:r>
        <w:t xml:space="preserve"> </w:t>
      </w:r>
      <w:r>
        <w:t xml:space="preserve">weinqzpwvq (2 kWh/year)</w:t>
      </w:r>
    </w:p>
    <w:p>
      <w:pPr>
        <w:numPr>
          <w:ilvl w:val="0"/>
          <w:numId w:val="1004"/>
        </w:numPr>
        <w:pStyle w:val="Compact"/>
      </w:pPr>
      <w:r>
        <w:rPr>
          <w:bCs/>
          <w:b/>
        </w:rPr>
        <w:t xml:space="preserve">Geographic Scope for Use:</w:t>
      </w:r>
      <w:r>
        <w:t xml:space="preserve"> </w:t>
      </w:r>
      <w:r>
        <w:t xml:space="preserve">Europe Focused (for electricity grid emission factors)</w:t>
      </w:r>
    </w:p>
    <w:bookmarkEnd w:id="32"/>
    <w:bookmarkStart w:id="33" w:name="Xd8b0cc1007d2f3c714880ecf2ca12af4f909441"/>
    <w:p>
      <w:pPr>
        <w:pStyle w:val="Heading3"/>
      </w:pPr>
      <w:r>
        <w:t xml:space="preserve">2.5. End-of-Life (EoL) Treatment (Scope 3, Category 12)</w:t>
      </w:r>
    </w:p>
    <w:p>
      <w:pPr>
        <w:numPr>
          <w:ilvl w:val="0"/>
          <w:numId w:val="1005"/>
        </w:numPr>
        <w:pStyle w:val="Compact"/>
      </w:pPr>
      <w:r>
        <w:rPr>
          <w:bCs/>
          <w:b/>
        </w:rPr>
        <w:t xml:space="preserve">Recyclability Percentage:</w:t>
      </w:r>
      <w:r>
        <w:t xml:space="preserve"> </w:t>
      </w:r>
      <w:r>
        <w:t xml:space="preserve">zeqshizkxg (70%)</w:t>
      </w:r>
    </w:p>
    <w:p>
      <w:pPr>
        <w:numPr>
          <w:ilvl w:val="0"/>
          <w:numId w:val="1005"/>
        </w:numPr>
        <w:pStyle w:val="Compact"/>
      </w:pPr>
      <w:r>
        <w:rPr>
          <w:bCs/>
          <w:b/>
        </w:rPr>
        <w:t xml:space="preserve">Circular/Take-back Programs:</w:t>
      </w:r>
      <w:r>
        <w:t xml:space="preserve"> </w:t>
      </w:r>
      <w:r>
        <w:t xml:space="preserve">hegdzjdosp (Yes, Product take-back and refurbishment program in place)</w:t>
      </w:r>
    </w:p>
    <w:p>
      <w:pPr>
        <w:numPr>
          <w:ilvl w:val="0"/>
          <w:numId w:val="1005"/>
        </w:numPr>
        <w:pStyle w:val="Compact"/>
      </w:pPr>
      <w:r>
        <w:rPr>
          <w:bCs/>
          <w:b/>
        </w:rPr>
        <w:t xml:space="preserve">Product Weight for EoL:</w:t>
      </w:r>
      <w:r>
        <w:t xml:space="preserve"> </w:t>
      </w:r>
      <w:r>
        <w:t xml:space="preserve">1.01 kg</w:t>
      </w:r>
    </w:p>
    <w:bookmarkEnd w:id="33"/>
    <w:bookmarkEnd w:id="34"/>
    <w:p>
      <w:r>
        <w:pict>
          <v:rect style="width:0;height:1.5pt" o:hralign="center" o:hrstd="t" o:hr="t"/>
        </w:pict>
      </w:r>
    </w:p>
    <w:bookmarkStart w:id="42" w:name="X439a6e6dcb43c636bf515ffaf3f59bce0bd6490"/>
    <w:p>
      <w:pPr>
        <w:pStyle w:val="Heading2"/>
      </w:pPr>
      <w:r>
        <w:t xml:space="preserve">3. Emission Calculation (Activity * Emission Factor = CO2e)</w:t>
      </w:r>
    </w:p>
    <w:p>
      <w:pPr>
        <w:pStyle w:val="FirstParagraph"/>
      </w:pPr>
      <w:r>
        <w:t xml:space="preserve">Emissions are calculated for each stage using collected data and industry-standard emission factors, primarily sourced from databases like Ecoinvent and DEFRA, or recognized regional reports.</w:t>
      </w:r>
    </w:p>
    <w:bookmarkStart w:id="35" w:name="emission-factors-used"/>
    <w:p>
      <w:pPr>
        <w:pStyle w:val="Heading3"/>
      </w:pPr>
      <w:r>
        <w:t xml:space="preserve">3.1. Emission Factors Used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Source / Assumption</w:t>
            </w:r>
          </w:p>
        </w:tc>
      </w:tr>
      <w:tr>
        <w:tc>
          <w:tcPr/>
          <w:p>
            <w:pPr>
              <w:pStyle w:val="Compact"/>
              <w:jc w:val="left"/>
            </w:pPr>
            <w:r>
              <w:t xml:space="preserve">Electricity Grid (China)</w:t>
            </w:r>
          </w:p>
        </w:tc>
        <w:tc>
          <w:tcPr/>
          <w:p>
            <w:pPr>
              <w:pStyle w:val="Compact"/>
              <w:jc w:val="left"/>
            </w:pPr>
            <w:r>
              <w:t xml:space="preserve">0.556 kg CO2e/kWh</w:t>
            </w:r>
          </w:p>
        </w:tc>
        <w:tc>
          <w:tcPr/>
          <w:p>
            <w:pPr>
              <w:pStyle w:val="Compact"/>
              <w:jc w:val="left"/>
            </w:pPr>
            <w:r>
              <w:t xml:space="preserve">Climate Transparency Report (2020), IPCC-based estimates</w:t>
            </w:r>
          </w:p>
        </w:tc>
      </w:tr>
      <w:tr>
        <w:tc>
          <w:tcPr/>
          <w:p>
            <w:pPr>
              <w:pStyle w:val="Compact"/>
              <w:jc w:val="left"/>
            </w:pPr>
            <w:r>
              <w:t xml:space="preserve">Electricity Grid (Europe Average)</w:t>
            </w:r>
          </w:p>
        </w:tc>
        <w:tc>
          <w:tcPr/>
          <w:p>
            <w:pPr>
              <w:pStyle w:val="Compact"/>
              <w:jc w:val="left"/>
            </w:pPr>
            <w:r>
              <w:t xml:space="preserve">0.181 kg CO2e/kWh</w:t>
            </w:r>
          </w:p>
        </w:tc>
        <w:tc>
          <w:tcPr/>
          <w:p>
            <w:pPr>
              <w:pStyle w:val="Compact"/>
              <w:jc w:val="left"/>
            </w:pPr>
            <w:r>
              <w:t xml:space="preserve">PwC European Carbon Factor (2024)</w:t>
            </w:r>
          </w:p>
        </w:tc>
      </w:tr>
      <w:tr>
        <w:tc>
          <w:tcPr/>
          <w:p>
            <w:pPr>
              <w:pStyle w:val="Compact"/>
              <w:jc w:val="left"/>
            </w:pPr>
            <w:r>
              <w:t xml:space="preserve">Ocean Freight (Container Ship)</w:t>
            </w:r>
          </w:p>
        </w:tc>
        <w:tc>
          <w:tcPr/>
          <w:p>
            <w:pPr>
              <w:pStyle w:val="Compact"/>
              <w:jc w:val="left"/>
            </w:pPr>
            <w:r>
              <w:t xml:space="preserve">0.016 kg CO2e/tonne-km</w:t>
            </w:r>
          </w:p>
        </w:tc>
        <w:tc>
          <w:tcPr/>
          <w:p>
            <w:pPr>
              <w:pStyle w:val="Compact"/>
              <w:jc w:val="left"/>
            </w:pPr>
            <w:r>
              <w:t xml:space="preserve">DEFRA 2025, Climatiq</w:t>
            </w:r>
          </w:p>
        </w:tc>
      </w:tr>
      <w:tr>
        <w:tc>
          <w:tcPr/>
          <w:p>
            <w:pPr>
              <w:pStyle w:val="Compact"/>
              <w:jc w:val="left"/>
            </w:pPr>
            <w:r>
              <w:t xml:space="preserve">Road Freight (Heavy Duty Truck, Europe)</w:t>
            </w:r>
          </w:p>
        </w:tc>
        <w:tc>
          <w:tcPr/>
          <w:p>
            <w:pPr>
              <w:pStyle w:val="Compact"/>
              <w:jc w:val="left"/>
            </w:pPr>
            <w:r>
              <w:t xml:space="preserve">0.1 kg CO2e/tonne-km</w:t>
            </w:r>
          </w:p>
        </w:tc>
        <w:tc>
          <w:tcPr/>
          <w:p>
            <w:pPr>
              <w:pStyle w:val="Compact"/>
              <w:jc w:val="left"/>
            </w:pPr>
            <w:r>
              <w:t xml:space="preserve">General industry average</w:t>
            </w:r>
          </w:p>
        </w:tc>
      </w:tr>
      <w:tr>
        <w:tc>
          <w:tcPr/>
          <w:p>
            <w:pPr>
              <w:pStyle w:val="Compact"/>
              <w:jc w:val="left"/>
            </w:pPr>
            <w:r>
              <w:t xml:space="preserve">Last-Mile Delivery (Parcel Van)</w:t>
            </w:r>
          </w:p>
        </w:tc>
        <w:tc>
          <w:tcPr/>
          <w:p>
            <w:pPr>
              <w:pStyle w:val="Compact"/>
              <w:jc w:val="left"/>
            </w:pPr>
            <w:r>
              <w:t xml:space="preserve">0.5 kg CO2e/unit</w:t>
            </w:r>
          </w:p>
        </w:tc>
        <w:tc>
          <w:tcPr/>
          <w:p>
            <w:pPr>
              <w:pStyle w:val="Compact"/>
              <w:jc w:val="left"/>
            </w:pPr>
            <w:r>
              <w:t xml:space="preserve">Assumed average per-unit allocation for parcel delivery; based on typical parcel emissions</w:t>
            </w:r>
          </w:p>
        </w:tc>
      </w:tr>
      <w:tr>
        <w:tc>
          <w:tcPr/>
          <w:p>
            <w:pPr>
              <w:pStyle w:val="Compact"/>
              <w:jc w:val="left"/>
            </w:pPr>
            <w:r>
              <w:t xml:space="preserve">Waste to Landfill (Mixed Waste)</w:t>
            </w:r>
          </w:p>
        </w:tc>
        <w:tc>
          <w:tcPr/>
          <w:p>
            <w:pPr>
              <w:pStyle w:val="Compact"/>
              <w:jc w:val="left"/>
            </w:pPr>
            <w:r>
              <w:t xml:space="preserve">0.3 kg CO2e/kg</w:t>
            </w:r>
          </w:p>
        </w:tc>
        <w:tc>
          <w:tcPr/>
          <w:p>
            <w:pPr>
              <w:pStyle w:val="Compact"/>
              <w:jc w:val="left"/>
            </w:pPr>
            <w:r>
              <w:t xml:space="preserve">Afvalzorg, IPCC Guidelines</w:t>
            </w:r>
          </w:p>
        </w:tc>
      </w:tr>
      <w:tr>
        <w:tc>
          <w:tcPr/>
          <w:p>
            <w:pPr>
              <w:pStyle w:val="Compact"/>
              <w:jc w:val="left"/>
            </w:pPr>
            <w:r>
              <w:t xml:space="preserve">Recycling Credit (Generic)</w:t>
            </w:r>
          </w:p>
        </w:tc>
        <w:tc>
          <w:tcPr/>
          <w:p>
            <w:pPr>
              <w:pStyle w:val="Compact"/>
              <w:jc w:val="left"/>
            </w:pPr>
            <w:r>
              <w:t xml:space="preserve">-0.5 kg CO2e/kg</w:t>
            </w:r>
          </w:p>
        </w:tc>
        <w:tc>
          <w:tcPr/>
          <w:p>
            <w:pPr>
              <w:pStyle w:val="Compact"/>
              <w:jc w:val="left"/>
            </w:pPr>
            <w:r>
              <w:t xml:space="preserve">Illustrative assumption for avoided virgin material production.</w:t>
            </w:r>
          </w:p>
        </w:tc>
      </w:tr>
      <w:tr>
        <w:tc>
          <w:tcPr/>
          <w:p>
            <w:pPr>
              <w:pStyle w:val="Compact"/>
              <w:jc w:val="left"/>
            </w:pPr>
            <w:r>
              <w:t xml:space="preserve">Renewable Electricity (Direct Purchase)</w:t>
            </w:r>
          </w:p>
        </w:tc>
        <w:tc>
          <w:tcPr/>
          <w:p>
            <w:pPr>
              <w:pStyle w:val="Compact"/>
              <w:jc w:val="left"/>
            </w:pPr>
            <w:r>
              <w:t xml:space="preserve">0 kg CO2e/kWh</w:t>
            </w:r>
          </w:p>
        </w:tc>
        <w:tc>
          <w:tcPr/>
          <w:p>
            <w:pPr>
              <w:pStyle w:val="Compact"/>
              <w:jc w:val="left"/>
            </w:pPr>
            <w:r>
              <w:t xml:space="preserve">Assumed contractual zero-emission renewable energy.</w:t>
            </w:r>
          </w:p>
        </w:tc>
      </w:tr>
    </w:tbl>
    <w:bookmarkEnd w:id="35"/>
    <w:bookmarkStart w:id="41" w:name="detailed-emissions-by-lifecycle-stage"/>
    <w:p>
      <w:pPr>
        <w:pStyle w:val="Heading3"/>
      </w:pPr>
      <w:r>
        <w:t xml:space="preserve">3.2. Detailed Emissions by Lifecycle Stage</w:t>
      </w:r>
    </w:p>
    <w:bookmarkStart w:id="36" w:name="X79a8d231f670852f5157f380bc2526f3841484b"/>
    <w:p>
      <w:pPr>
        <w:pStyle w:val="Heading4"/>
      </w:pPr>
      <w:r>
        <w:t xml:space="preserve">3.2.1. Materials Acquisition &amp; Pre-processing (Scope 3 - Category 1: Purchased Goods &amp; Services)</w:t>
      </w:r>
    </w:p>
    <w:p>
      <w:pPr>
        <w:pStyle w:val="FirstParagraph"/>
      </w:pPr>
      <w:r>
        <w:t xml:space="preserve">Emissions from the extraction and processing of raw materials, based on the provided BOM:</w:t>
      </w:r>
    </w:p>
    <w:p>
      <w:pPr>
        <w:pStyle w:val="BodyText"/>
      </w:pPr>
      <w:r>
        <w:t xml:space="preserve">Total Material Emissions = Sum of "Total Carbon" from BOM = 6.25 kg CO2e</w:t>
      </w:r>
    </w:p>
    <w:bookmarkEnd w:id="36"/>
    <w:bookmarkStart w:id="37" w:name="production-phase-factory-gate"/>
    <w:p>
      <w:pPr>
        <w:pStyle w:val="Heading4"/>
      </w:pPr>
      <w:r>
        <w:t xml:space="preserve">3.2.2. Production Phase (Factory Gate)</w:t>
      </w:r>
    </w:p>
    <w:p>
      <w:pPr>
        <w:numPr>
          <w:ilvl w:val="0"/>
          <w:numId w:val="1006"/>
        </w:numPr>
        <w:pStyle w:val="Compact"/>
      </w:pPr>
      <w:r>
        <w:rPr>
          <w:bCs/>
          <w:b/>
        </w:rPr>
        <w:t xml:space="preserve">Scope 1: Direct Emissions</w:t>
      </w:r>
      <w:r>
        <w:br/>
      </w:r>
      <w:r>
        <w:t xml:space="preserve">Assumed to be negligible or covered within the upstream emissions of materials for this specific product, given the primary energy input for production is electricity.</w:t>
      </w:r>
    </w:p>
    <w:p>
      <w:pPr>
        <w:numPr>
          <w:ilvl w:val="0"/>
          <w:numId w:val="1006"/>
        </w:numPr>
        <w:pStyle w:val="Compact"/>
      </w:pPr>
      <w:r>
        <w:rPr>
          <w:bCs/>
          <w:b/>
        </w:rPr>
        <w:t xml:space="preserve">Scope 2: Energy Indirect Emissions (Purchased Electricity)</w:t>
      </w:r>
      <w:r>
        <w:br/>
      </w:r>
      <w:r>
        <w:t xml:space="preserve">Non-renewable electricity: 10 kWh/unit * (1 - 0.30) * 0.556 kg CO2e/kWh = 3.892 kg CO2e</w:t>
      </w:r>
      <w:r>
        <w:br/>
      </w:r>
      <w:r>
        <w:t xml:space="preserve">Renewable electricity: 10 kWh/unit * 0.30 * 0 kg CO2e/kWh = 0 kg CO2e</w:t>
      </w:r>
      <w:r>
        <w:br/>
      </w:r>
      <w:r>
        <w:rPr>
          <w:bCs/>
          <w:b/>
        </w:rPr>
        <w:t xml:space="preserve">Total Production Energy Emissions (Scope 2):</w:t>
      </w:r>
      <w:r>
        <w:t xml:space="preserve"> </w:t>
      </w:r>
      <w:r>
        <w:t xml:space="preserve">3.892 kg CO2e</w:t>
      </w:r>
    </w:p>
    <w:bookmarkEnd w:id="37"/>
    <w:bookmarkStart w:id="38" w:name="X1659f7abb34c0ad96cf3274452f07fad5333708"/>
    <w:p>
      <w:pPr>
        <w:pStyle w:val="Heading4"/>
      </w:pPr>
      <w:r>
        <w:t xml:space="preserve">3.2.3. Transport and Distribution (Scope 3 - Category 4: Upstream T&amp;D &amp; Category 9: Downstream T&amp;D)</w:t>
      </w:r>
    </w:p>
    <w:p>
      <w:pPr>
        <w:pStyle w:val="FirstParagraph"/>
      </w:pPr>
      <w:r>
        <w:t xml:space="preserve">Product weight: 1.01 kg</w:t>
      </w:r>
    </w:p>
    <w:p>
      <w:pPr>
        <w:numPr>
          <w:ilvl w:val="0"/>
          <w:numId w:val="1007"/>
        </w:numPr>
        <w:pStyle w:val="Compact"/>
      </w:pPr>
      <w:r>
        <w:rPr>
          <w:bCs/>
          <w:b/>
        </w:rPr>
        <w:t xml:space="preserve">Primary Transport (Ocean Freight):</w:t>
      </w:r>
      <w:r>
        <w:br/>
      </w:r>
      <w:r>
        <w:t xml:space="preserve">(1.01 kg / 1000 kg/tonne) * 15,000 km * 0.016 kg CO2e/tonne-km = 0.2424 kg CO2e</w:t>
      </w:r>
    </w:p>
    <w:p>
      <w:pPr>
        <w:numPr>
          <w:ilvl w:val="0"/>
          <w:numId w:val="1007"/>
        </w:numPr>
        <w:pStyle w:val="Compact"/>
      </w:pPr>
      <w:r>
        <w:rPr>
          <w:bCs/>
          <w:b/>
        </w:rPr>
        <w:t xml:space="preserve">Regional Transport (Road Freight):</w:t>
      </w:r>
      <w:r>
        <w:br/>
      </w:r>
      <w:r>
        <w:t xml:space="preserve">(1.01 kg / 1000 kg/tonne) * 500 km * 0.1 kg CO2e/tonne-km = 0.0505 kg CO2e</w:t>
      </w:r>
    </w:p>
    <w:p>
      <w:pPr>
        <w:numPr>
          <w:ilvl w:val="0"/>
          <w:numId w:val="1007"/>
        </w:numPr>
        <w:pStyle w:val="Compact"/>
      </w:pPr>
      <w:r>
        <w:rPr>
          <w:bCs/>
          <w:b/>
        </w:rPr>
        <w:t xml:space="preserve">Last-Mile Delivery (Parcel Van):</w:t>
      </w:r>
      <w:r>
        <w:br/>
      </w:r>
      <w:r>
        <w:t xml:space="preserve">0.5 kg CO2e (assumed per functional unit for shared parcel delivery service)</w:t>
      </w:r>
      <w:r>
        <w:br/>
      </w:r>
      <w:r>
        <w:rPr>
          <w:bCs/>
          <w:b/>
        </w:rPr>
        <w:t xml:space="preserve">Total Transport Emissions (Scope 3):</w:t>
      </w:r>
      <w:r>
        <w:t xml:space="preserve"> </w:t>
      </w:r>
      <w:r>
        <w:t xml:space="preserve">0.2424 + 0.0505 + 0.5 = 0.7929 kg CO2e</w:t>
      </w:r>
    </w:p>
    <w:bookmarkEnd w:id="38"/>
    <w:bookmarkStart w:id="39" w:name="X687445901a9235e23446a36286990b6b14efa53"/>
    <w:p>
      <w:pPr>
        <w:pStyle w:val="Heading4"/>
      </w:pPr>
      <w:r>
        <w:t xml:space="preserve">3.2.4. Use Phase (Scope 3 - Category 11: Use of Sold Products)</w:t>
      </w:r>
    </w:p>
    <w:p>
      <w:pPr>
        <w:numPr>
          <w:ilvl w:val="0"/>
          <w:numId w:val="1008"/>
        </w:numPr>
        <w:pStyle w:val="Compact"/>
      </w:pPr>
      <w:r>
        <w:t xml:space="preserve">Total energy consumption over lifespan: 2 kWh/year * 5 years = 10 kWh</w:t>
      </w:r>
    </w:p>
    <w:p>
      <w:pPr>
        <w:numPr>
          <w:ilvl w:val="0"/>
          <w:numId w:val="1008"/>
        </w:numPr>
        <w:pStyle w:val="Compact"/>
      </w:pPr>
      <w:r>
        <w:t xml:space="preserve">Emissions from energy use: 10 kWh * 0.181 kg CO2e/kWh = 1.81 kg CO2e</w:t>
      </w:r>
      <w:r>
        <w:br/>
      </w:r>
      <w:r>
        <w:rPr>
          <w:bCs/>
          <w:b/>
        </w:rPr>
        <w:t xml:space="preserve">Total Use Phase Emissions (Scope 3):</w:t>
      </w:r>
      <w:r>
        <w:t xml:space="preserve"> </w:t>
      </w:r>
      <w:r>
        <w:t xml:space="preserve">1.81 kg CO2e</w:t>
      </w:r>
    </w:p>
    <w:bookmarkEnd w:id="39"/>
    <w:bookmarkStart w:id="40" w:name="X3c0263bea695149a0b858870bb13e355e904d5e"/>
    <w:p>
      <w:pPr>
        <w:pStyle w:val="Heading4"/>
      </w:pPr>
      <w:r>
        <w:t xml:space="preserve">3.2.5. End-of-Life (EoL) Treatment (Scope 3 - Category 12: End-of-Life Treatment of Sold Products)</w:t>
      </w:r>
    </w:p>
    <w:p>
      <w:pPr>
        <w:pStyle w:val="FirstParagraph"/>
      </w:pPr>
      <w:r>
        <w:t xml:space="preserve">Product weight: 1.01 kg</w:t>
      </w:r>
    </w:p>
    <w:p>
      <w:pPr>
        <w:numPr>
          <w:ilvl w:val="0"/>
          <w:numId w:val="1009"/>
        </w:numPr>
        <w:pStyle w:val="Compact"/>
      </w:pPr>
      <w:r>
        <w:t xml:space="preserve">Portion landfilled: 1.01 kg * (1 - 0.70) = 0.303 kg</w:t>
      </w:r>
    </w:p>
    <w:p>
      <w:pPr>
        <w:numPr>
          <w:ilvl w:val="0"/>
          <w:numId w:val="1009"/>
        </w:numPr>
        <w:pStyle w:val="Compact"/>
      </w:pPr>
      <w:r>
        <w:t xml:space="preserve">Landfill emissions: 0.303 kg * 0.3 kg CO2e/kg = 0.0909 kg CO2e</w:t>
      </w:r>
    </w:p>
    <w:p>
      <w:pPr>
        <w:numPr>
          <w:ilvl w:val="0"/>
          <w:numId w:val="1009"/>
        </w:numPr>
        <w:pStyle w:val="Compact"/>
      </w:pPr>
      <w:r>
        <w:t xml:space="preserve">Portion recycled: 1.01 kg * 0.70 = 0.707 kg</w:t>
      </w:r>
    </w:p>
    <w:p>
      <w:pPr>
        <w:numPr>
          <w:ilvl w:val="0"/>
          <w:numId w:val="1009"/>
        </w:numPr>
        <w:pStyle w:val="Compact"/>
      </w:pPr>
      <w:r>
        <w:t xml:space="preserve">Recycling credit: 0.707 kg * -0.5 kg CO2e/kg = -0.3535 kg CO2e</w:t>
      </w:r>
    </w:p>
    <w:p>
      <w:pPr>
        <w:numPr>
          <w:ilvl w:val="0"/>
          <w:numId w:val="1009"/>
        </w:numPr>
        <w:pStyle w:val="Compact"/>
      </w:pPr>
      <w:r>
        <w:rPr>
          <w:bCs/>
          <w:b/>
        </w:rPr>
        <w:t xml:space="preserve">Total EoL Emissions (Scope 3):</w:t>
      </w:r>
      <w:r>
        <w:t xml:space="preserve"> </w:t>
      </w:r>
      <w:r>
        <w:t xml:space="preserve">0.0909 - 0.3535 = -0.2626 kg CO2e (Net removal/avoided emissions)</w:t>
      </w:r>
    </w:p>
    <w:p>
      <w:pPr>
        <w:numPr>
          <w:ilvl w:val="0"/>
          <w:numId w:val="1009"/>
        </w:numPr>
        <w:pStyle w:val="Compact"/>
      </w:pPr>
      <w:r>
        <w:rPr>
          <w:bCs/>
          <w:b/>
        </w:rPr>
        <w:t xml:space="preserve">Circular/Take-back Programs:</w:t>
      </w:r>
      <w:r>
        <w:t xml:space="preserve"> </w:t>
      </w:r>
      <w:r>
        <w:t xml:space="preserve">The presence of a "Product take-back and refurbishment program" (hegdzjdosp) further enhances circularity, potentially reducing the overall EoL impact beyond just recycling, though specific quantification of refurbishment benefits is outside the scope of this baseline PCF.</w:t>
      </w:r>
    </w:p>
    <w:bookmarkEnd w:id="40"/>
    <w:bookmarkEnd w:id="41"/>
    <w:bookmarkEnd w:id="42"/>
    <w:p>
      <w:r>
        <w:pict>
          <v:rect style="width:0;height:1.5pt" o:hralign="center" o:hrstd="t" o:hr="t"/>
        </w:pict>
      </w:r>
    </w:p>
    <w:bookmarkStart w:id="47" w:name="Xb36868fcb5d7dd1dcc614a01132ecc2c76b763f"/>
    <w:p>
      <w:pPr>
        <w:pStyle w:val="Heading2"/>
      </w:pPr>
      <w:r>
        <w:t xml:space="preserve">4. Review &amp; Report - Overall Product Carbon Footprint</w:t>
      </w:r>
    </w:p>
    <w:bookmarkStart w:id="43" w:name="X9b8f96e5fd6ec30b02c91cc11d45f1568d9808c"/>
    <w:p>
      <w:pPr>
        <w:pStyle w:val="Heading3"/>
      </w:pPr>
      <w:r>
        <w:t xml:space="preserve">4.1.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6.2500</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3.8920</w:t>
            </w:r>
          </w:p>
        </w:tc>
      </w:tr>
      <w:tr>
        <w:tc>
          <w:tcPr/>
          <w:p>
            <w:pPr>
              <w:pStyle w:val="Compact"/>
              <w:jc w:val="left"/>
            </w:pPr>
            <w:r>
              <w:t xml:space="preserve">Upstream Transport &amp; Distribution</w:t>
            </w:r>
          </w:p>
        </w:tc>
        <w:tc>
          <w:tcPr/>
          <w:p>
            <w:pPr>
              <w:pStyle w:val="Compact"/>
              <w:jc w:val="left"/>
            </w:pPr>
            <w:r>
              <w:t xml:space="preserve">Scope 3 (Category 4)</w:t>
            </w:r>
          </w:p>
        </w:tc>
        <w:tc>
          <w:tcPr/>
          <w:p>
            <w:pPr>
              <w:pStyle w:val="Compact"/>
              <w:jc w:val="left"/>
            </w:pPr>
            <w:r>
              <w:t xml:space="preserve">0.2929</w:t>
            </w:r>
          </w:p>
        </w:tc>
      </w:tr>
      <w:tr>
        <w:tc>
          <w:tcPr/>
          <w:p>
            <w:pPr>
              <w:pStyle w:val="Compact"/>
              <w:jc w:val="left"/>
            </w:pPr>
            <w:r>
              <w:t xml:space="preserve">Downstream Transport &amp; Distribution (Last-Mile)</w:t>
            </w:r>
          </w:p>
        </w:tc>
        <w:tc>
          <w:tcPr/>
          <w:p>
            <w:pPr>
              <w:pStyle w:val="Compact"/>
              <w:jc w:val="left"/>
            </w:pPr>
            <w:r>
              <w:t xml:space="preserve">Scope 3 (Category 9)</w:t>
            </w:r>
          </w:p>
        </w:tc>
        <w:tc>
          <w:tcPr/>
          <w:p>
            <w:pPr>
              <w:pStyle w:val="Compact"/>
              <w:jc w:val="left"/>
            </w:pPr>
            <w:r>
              <w:t xml:space="preserve">0.5000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1.8100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-0.2626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12.4823</w:t>
            </w:r>
          </w:p>
        </w:tc>
      </w:tr>
    </w:tbl>
    <w:bookmarkEnd w:id="43"/>
    <w:bookmarkStart w:id="44" w:name="ghg-protocol-scope-summary"/>
    <w:p>
      <w:pPr>
        <w:pStyle w:val="Heading3"/>
      </w:pPr>
      <w:r>
        <w:t xml:space="preserve">4.2.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3.8920</w:t>
            </w:r>
          </w:p>
        </w:tc>
        <w:tc>
          <w:tcPr/>
          <w:p>
            <w:pPr>
              <w:pStyle w:val="Compact"/>
              <w:jc w:val="left"/>
            </w:pPr>
            <w:r>
              <w:t xml:space="preserve">31.18%</w:t>
            </w:r>
          </w:p>
        </w:tc>
      </w:tr>
      <w:tr>
        <w:tc>
          <w:tcPr/>
          <w:p>
            <w:pPr>
              <w:pStyle w:val="Compact"/>
              <w:jc w:val="left"/>
            </w:pPr>
            <w:r>
              <w:t xml:space="preserve">Scope 3 (Value Chain Emissions)</w:t>
            </w:r>
          </w:p>
        </w:tc>
        <w:tc>
          <w:tcPr/>
          <w:p>
            <w:pPr>
              <w:pStyle w:val="Compact"/>
              <w:jc w:val="left"/>
            </w:pPr>
            <w:r>
              <w:t xml:space="preserve">8.5903</w:t>
            </w:r>
          </w:p>
        </w:tc>
        <w:tc>
          <w:tcPr/>
          <w:p>
            <w:pPr>
              <w:pStyle w:val="Compact"/>
              <w:jc w:val="left"/>
            </w:pPr>
            <w:r>
              <w:t xml:space="preserve">68.82%</w:t>
            </w:r>
          </w:p>
        </w:tc>
      </w:tr>
      <w:tr>
        <w:tc>
          <w:tcPr/>
          <w:p>
            <w:pPr>
              <w:pStyle w:val="Compact"/>
              <w:jc w:val="left"/>
            </w:pPr>
            <w:r>
              <w:rPr>
                <w:bCs/>
                <w:b/>
              </w:rPr>
              <w:t xml:space="preserve">Total PCF</w:t>
            </w:r>
          </w:p>
        </w:tc>
        <w:tc>
          <w:tcPr/>
          <w:p>
            <w:pPr>
              <w:pStyle w:val="Compact"/>
              <w:jc w:val="left"/>
            </w:pPr>
            <w:r>
              <w:rPr>
                <w:bCs/>
                <w:b/>
              </w:rPr>
              <w:t xml:space="preserve">12.4823</w:t>
            </w:r>
          </w:p>
        </w:tc>
        <w:tc>
          <w:tcPr/>
          <w:p>
            <w:pPr>
              <w:pStyle w:val="Compact"/>
              <w:jc w:val="left"/>
            </w:pPr>
            <w:r>
              <w:rPr>
                <w:bCs/>
                <w:b/>
              </w:rPr>
              <w:t xml:space="preserve">100.00%</w:t>
            </w:r>
          </w:p>
        </w:tc>
      </w:tr>
    </w:tbl>
    <w:bookmarkEnd w:id="44"/>
    <w:bookmarkStart w:id="45" w:name="hotspots-and-reliability"/>
    <w:p>
      <w:pPr>
        <w:pStyle w:val="Heading3"/>
      </w:pPr>
      <w:r>
        <w:t xml:space="preserve">4.3. Hotspots and Reliability</w:t>
      </w:r>
    </w:p>
    <w:p>
      <w:pPr>
        <w:pStyle w:val="FirstParagraph"/>
      </w:pPr>
      <w:r>
        <w:t xml:space="preserve">The primary hotspots for the yxmkyeogxf product are identified as:</w:t>
      </w:r>
    </w:p>
    <w:p>
      <w:pPr>
        <w:numPr>
          <w:ilvl w:val="0"/>
          <w:numId w:val="1010"/>
        </w:numPr>
        <w:pStyle w:val="Compact"/>
      </w:pPr>
      <w:r>
        <w:rPr>
          <w:bCs/>
          <w:b/>
        </w:rPr>
        <w:t xml:space="preserve">Materials Acquisition &amp; Pre-processing (Scope 3):</w:t>
      </w:r>
      <w:r>
        <w:t xml:space="preserve"> </w:t>
      </w:r>
      <w:r>
        <w:t xml:space="preserve">Constituting the largest portion of the footprint at 6.25 kg CO2e, driven by components like Aluminum Casing and Circuit Board. This highlights the importance of sustainable sourcing and material selection.</w:t>
      </w:r>
    </w:p>
    <w:p>
      <w:pPr>
        <w:numPr>
          <w:ilvl w:val="0"/>
          <w:numId w:val="1010"/>
        </w:numPr>
        <w:pStyle w:val="Compact"/>
      </w:pPr>
      <w:r>
        <w:rPr>
          <w:bCs/>
          <w:b/>
        </w:rPr>
        <w:t xml:space="preserve">Production (Scope 2):</w:t>
      </w:r>
      <w:r>
        <w:t xml:space="preserve"> </w:t>
      </w:r>
      <w:r>
        <w:t xml:space="preserve">The energy consumed during manufacturing in China contributes significantly (3.892 kg CO2e), emphasizing the need for increased renewable energy adoption at production facilities.</w:t>
      </w:r>
    </w:p>
    <w:p>
      <w:pPr>
        <w:numPr>
          <w:ilvl w:val="0"/>
          <w:numId w:val="1010"/>
        </w:numPr>
        <w:pStyle w:val="Compact"/>
      </w:pPr>
      <w:r>
        <w:rPr>
          <w:bCs/>
          <w:b/>
        </w:rPr>
        <w:t xml:space="preserve">Use Phase (Scope 3):</w:t>
      </w:r>
      <w:r>
        <w:t xml:space="preserve"> </w:t>
      </w:r>
      <w:r>
        <w:t xml:space="preserve">Product energy consumption over its lifespan adds 1.81 kg CO2e, pointing to opportunities for energy efficiency improvements in product design.</w:t>
      </w:r>
    </w:p>
    <w:p>
      <w:pPr>
        <w:numPr>
          <w:ilvl w:val="0"/>
          <w:numId w:val="1010"/>
        </w:numPr>
        <w:pStyle w:val="Compact"/>
      </w:pPr>
      <w:r>
        <w:rPr>
          <w:bCs/>
          <w:b/>
        </w:rPr>
        <w:t xml:space="preserve">Last-Mile Delivery (Scope 3):</w:t>
      </w:r>
      <w:r>
        <w:t xml:space="preserve"> </w:t>
      </w:r>
      <w:r>
        <w:t xml:space="preserve">Although an allocated estimate, this stage shows a substantial impact (0.5 kg CO2e), suggesting optimization of logistics and greener delivery options.</w:t>
      </w:r>
    </w:p>
    <w:p>
      <w:pPr>
        <w:pStyle w:val="FirstParagraph"/>
      </w:pPr>
      <w:r>
        <w:t xml:space="preserve">The reliability of this report is high for the stages where primary data (BOM, energy intensity) was provided. For other stages, industry-average emission factors were used, aligning with best practices when specific supplier or activity data is unavailable. The assumed allocation for last-mile delivery and generic recycling credit represent areas for further refinement with more granular data.</w:t>
      </w:r>
    </w:p>
    <w:bookmarkEnd w:id="45"/>
    <w:bookmarkStart w:id="46" w:name="lsr-standard-and-scope-3-compliance"/>
    <w:p>
      <w:pPr>
        <w:pStyle w:val="Heading3"/>
      </w:pPr>
      <w:r>
        <w:t xml:space="preserve">4.4. 2026 LSR Standard and Scope 3 Compliance</w:t>
      </w:r>
    </w:p>
    <w:p>
      <w:pPr>
        <w:pStyle w:val="FirstParagraph"/>
      </w:pPr>
      <w:r>
        <w:t xml:space="preserve">This analysis actively applies the principles of the GHG Protocol\'s 2026 Land Sector and Removals (LSR) Standard. While the primary components are not directly land-intensive agricultural products, the standard’s consideration for biogenic carbon (e.g., in packaging cardboard) and associated land management is acknowledged. The comprehensive inclusion of upstream materials, transport, use, and end-of-life stages demonstrates a robust effort to achieve at least 95% coverage for Scope 3 emissions, a critical requirement for 2026 reporting.</w:t>
      </w:r>
    </w:p>
    <w:bookmarkEnd w:id="46"/>
    <w:bookmarkEnd w:id="47"/>
    <w:p>
      <w:r>
        <w:pict>
          <v:rect style="width:0;height:1.5pt" o:hralign="center" o:hrstd="t" o:hr="t"/>
        </w:pict>
      </w:r>
    </w:p>
    <w:bookmarkStart w:id="48" w:name="recommendations-for-emission-reduction"/>
    <w:p>
      <w:pPr>
        <w:pStyle w:val="Heading2"/>
      </w:pPr>
      <w:r>
        <w:t xml:space="preserve">5. Recommendations for Emission Reduction</w:t>
      </w:r>
    </w:p>
    <w:p>
      <w:pPr>
        <w:numPr>
          <w:ilvl w:val="0"/>
          <w:numId w:val="1011"/>
        </w:numPr>
        <w:pStyle w:val="Compact"/>
      </w:pPr>
      <w:r>
        <w:rPr>
          <w:bCs/>
          <w:b/>
        </w:rPr>
        <w:t xml:space="preserve">Material Optimization:</w:t>
      </w:r>
      <w:r>
        <w:t xml:space="preserve"> </w:t>
      </w:r>
      <w:r>
        <w:t xml:space="preserve">Investigate alternative materials with lower embodied carbon for components like aluminum and circuit boards. Engage with suppliers to gain more transparent, product-specific emission data.</w:t>
      </w:r>
    </w:p>
    <w:p>
      <w:pPr>
        <w:numPr>
          <w:ilvl w:val="0"/>
          <w:numId w:val="1011"/>
        </w:numPr>
        <w:pStyle w:val="Compact"/>
      </w:pPr>
      <w:r>
        <w:rPr>
          <w:bCs/>
          <w:b/>
        </w:rPr>
        <w:t xml:space="preserve">Renewable Energy Procurement:</w:t>
      </w:r>
      <w:r>
        <w:t xml:space="preserve"> </w:t>
      </w:r>
      <w:r>
        <w:t xml:space="preserve">Increase the percentage of renewable energy usage at the Chinese production facility beyond rdzogdmjgm (30%) to significantly reduce Scope 2 emissions.</w:t>
      </w:r>
    </w:p>
    <w:p>
      <w:pPr>
        <w:numPr>
          <w:ilvl w:val="0"/>
          <w:numId w:val="1011"/>
        </w:numPr>
        <w:pStyle w:val="Compact"/>
      </w:pPr>
      <w:r>
        <w:rPr>
          <w:bCs/>
          <w:b/>
        </w:rPr>
        <w:t xml:space="preserve">Logistics Efficiency:</w:t>
      </w:r>
      <w:r>
        <w:t xml:space="preserve"> </w:t>
      </w:r>
      <w:r>
        <w:t xml:space="preserve">Optimize transportation routes and modes, particularly for last-mile delivery. Explore partnerships with low-carbon logistics providers and consider more efficient packaging to reduce transport impact.</w:t>
      </w:r>
    </w:p>
    <w:p>
      <w:pPr>
        <w:numPr>
          <w:ilvl w:val="0"/>
          <w:numId w:val="1011"/>
        </w:numPr>
        <w:pStyle w:val="Compact"/>
      </w:pPr>
      <w:r>
        <w:rPr>
          <w:bCs/>
          <w:b/>
        </w:rPr>
        <w:t xml:space="preserve">Product Energy Efficiency:</w:t>
      </w:r>
      <w:r>
        <w:t xml:space="preserve"> </w:t>
      </w:r>
      <w:r>
        <w:t xml:space="preserve">Enhance the energy efficiency of yxmkyeogxf during its use phase to minimize operational emissions over its lifespan jisyjqgzso.</w:t>
      </w:r>
    </w:p>
    <w:p>
      <w:pPr>
        <w:numPr>
          <w:ilvl w:val="0"/>
          <w:numId w:val="1011"/>
        </w:numPr>
        <w:pStyle w:val="Compact"/>
      </w:pPr>
      <w:r>
        <w:rPr>
          <w:bCs/>
          <w:b/>
        </w:rPr>
        <w:t xml:space="preserve">Circular Economy Initiatives:</w:t>
      </w:r>
      <w:r>
        <w:t xml:space="preserve"> </w:t>
      </w:r>
      <w:r>
        <w:t xml:space="preserve">Expand and promote the "Product take-back and refurbishment program" (hegdzjdosp) and explore higher value recycling or reuse pathways to maximize end-of-life benefits.</w:t>
      </w:r>
    </w:p>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yxmkyeogxf</dc:title>
  <dc:creator/>
  <dc:description>High-detail Product Carbon Footprint (PCF) analysis for yxmkyeogxf by Senior Sustainability Consultant ostngoqkki for sszlrdkzoo, adhering to GHG Protocol and 2026 LSR Update.</dc:description>
  <dc:language>en</dc:language>
  <cp:keywords/>
  <dcterms:created xsi:type="dcterms:W3CDTF">2026-07-15T17:53:53Z</dcterms:created>
  <dcterms:modified xsi:type="dcterms:W3CDTF">2026-07-15T17:53:53Z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