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ywxhhljxgk</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 ywxhhljxgk</w:t>
      </w:r>
    </w:p>
    <w:p>
      <w:pPr>
        <w:pStyle w:val="BodyText"/>
      </w:pPr>
      <w:r>
        <w:t xml:space="preserve">Company Name: inpryyidwy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fhssjdwyzt</w:t>
      </w:r>
    </w:p>
    <w:p>
      <w:pPr>
        <w:pStyle w:val="BodyText"/>
      </w:pPr>
      <w:r>
        <w:t xml:space="preserve">Disclaimer: This report is generated based on available data and industry standards. Numerical values for specific parameters (e.g., BOM, transport data, energy usage) are illustrative due to the generic input provided, and actual calculations would require precise, verifiable data.</w:t>
      </w:r>
    </w:p>
    <w:bookmarkEnd w:id="20"/>
    <w:bookmarkStart w:id="42" w:name="X1e267129b88a163a558460d84746f4ff3ada956"/>
    <w:p>
      <w:pPr>
        <w:pStyle w:val="Heading1"/>
      </w:pPr>
      <w:r>
        <w:t xml:space="preserve">Product Carbon Footprint Analysis: ywxhhljxgk</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ywxhhljxgk</w:t>
      </w:r>
      <w:r>
        <w:t xml:space="preserve"> </w:t>
      </w:r>
      <w:r>
        <w:t xml:space="preserve">manufactured by</w:t>
      </w:r>
      <w:r>
        <w:t xml:space="preserve"> </w:t>
      </w:r>
      <w:r>
        <w:rPr>
          <w:bCs/>
          <w:b/>
        </w:rPr>
        <w:t xml:space="preserve">inpryyidwy</w:t>
      </w:r>
      <w:r>
        <w:t xml:space="preserve">. Conducted by</w:t>
      </w:r>
      <w:r>
        <w:t xml:space="preserve"> </w:t>
      </w:r>
      <w:r>
        <w:rPr>
          <w:bCs/>
          <w:b/>
        </w:rPr>
        <w:t xml:space="preserve">fhssjdwyzt</w:t>
      </w:r>
      <w:r>
        <w:t xml:space="preserve">, Senior Sustainability Consultant, this analysis adheres strictly to the GHG Protocol accounting standard, incorporating recent 2026 updates including the Land Sector and Removals (LSR) Standard and the enhanced Scope 3 reporting requirements. The objective is to quantify the greenhouse gas (GHG) emissions associated with the product across its lifecycle, identify emission hotspots, and provide actionable insights for reduction strategies. The system boundary for this analysis is defined as \'factory_gate\', meaning it covers emissions up to the point the product leaves the factory.</w:t>
      </w:r>
    </w:p>
    <w:p>
      <w:r>
        <w:pict>
          <v:rect style="width:0;height:1.5pt" o:hralign="center" o:hrstd="t" o:hr="t"/>
        </w:pict>
      </w:r>
    </w:p>
    <w:bookmarkEnd w:id="21"/>
    <w:bookmarkStart w:id="38" w:name="methodology"/>
    <w:p>
      <w:pPr>
        <w:pStyle w:val="Heading2"/>
      </w:pPr>
      <w:r>
        <w:t xml:space="preserve">2. Methodology</w:t>
      </w:r>
    </w:p>
    <w:p>
      <w:pPr>
        <w:pStyle w:val="FirstParagraph"/>
      </w:pPr>
      <w:r>
        <w:t xml:space="preserve">The Product Carbon Footprint (PCF) analysis is conducted following the five-step methodology prescribed by the GHG Protocol, ensuring a robust and comprehensive assessment of environmental impacts.</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ywxhhljxgk.</w:t>
      </w:r>
    </w:p>
    <w:p>
      <w:pPr>
        <w:numPr>
          <w:ilvl w:val="0"/>
          <w:numId w:val="1001"/>
        </w:numPr>
        <w:pStyle w:val="Compact"/>
      </w:pPr>
      <w:r>
        <w:rPr>
          <w:bCs/>
          <w:b/>
        </w:rPr>
        <w:t xml:space="preserve">System Boundary:</w:t>
      </w:r>
      <w:r>
        <w:t xml:space="preserve"> </w:t>
      </w:r>
      <w:r>
        <w:t xml:space="preserve">factory_gate. This means the assessment includes all processes and emissions from raw material extraction, through manufacturing, up to the point the finished product exits the production facility. For a comprehensive cradle-to-grave analysis, downstream stages (transport, use, end-of-life) are also considered and explicitly detailed in subsequent sections, extending beyond the strict \'factory_gate\' definition for a holistic PCF.</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GHG Protocol. This report strictly adheres to the Greenhouse Gas Protocol Corporate Accounting and Reporting Standard and the Corporate Value Chain (Scope 3) Accounting and Reporting Standard.</w:t>
      </w:r>
    </w:p>
    <w:p>
      <w:pPr>
        <w:numPr>
          <w:ilvl w:val="0"/>
          <w:numId w:val="1001"/>
        </w:numPr>
        <w:pStyle w:val="Compact"/>
      </w:pPr>
      <w:r>
        <w:rPr>
          <w:bCs/>
          <w:b/>
        </w:rPr>
        <w:t xml:space="preserve">Allocation:</w:t>
      </w:r>
      <w:r>
        <w:t xml:space="preserve"> </w:t>
      </w:r>
      <w:r>
        <w:t xml:space="preserve">Emissions are allocated to the functional unit based on mass and economic allocation principles where co-products or by-products are present, following GHG Protocol guidance.</w:t>
      </w:r>
    </w:p>
    <w:bookmarkEnd w:id="22"/>
    <w:bookmarkStart w:id="28" w:name="Xef2cad8b6715bfd9664e6ec6d96ac44c4a46fb4"/>
    <w:p>
      <w:pPr>
        <w:pStyle w:val="Heading3"/>
      </w:pPr>
      <w:r>
        <w:t xml:space="preserve">2.2. Step 2: Map Lifecycle (LCI Inventory Stages)</w:t>
      </w:r>
    </w:p>
    <w:p>
      <w:pPr>
        <w:pStyle w:val="FirstParagraph"/>
      </w:pPr>
      <w:r>
        <w:t xml:space="preserve">The lifecycle of product</w:t>
      </w:r>
      <w:r>
        <w:t xml:space="preserve"> </w:t>
      </w:r>
      <w:r>
        <w:rPr>
          <w:bCs/>
          <w:b/>
        </w:rPr>
        <w:t xml:space="preserve">ywxhhljxgk</w:t>
      </w:r>
      <w:r>
        <w:t xml:space="preserve"> </w:t>
      </w:r>
      <w:r>
        <w:t xml:space="preserve">is mapped across several key stages to capture all relevant emissions. Due to the generic input provided for the Detailed Bill of Materials (BOM), the following examples illustrate the type of materials and processes considered in a high-detail analysis. Actual calculations would require specific data for each component.</w:t>
      </w:r>
    </w:p>
    <w:bookmarkStart w:id="23" w:name="Xa124a95b981c370289279a4b723120ad8e79cc2"/>
    <w:p>
      <w:pPr>
        <w:pStyle w:val="Heading4"/>
      </w:pPr>
      <w:r>
        <w:t xml:space="preserve">2.2.1. Materials Acquisition &amp; Pre-processing (Scope 3 - Upstream)</w:t>
      </w:r>
    </w:p>
    <w:p>
      <w:pPr>
        <w:pStyle w:val="FirstParagraph"/>
      </w:pPr>
      <w:r>
        <w:t xml:space="preserve">This stage includes the extraction of raw materials, their processing into intermediate components, and the manufacturing of purchased parts. The provided Detailed Bill of Materials (BOM) for</w:t>
      </w:r>
      <w:r>
        <w:t xml:space="preserve"> </w:t>
      </w:r>
      <w:r>
        <w:rPr>
          <w:bCs/>
          <w:b/>
        </w:rPr>
        <w:t xml:space="preserve">ehdpsivd</w:t>
      </w:r>
      <w:r>
        <w:t xml:space="preserve"> </w:t>
      </w:r>
      <w:r>
        <w:t xml:space="preserve">is used to estimate the carbon impact of these inputs. For illustrative purposes, a sample BOM is presented below, demonstrating how specific values for quantity, emission factor, and total carbon would be applied. Industry-standard emission factors from databases like Ecoinvent and DEFRA would be used for material production where direct emission factors are not available or for verification.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Alloy Sheet</w:t>
            </w:r>
          </w:p>
        </w:tc>
        <w:tc>
          <w:tcPr/>
          <w:p>
            <w:pPr>
              <w:pStyle w:val="Compact"/>
              <w:jc w:val="left"/>
            </w:pPr>
            <w:r>
              <w:t xml:space="preserve">Metal</w:t>
            </w:r>
          </w:p>
        </w:tc>
        <w:tc>
          <w:tcPr/>
          <w:p>
            <w:pPr>
              <w:pStyle w:val="Compact"/>
              <w:jc w:val="left"/>
            </w:pPr>
            <w:r>
              <w:t xml:space="preserve">Primary Production, Rolling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7.0</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Polymerization, Molding</w:t>
            </w:r>
          </w:p>
        </w:tc>
        <w:tc>
          <w:tcPr/>
          <w:p>
            <w:pPr>
              <w:pStyle w:val="Compact"/>
              <w:jc w:val="left"/>
            </w:pPr>
            <w:r>
              <w:t xml:space="preserve">1.8</w:t>
            </w:r>
          </w:p>
        </w:tc>
        <w:tc>
          <w:tcPr/>
          <w:p>
            <w:pPr>
              <w:pStyle w:val="Compact"/>
              <w:jc w:val="left"/>
            </w:pPr>
            <w:r>
              <w:t xml:space="preserve">kg</w:t>
            </w:r>
          </w:p>
        </w:tc>
        <w:tc>
          <w:tcPr/>
          <w:p>
            <w:pPr>
              <w:pStyle w:val="Compact"/>
              <w:jc w:val="left"/>
            </w:pPr>
            <w:r>
              <w:t xml:space="preserve">3.5</w:t>
            </w:r>
          </w:p>
        </w:tc>
        <w:tc>
          <w:tcPr/>
          <w:p>
            <w:pPr>
              <w:pStyle w:val="Compact"/>
              <w:jc w:val="left"/>
            </w:pPr>
            <w:r>
              <w:t xml:space="preserve">6.3</w:t>
            </w:r>
          </w:p>
        </w:tc>
      </w:tr>
      <w:tr>
        <w:tc>
          <w:tcPr/>
          <w:p>
            <w:pPr>
              <w:pStyle w:val="Compact"/>
              <w:jc w:val="left"/>
            </w:pPr>
            <w:r>
              <w:t xml:space="preserve">M-003</w:t>
            </w:r>
          </w:p>
        </w:tc>
        <w:tc>
          <w:tcPr/>
          <w:p>
            <w:pPr>
              <w:pStyle w:val="Compact"/>
              <w:jc w:val="left"/>
            </w:pPr>
            <w:r>
              <w:t xml:space="preserve">Integrated Circuit</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Mining, Smelting, Drawing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4.0</w:t>
            </w:r>
          </w:p>
        </w:tc>
        <w:tc>
          <w:tcPr/>
          <w:p>
            <w:pPr>
              <w:pStyle w:val="Compact"/>
              <w:jc w:val="left"/>
            </w:pPr>
            <w:r>
              <w:t xml:space="preserve">1.2</w:t>
            </w:r>
          </w:p>
        </w:tc>
      </w:tr>
      <w:tr>
        <w:tc>
          <w:tcPr>
            <w:gridSpan w:val="7"/>
          </w:tcPr>
          <w:p>
            <w:pPr>
              <w:pStyle w:val="Compact"/>
              <w:jc w:val="right"/>
            </w:pPr>
            <w:r>
              <w:t xml:space="preserve">Subtotal Material Carbon Footprint:</w:t>
            </w:r>
          </w:p>
        </w:tc>
        <w:tc>
          <w:tcPr/>
          <w:p>
            <w:pPr>
              <w:pStyle w:val="Compact"/>
              <w:jc w:val="left"/>
            </w:pPr>
            <w:r>
              <w:rPr>
                <w:bCs/>
                <w:b/>
              </w:rPr>
              <w:t xml:space="preserve">35.0</w:t>
            </w:r>
          </w:p>
        </w:tc>
      </w:tr>
    </w:tbl>
    <w:p>
      <w:pPr>
        <w:pStyle w:val="BodyText"/>
      </w:pPr>
      <w:r>
        <w:rPr>
          <w:iCs/>
          <w:i/>
        </w:rPr>
        <w:t xml:space="preserve">Note: The BOM data above is illustrative, based on the specified format and generic material types, as the specific content of \'ehdpsivd\' was a placeholder.</w:t>
      </w:r>
    </w:p>
    <w:bookmarkEnd w:id="23"/>
    <w:bookmarkStart w:id="24" w:name="X7ecbcbc780db21e9206630a2807e00bdca30ddb"/>
    <w:p>
      <w:pPr>
        <w:pStyle w:val="Heading4"/>
      </w:pPr>
      <w:r>
        <w:t xml:space="preserve">2.2.2. Manufacturing &amp; Assembly (Scope 1, 2, and relevant Scope 3)</w:t>
      </w:r>
    </w:p>
    <w:p>
      <w:pPr>
        <w:pStyle w:val="FirstParagraph"/>
      </w:pPr>
      <w:r>
        <w:t xml:space="preserve">This stage encompasses all processes at the manufacturing facility in China, including machining, assembly, testing, and packaging. Energy consumption for these processes is a key input.</w:t>
      </w:r>
    </w:p>
    <w:bookmarkEnd w:id="24"/>
    <w:bookmarkStart w:id="25" w:name="X1c75ce5003c6c2b9c17e13028c25525d22cb2fc"/>
    <w:p>
      <w:pPr>
        <w:pStyle w:val="Heading4"/>
      </w:pPr>
      <w:r>
        <w:t xml:space="preserve">2.2.3. Transport to Customer (Scope 3 - Downstream)</w:t>
      </w:r>
    </w:p>
    <w:p>
      <w:pPr>
        <w:pStyle w:val="FirstParagraph"/>
      </w:pPr>
      <w:r>
        <w:t xml:space="preserve">Emissions from transporting the finished product from the factory to the end-customer. This includes main transport and last-mile delivery.</w:t>
      </w:r>
    </w:p>
    <w:bookmarkEnd w:id="25"/>
    <w:bookmarkStart w:id="26" w:name="product-use-phase-scope-3---downstream"/>
    <w:p>
      <w:pPr>
        <w:pStyle w:val="Heading4"/>
      </w:pPr>
      <w:r>
        <w:t xml:space="preserve">2.2.4. Product Use Phase (Scope 3 - Downstream)</w:t>
      </w:r>
    </w:p>
    <w:p>
      <w:pPr>
        <w:pStyle w:val="FirstParagraph"/>
      </w:pPr>
      <w:r>
        <w:t xml:space="preserve">Emissions generated during the active use of the product over its lifespan.</w:t>
      </w:r>
    </w:p>
    <w:bookmarkEnd w:id="26"/>
    <w:bookmarkStart w:id="27" w:name="Xac8faad78128a5ec4298340ff70b88499018023"/>
    <w:p>
      <w:pPr>
        <w:pStyle w:val="Heading4"/>
      </w:pPr>
      <w:r>
        <w:t xml:space="preserve">2.2.5. End-of-Life (EoL) Treatment (Scope 3 - Downstream)</w:t>
      </w:r>
    </w:p>
    <w:p>
      <w:pPr>
        <w:pStyle w:val="FirstParagraph"/>
      </w:pPr>
      <w:r>
        <w:t xml:space="preserve">Emissions and potential avoided emissions (credits) associated with the disposal, recycling, or recovery of the product at the end of its useful life.</w:t>
      </w:r>
    </w:p>
    <w:bookmarkEnd w:id="27"/>
    <w:bookmarkEnd w:id="28"/>
    <w:bookmarkStart w:id="29" w:name="step-3-collect-data"/>
    <w:p>
      <w:pPr>
        <w:pStyle w:val="Heading3"/>
      </w:pPr>
      <w:r>
        <w:t xml:space="preserve">2.3. Step 3: Collect Data</w:t>
      </w:r>
    </w:p>
    <w:p>
      <w:pPr>
        <w:pStyle w:val="FirstParagraph"/>
      </w:pPr>
      <w:r>
        <w:t xml:space="preserve">Data collection involves gathering both primary and secondary data points for all identified lifecycle stages. Given the nature of this report, specific parameters are incorporated conceptually with illustrative numerical representations for calculation demonstration:</w:t>
      </w:r>
    </w:p>
    <w:p>
      <w:pPr>
        <w:numPr>
          <w:ilvl w:val="0"/>
          <w:numId w:val="1003"/>
        </w:numPr>
        <w:pStyle w:val="Compact"/>
      </w:pPr>
      <w:r>
        <w:rPr>
          <w:bCs/>
          <w:b/>
        </w:rPr>
        <w:t xml:space="preserve">Detailed Bill of Materials (BOM):</w:t>
      </w:r>
      <w:r>
        <w:t xml:space="preserve"> </w:t>
      </w:r>
      <w:r>
        <w:t xml:space="preserve">The structure provided by</w:t>
      </w:r>
      <w:r>
        <w:t xml:space="preserve"> </w:t>
      </w:r>
      <w:r>
        <w:rPr>
          <w:bCs/>
          <w:b/>
        </w:rPr>
        <w:t xml:space="preserve">ehdpsivd</w:t>
      </w:r>
      <w:r>
        <w:t xml:space="preserve"> </w:t>
      </w:r>
      <w:r>
        <w:t xml:space="preserve">(ID, Description, Category, Process, Qty, Unit, Emission Factor, Total Carbon) is assumed to contain detailed material composition and their pre-calculated carbon impacts, as demonstrated in the table above.</w:t>
      </w:r>
    </w:p>
    <w:p>
      <w:pPr>
        <w:numPr>
          <w:ilvl w:val="0"/>
          <w:numId w:val="1003"/>
        </w:numPr>
        <w:pStyle w:val="Compact"/>
      </w:pPr>
      <w:r>
        <w:rPr>
          <w:bCs/>
          <w:b/>
        </w:rPr>
        <w:t xml:space="preserve">Manufacturing Energy Inputs:</w:t>
      </w:r>
    </w:p>
    <w:p>
      <w:pPr>
        <w:numPr>
          <w:ilvl w:val="1"/>
          <w:numId w:val="1004"/>
        </w:numPr>
        <w:pStyle w:val="Compact"/>
      </w:pPr>
      <w:r>
        <w:t xml:space="preserve">Renewable Energy Usage:</w:t>
      </w:r>
      <w:r>
        <w:t xml:space="preserve"> </w:t>
      </w:r>
      <w:r>
        <w:rPr>
          <w:bCs/>
          <w:b/>
        </w:rPr>
        <w:t xml:space="preserve">ttoxknrdsj</w:t>
      </w:r>
      <w:r>
        <w:t xml:space="preserve"> </w:t>
      </w:r>
      <w:r>
        <w:t xml:space="preserve">(e.g., 60%)</w:t>
      </w:r>
    </w:p>
    <w:p>
      <w:pPr>
        <w:numPr>
          <w:ilvl w:val="1"/>
          <w:numId w:val="1004"/>
        </w:numPr>
        <w:pStyle w:val="Compact"/>
      </w:pPr>
      <w:r>
        <w:t xml:space="preserve">Energy Intensity (kWh/unit):</w:t>
      </w:r>
      <w:r>
        <w:t xml:space="preserve"> </w:t>
      </w:r>
      <w:r>
        <w:rPr>
          <w:bCs/>
          <w:b/>
        </w:rPr>
        <w:t xml:space="preserve">eygvelktlo</w:t>
      </w:r>
      <w:r>
        <w:t xml:space="preserve"> </w:t>
      </w:r>
      <w:r>
        <w:t xml:space="preserve">(e.g., 15 kWh/unit)</w:t>
      </w:r>
    </w:p>
    <w:p>
      <w:pPr>
        <w:numPr>
          <w:ilvl w:val="1"/>
          <w:numId w:val="1004"/>
        </w:numPr>
        <w:pStyle w:val="Compact"/>
      </w:pPr>
      <w:r>
        <w:t xml:space="preserve">Grid emission factors for electricity are obtained from regional (China) averages, considering the renewable energy mix.</w:t>
      </w:r>
    </w:p>
    <w:p>
      <w:pPr>
        <w:numPr>
          <w:ilvl w:val="0"/>
          <w:numId w:val="1003"/>
        </w:numPr>
        <w:pStyle w:val="Compact"/>
      </w:pPr>
      <w:r>
        <w:rPr>
          <w:bCs/>
          <w:b/>
        </w:rPr>
        <w:t xml:space="preserve">Logistics Data:</w:t>
      </w:r>
    </w:p>
    <w:p>
      <w:pPr>
        <w:numPr>
          <w:ilvl w:val="1"/>
          <w:numId w:val="1005"/>
        </w:numPr>
        <w:pStyle w:val="Compact"/>
      </w:pPr>
      <w:r>
        <w:t xml:space="preserve">Transport Mode:</w:t>
      </w:r>
      <w:r>
        <w:t xml:space="preserve"> </w:t>
      </w:r>
      <w:r>
        <w:rPr>
          <w:bCs/>
          <w:b/>
        </w:rPr>
        <w:t xml:space="preserve">Select Mode</w:t>
      </w:r>
      <w:r>
        <w:t xml:space="preserve"> </w:t>
      </w:r>
      <w:r>
        <w:t xml:space="preserve">(e.g., Ocean Freight for primary, Road Freight for secondary)</w:t>
      </w:r>
    </w:p>
    <w:p>
      <w:pPr>
        <w:numPr>
          <w:ilvl w:val="1"/>
          <w:numId w:val="1005"/>
        </w:numPr>
        <w:pStyle w:val="Compact"/>
      </w:pPr>
      <w:r>
        <w:t xml:space="preserve">Transport Distance:</w:t>
      </w:r>
      <w:r>
        <w:t xml:space="preserve"> </w:t>
      </w:r>
      <w:r>
        <w:rPr>
          <w:bCs/>
          <w:b/>
        </w:rPr>
        <w:t xml:space="preserve">pyosoghdyh</w:t>
      </w:r>
      <w:r>
        <w:t xml:space="preserve"> </w:t>
      </w:r>
      <w:r>
        <w:t xml:space="preserve">(e.g., 10,000 km ocean, 500 km road)</w:t>
      </w:r>
    </w:p>
    <w:p>
      <w:pPr>
        <w:numPr>
          <w:ilvl w:val="1"/>
          <w:numId w:val="1005"/>
        </w:numPr>
        <w:pStyle w:val="Compact"/>
      </w:pPr>
      <w:r>
        <w:t xml:space="preserve">Last-Mile Delivery Channel:</w:t>
      </w:r>
      <w:r>
        <w:t xml:space="preserve"> </w:t>
      </w:r>
      <w:r>
        <w:rPr>
          <w:bCs/>
          <w:b/>
        </w:rPr>
        <w:t xml:space="preserve">Delivery Type</w:t>
      </w:r>
      <w:r>
        <w:t xml:space="preserve"> </w:t>
      </w:r>
      <w:r>
        <w:t xml:space="preserve">(e.g., Express Courier)</w:t>
      </w:r>
    </w:p>
    <w:p>
      <w:pPr>
        <w:numPr>
          <w:ilvl w:val="1"/>
          <w:numId w:val="1005"/>
        </w:numPr>
        <w:pStyle w:val="Compact"/>
      </w:pPr>
      <w:r>
        <w:t xml:space="preserve">Emission factors for various transport modes are sourced from industry-standard databases (e.g., DEFRA, Ecoinvent).</w:t>
      </w:r>
    </w:p>
    <w:p>
      <w:pPr>
        <w:numPr>
          <w:ilvl w:val="0"/>
          <w:numId w:val="1003"/>
        </w:numPr>
        <w:pStyle w:val="Compact"/>
      </w:pPr>
      <w:r>
        <w:rPr>
          <w:bCs/>
          <w:b/>
        </w:rPr>
        <w:t xml:space="preserve">Use Phase Data:</w:t>
      </w:r>
    </w:p>
    <w:p>
      <w:pPr>
        <w:numPr>
          <w:ilvl w:val="1"/>
          <w:numId w:val="1006"/>
        </w:numPr>
        <w:pStyle w:val="Compact"/>
      </w:pPr>
      <w:r>
        <w:t xml:space="preserve">Product Lifespan:</w:t>
      </w:r>
      <w:r>
        <w:t xml:space="preserve"> </w:t>
      </w:r>
      <w:r>
        <w:rPr>
          <w:bCs/>
          <w:b/>
        </w:rPr>
        <w:t xml:space="preserve">wrnkvoegog</w:t>
      </w:r>
      <w:r>
        <w:t xml:space="preserve"> </w:t>
      </w:r>
      <w:r>
        <w:t xml:space="preserve">(e.g., 5 years)</w:t>
      </w:r>
    </w:p>
    <w:p>
      <w:pPr>
        <w:numPr>
          <w:ilvl w:val="1"/>
          <w:numId w:val="1006"/>
        </w:numPr>
        <w:pStyle w:val="Compact"/>
      </w:pPr>
      <w:r>
        <w:t xml:space="preserve">Energy Consumption in Use:</w:t>
      </w:r>
      <w:r>
        <w:t xml:space="preserve"> </w:t>
      </w:r>
      <w:r>
        <w:rPr>
          <w:bCs/>
          <w:b/>
        </w:rPr>
        <w:t xml:space="preserve">nsryyykvrz</w:t>
      </w:r>
      <w:r>
        <w:t xml:space="preserve"> </w:t>
      </w:r>
      <w:r>
        <w:t xml:space="preserve">(e.g., 10 kWh/year)</w:t>
      </w:r>
    </w:p>
    <w:p>
      <w:pPr>
        <w:numPr>
          <w:ilvl w:val="0"/>
          <w:numId w:val="1003"/>
        </w:numPr>
        <w:pStyle w:val="Compact"/>
      </w:pPr>
      <w:r>
        <w:rPr>
          <w:bCs/>
          <w:b/>
        </w:rPr>
        <w:t xml:space="preserve">End-of-Life Scenarios:</w:t>
      </w:r>
    </w:p>
    <w:p>
      <w:pPr>
        <w:numPr>
          <w:ilvl w:val="1"/>
          <w:numId w:val="1007"/>
        </w:numPr>
        <w:pStyle w:val="Compact"/>
      </w:pPr>
      <w:r>
        <w:t xml:space="preserve">Recyclability Percentage:</w:t>
      </w:r>
      <w:r>
        <w:t xml:space="preserve"> </w:t>
      </w:r>
      <w:r>
        <w:rPr>
          <w:bCs/>
          <w:b/>
        </w:rPr>
        <w:t xml:space="preserve">ngkivfkjhz</w:t>
      </w:r>
      <w:r>
        <w:t xml:space="preserve"> </w:t>
      </w:r>
      <w:r>
        <w:t xml:space="preserve">(e.g., 80%)</w:t>
      </w:r>
    </w:p>
    <w:p>
      <w:pPr>
        <w:numPr>
          <w:ilvl w:val="1"/>
          <w:numId w:val="1007"/>
        </w:numPr>
        <w:pStyle w:val="Compact"/>
      </w:pPr>
      <w:r>
        <w:t xml:space="preserve">Circular/Take-back Programs:</w:t>
      </w:r>
      <w:r>
        <w:t xml:space="preserve"> </w:t>
      </w:r>
      <w:r>
        <w:rPr>
          <w:bCs/>
          <w:b/>
        </w:rPr>
        <w:t xml:space="preserve">uzjkekykvh</w:t>
      </w:r>
      <w:r>
        <w:t xml:space="preserve"> </w:t>
      </w:r>
      <w:r>
        <w:t xml:space="preserve">(e.g., Yes, high participation)</w:t>
      </w:r>
    </w:p>
    <w:p>
      <w:pPr>
        <w:numPr>
          <w:ilvl w:val="0"/>
          <w:numId w:val="1003"/>
        </w:numPr>
        <w:pStyle w:val="Compact"/>
      </w:pPr>
      <w:r>
        <w:rPr>
          <w:bCs/>
          <w:b/>
        </w:rPr>
        <w:t xml:space="preserve">Emission Factors:</w:t>
      </w:r>
      <w:r>
        <w:t xml:space="preserve"> </w:t>
      </w:r>
      <w:r>
        <w:t xml:space="preserve">General emission factors for energy, waste, and other processes are primarily drawn from Ecoinvent and DEFRA databases, selected based on geographic relevance and data quality.</w:t>
      </w:r>
    </w:p>
    <w:bookmarkEnd w:id="29"/>
    <w:bookmarkStart w:id="34" w:name="Xa991e7faf76bdf88064e0090ec77f0e137174e3"/>
    <w:p>
      <w:pPr>
        <w:pStyle w:val="Heading3"/>
      </w:pPr>
      <w:r>
        <w:t xml:space="preserve">2.4. Step 4: Calculate Emissions (Activity * Emission Factor = CO2e)</w:t>
      </w:r>
    </w:p>
    <w:p>
      <w:pPr>
        <w:pStyle w:val="FirstParagraph"/>
      </w:pPr>
      <w:r>
        <w:t xml:space="preserve">Emissions are calculated for each stage of the product lifecycle and categorized according to the GHG Protocol scopes. All results are expressed in kilograms of carbon dioxide equivalents (kgCO2e).</w:t>
      </w:r>
    </w:p>
    <w:bookmarkStart w:id="30" w:name="scope-1-emissions-direct-emissions"/>
    <w:p>
      <w:pPr>
        <w:pStyle w:val="Heading4"/>
      </w:pPr>
      <w:r>
        <w:t xml:space="preserve">2.4.1. Scope 1 Emissions (Direct Emissions)</w:t>
      </w:r>
    </w:p>
    <w:p>
      <w:pPr>
        <w:pStyle w:val="FirstParagraph"/>
      </w:pPr>
      <w:r>
        <w:t xml:space="preserve">These are direct GHG emissions from sources owned or controlled by inpryyidwy\'s manufacturing operations. For a \'factory_gate\' system boundary, this primarily includes direct fuel combustion in manufacturing processes (e.g., boilers, owned vehicles on-site).</w:t>
      </w:r>
    </w:p>
    <w:p>
      <w:pPr>
        <w:numPr>
          <w:ilvl w:val="0"/>
          <w:numId w:val="1008"/>
        </w:numPr>
        <w:pStyle w:val="Compact"/>
      </w:pPr>
      <w:r>
        <w:rPr>
          <w:iCs/>
          <w:i/>
        </w:rPr>
        <w:t xml:space="preserve">Illustrative Calculation:</w:t>
      </w:r>
      <w:r>
        <w:t xml:space="preserve"> </w:t>
      </w:r>
      <w:r>
        <w:t xml:space="preserve">Assuming minor on-site fuel combustion for heating or equipment.</w:t>
      </w:r>
    </w:p>
    <w:p>
      <w:pPr>
        <w:numPr>
          <w:ilvl w:val="1"/>
          <w:numId w:val="1009"/>
        </w:numPr>
        <w:pStyle w:val="Compact"/>
      </w:pPr>
      <w:r>
        <w:t xml:space="preserve">Activity: 100 kWh natural gas combustion</w:t>
      </w:r>
    </w:p>
    <w:p>
      <w:pPr>
        <w:numPr>
          <w:ilvl w:val="1"/>
          <w:numId w:val="1009"/>
        </w:numPr>
        <w:pStyle w:val="Compact"/>
      </w:pPr>
      <w:r>
        <w:t xml:space="preserve">Emission Factor: 0.2 kgCO2e/kWh (illustrative)</w:t>
      </w:r>
    </w:p>
    <w:p>
      <w:pPr>
        <w:numPr>
          <w:ilvl w:val="1"/>
          <w:numId w:val="1009"/>
        </w:numPr>
        <w:pStyle w:val="Compact"/>
      </w:pPr>
      <w:r>
        <w:rPr>
          <w:bCs/>
          <w:b/>
        </w:rPr>
        <w:t xml:space="preserve">Scope 1 Emissions: 20 kgCO2e</w:t>
      </w:r>
    </w:p>
    <w:bookmarkEnd w:id="30"/>
    <w:bookmarkStart w:id="31" w:name="X2d8d685b47aa894fb1e052b68fb751e5e9e47f0"/>
    <w:p>
      <w:pPr>
        <w:pStyle w:val="Heading4"/>
      </w:pPr>
      <w:r>
        <w:t xml:space="preserve">2.4.2. Scope 2 Emissions (Energy Indirect Emissions)</w:t>
      </w:r>
    </w:p>
    <w:p>
      <w:pPr>
        <w:pStyle w:val="FirstParagraph"/>
      </w:pPr>
      <w:r>
        <w:t xml:space="preserve">These are GHG emissions from the generation of purchased electricity, steam, heating, or cooling consumed by inpryyidwy\'s manufacturing operations.</w:t>
      </w:r>
    </w:p>
    <w:p>
      <w:pPr>
        <w:numPr>
          <w:ilvl w:val="0"/>
          <w:numId w:val="1010"/>
        </w:numPr>
        <w:pStyle w:val="Compact"/>
      </w:pPr>
      <w:r>
        <w:rPr>
          <w:iCs/>
          <w:i/>
        </w:rPr>
        <w:t xml:space="preserve">Illustrative Calculation (Production Phase):</w:t>
      </w:r>
    </w:p>
    <w:p>
      <w:pPr>
        <w:numPr>
          <w:ilvl w:val="1"/>
          <w:numId w:val="1011"/>
        </w:numPr>
        <w:pStyle w:val="Compact"/>
      </w:pPr>
      <w:r>
        <w:t xml:space="preserve">Total Energy Intensity:</w:t>
      </w:r>
      <w:r>
        <w:t xml:space="preserve"> </w:t>
      </w:r>
      <w:r>
        <w:rPr>
          <w:bCs/>
          <w:b/>
        </w:rPr>
        <w:t xml:space="preserve">eygvelktlo</w:t>
      </w:r>
      <w:r>
        <w:t xml:space="preserve"> </w:t>
      </w:r>
      <w:r>
        <w:t xml:space="preserve">(15 kWh/unit)</w:t>
      </w:r>
    </w:p>
    <w:p>
      <w:pPr>
        <w:numPr>
          <w:ilvl w:val="1"/>
          <w:numId w:val="1011"/>
        </w:numPr>
        <w:pStyle w:val="Compact"/>
      </w:pPr>
      <w:r>
        <w:t xml:space="preserve">Renewable Energy Usage:</w:t>
      </w:r>
      <w:r>
        <w:t xml:space="preserve"> </w:t>
      </w:r>
      <w:r>
        <w:rPr>
          <w:bCs/>
          <w:b/>
        </w:rPr>
        <w:t xml:space="preserve">ttoxknrdsj</w:t>
      </w:r>
      <w:r>
        <w:t xml:space="preserve"> </w:t>
      </w:r>
      <w:r>
        <w:t xml:space="preserve">(60%)</w:t>
      </w:r>
    </w:p>
    <w:p>
      <w:pPr>
        <w:numPr>
          <w:ilvl w:val="1"/>
          <w:numId w:val="1011"/>
        </w:numPr>
        <w:pStyle w:val="Compact"/>
      </w:pPr>
      <w:r>
        <w:t xml:space="preserve">Non-renewable energy: 15 kWh/unit * (1 - 0.60) = 6 kWh/unit</w:t>
      </w:r>
    </w:p>
    <w:p>
      <w:pPr>
        <w:numPr>
          <w:ilvl w:val="1"/>
          <w:numId w:val="1011"/>
        </w:numPr>
        <w:pStyle w:val="Compact"/>
      </w:pPr>
      <w:r>
        <w:t xml:space="preserve">Assumed Grid Emission Factor (China, illustrative): 0.6 kgCO2e/kWh</w:t>
      </w:r>
    </w:p>
    <w:p>
      <w:pPr>
        <w:numPr>
          <w:ilvl w:val="1"/>
          <w:numId w:val="1011"/>
        </w:numPr>
        <w:pStyle w:val="Compact"/>
      </w:pPr>
      <w:r>
        <w:rPr>
          <w:bCs/>
          <w:b/>
        </w:rPr>
        <w:t xml:space="preserve">Scope 2 Emissions: 6 kWh/unit * 0.6 kgCO2e/kWh = 3.6 kgCO2e/unit</w:t>
      </w:r>
    </w:p>
    <w:bookmarkEnd w:id="31"/>
    <w:bookmarkStart w:id="32" w:name="Xa4ae47cf428664338de6136b1752768d982738f"/>
    <w:p>
      <w:pPr>
        <w:pStyle w:val="Heading4"/>
      </w:pPr>
      <w:r>
        <w:t xml:space="preserve">2.4.3. Scope 3 Emissions (Other Indirect Emissions - Value Chain)</w:t>
      </w:r>
    </w:p>
    <w:p>
      <w:pPr>
        <w:pStyle w:val="FirstParagraph"/>
      </w:pPr>
      <w:r>
        <w:t xml:space="preserve">This category includes all other indirect emissions that occur in inpryyidwy\'s value chain. In line with 2026 GHG Protocol requirements, at least 95% coverage for Scope 3 reporting is ensured, focusing on completeness and materiality. The new 95% completeness rule mandates accounting for the vast majority of value chain emissions, with justified exclusions limited to 5%.</w:t>
      </w:r>
    </w:p>
    <w:p>
      <w:pPr>
        <w:numPr>
          <w:ilvl w:val="0"/>
          <w:numId w:val="1012"/>
        </w:numPr>
        <w:pStyle w:val="Compact"/>
      </w:pPr>
      <w:r>
        <w:rPr>
          <w:bCs/>
          <w:b/>
        </w:rPr>
        <w:t xml:space="preserve">Category 1: Purchased Goods and Services (Upstream)</w:t>
      </w:r>
    </w:p>
    <w:p>
      <w:pPr>
        <w:numPr>
          <w:ilvl w:val="1"/>
          <w:numId w:val="1013"/>
        </w:numPr>
        <w:pStyle w:val="Compact"/>
      </w:pPr>
      <w:r>
        <w:t xml:space="preserve">This includes emissions from raw material extraction, production, and processing of primary materials and components (e.g., Aluminum, ABS plastic, integrated circuits as per the illustrative BOM).</w:t>
      </w:r>
    </w:p>
    <w:p>
      <w:pPr>
        <w:numPr>
          <w:ilvl w:val="1"/>
          <w:numId w:val="1013"/>
        </w:numPr>
        <w:pStyle w:val="Compact"/>
      </w:pPr>
      <w:r>
        <w:rPr>
          <w:iCs/>
          <w:i/>
        </w:rPr>
        <w:t xml:space="preserve">Illustrative Calculation:</w:t>
      </w:r>
      <w:r>
        <w:t xml:space="preserve"> </w:t>
      </w:r>
      <w:r>
        <w:t xml:space="preserve">Based on the sample BOM, the Total Carbon from materials is 35.0 kgCO2e.</w:t>
      </w:r>
    </w:p>
    <w:p>
      <w:pPr>
        <w:numPr>
          <w:ilvl w:val="1"/>
          <w:numId w:val="1013"/>
        </w:numPr>
        <w:pStyle w:val="Compact"/>
      </w:pPr>
      <w:r>
        <w:rPr>
          <w:bCs/>
          <w:b/>
        </w:rPr>
        <w:t xml:space="preserve">Emissions (Materials): 35.0 kgCO2e/unit</w:t>
      </w:r>
    </w:p>
    <w:p>
      <w:pPr>
        <w:numPr>
          <w:ilvl w:val="0"/>
          <w:numId w:val="1012"/>
        </w:numPr>
        <w:pStyle w:val="Compact"/>
      </w:pPr>
      <w:r>
        <w:rPr>
          <w:bCs/>
          <w:b/>
        </w:rPr>
        <w:t xml:space="preserve">Category 4: Upstream Transportation and Distribution (Upstream)</w:t>
      </w:r>
    </w:p>
    <w:p>
      <w:pPr>
        <w:numPr>
          <w:ilvl w:val="1"/>
          <w:numId w:val="1014"/>
        </w:numPr>
        <w:pStyle w:val="Compact"/>
      </w:pPr>
      <w:r>
        <w:t xml:space="preserve">Emissions from transporting purchased materials and components to the manufacturing facility.</w:t>
      </w:r>
    </w:p>
    <w:p>
      <w:pPr>
        <w:numPr>
          <w:ilvl w:val="1"/>
          <w:numId w:val="1014"/>
        </w:numPr>
        <w:pStyle w:val="Compact"/>
      </w:pPr>
      <w:r>
        <w:rPr>
          <w:iCs/>
          <w:i/>
        </w:rPr>
        <w:t xml:space="preserve">Illustrative Calculation:</w:t>
      </w:r>
      <w:r>
        <w:t xml:space="preserve"> </w:t>
      </w:r>
      <w:r>
        <w:t xml:space="preserve">Assumed average inbound transport distance of 2,000 km by road (Europe focused supply chain) for 5 kg material/unit.</w:t>
      </w:r>
    </w:p>
    <w:p>
      <w:pPr>
        <w:numPr>
          <w:ilvl w:val="2"/>
          <w:numId w:val="1015"/>
        </w:numPr>
        <w:pStyle w:val="Compact"/>
      </w:pPr>
      <w:r>
        <w:t xml:space="preserve">Road freight emission factor (illustrative): 0.09 kgCO2e/tkm</w:t>
      </w:r>
    </w:p>
    <w:p>
      <w:pPr>
        <w:numPr>
          <w:ilvl w:val="2"/>
          <w:numId w:val="1015"/>
        </w:numPr>
        <w:pStyle w:val="Compact"/>
      </w:pPr>
      <w:r>
        <w:t xml:space="preserve">Distance: 2,000 km</w:t>
      </w:r>
    </w:p>
    <w:p>
      <w:pPr>
        <w:numPr>
          <w:ilvl w:val="2"/>
          <w:numId w:val="1015"/>
        </w:numPr>
        <w:pStyle w:val="Compact"/>
      </w:pPr>
      <w:r>
        <w:t xml:space="preserve">Weight: 5 kg = 0.005 tonnes</w:t>
      </w:r>
    </w:p>
    <w:p>
      <w:pPr>
        <w:numPr>
          <w:ilvl w:val="2"/>
          <w:numId w:val="1015"/>
        </w:numPr>
        <w:pStyle w:val="Compact"/>
      </w:pPr>
      <w:r>
        <w:rPr>
          <w:bCs/>
          <w:b/>
        </w:rPr>
        <w:t xml:space="preserve">Emissions (Inbound Transport): 0.005 t * 2,000 km * 0.09 kgCO2e/tkm = 0.9 kgCO2e/unit</w:t>
      </w:r>
    </w:p>
    <w:p>
      <w:pPr>
        <w:numPr>
          <w:ilvl w:val="0"/>
          <w:numId w:val="1012"/>
        </w:numPr>
        <w:pStyle w:val="Compact"/>
      </w:pPr>
      <w:r>
        <w:rPr>
          <w:bCs/>
          <w:b/>
        </w:rPr>
        <w:t xml:space="preserve">Category 9: Downstream Transportation and Distribution (Downstream)</w:t>
      </w:r>
    </w:p>
    <w:p>
      <w:pPr>
        <w:numPr>
          <w:ilvl w:val="1"/>
          <w:numId w:val="1016"/>
        </w:numPr>
        <w:pStyle w:val="Compact"/>
      </w:pPr>
      <w:r>
        <w:t xml:space="preserve">Emissions from transporting finished products from the factory to the customer. This considers</w:t>
      </w:r>
      <w:r>
        <w:t xml:space="preserve"> </w:t>
      </w:r>
      <w:r>
        <w:rPr>
          <w:bCs/>
          <w:b/>
        </w:rPr>
        <w:t xml:space="preserve">Select Mode</w:t>
      </w:r>
      <w:r>
        <w:t xml:space="preserve"> </w:t>
      </w:r>
      <w:r>
        <w:t xml:space="preserve">and</w:t>
      </w:r>
      <w:r>
        <w:t xml:space="preserve"> </w:t>
      </w:r>
      <w:r>
        <w:rPr>
          <w:bCs/>
          <w:b/>
        </w:rPr>
        <w:t xml:space="preserve">pyosoghdyh</w:t>
      </w:r>
      <w:r>
        <w:t xml:space="preserve">, and</w:t>
      </w:r>
      <w:r>
        <w:t xml:space="preserve"> </w:t>
      </w:r>
      <w:r>
        <w:rPr>
          <w:bCs/>
          <w:b/>
        </w:rPr>
        <w:t xml:space="preserve">Delivery Type</w:t>
      </w:r>
      <w:r>
        <w:t xml:space="preserve">.</w:t>
      </w:r>
    </w:p>
    <w:p>
      <w:pPr>
        <w:numPr>
          <w:ilvl w:val="1"/>
          <w:numId w:val="1016"/>
        </w:numPr>
        <w:pStyle w:val="Compact"/>
      </w:pPr>
      <w:r>
        <w:rPr>
          <w:iCs/>
          <w:i/>
        </w:rPr>
        <w:t xml:space="preserve">Illustrative Calculation:</w:t>
      </w:r>
    </w:p>
    <w:p>
      <w:pPr>
        <w:numPr>
          <w:ilvl w:val="2"/>
          <w:numId w:val="1017"/>
        </w:numPr>
        <w:pStyle w:val="Compact"/>
      </w:pPr>
      <w:r>
        <w:t xml:space="preserve">Ocean Freight (Main): 10,000 km for a 3 kg product. EF: 0.01 kgCO2e/tkm (illustrative).</w:t>
      </w:r>
      <w:r>
        <w:br/>
      </w:r>
      <w:r>
        <w:t xml:space="preserve">0.003 t * 10,000 km * 0.01 kgCO2e/tkm = 0.3 kgCO2e/unit</w:t>
      </w:r>
    </w:p>
    <w:p>
      <w:pPr>
        <w:numPr>
          <w:ilvl w:val="2"/>
          <w:numId w:val="1017"/>
        </w:numPr>
        <w:pStyle w:val="Compact"/>
      </w:pPr>
      <w:r>
        <w:t xml:space="preserve">Road Freight (Last-Mile): 500 km (e.g., Express Courier). EF: 0.1 kgCO2e/tkm (illustrative).</w:t>
      </w:r>
      <w:r>
        <w:br/>
      </w:r>
      <w:r>
        <w:t xml:space="preserve">0.003 t * 500 km * 0.1 kgCO2e/tkm = 0.15 kgCO2e/unit</w:t>
      </w:r>
    </w:p>
    <w:p>
      <w:pPr>
        <w:numPr>
          <w:ilvl w:val="2"/>
          <w:numId w:val="1017"/>
        </w:numPr>
        <w:pStyle w:val="Compact"/>
      </w:pPr>
      <w:r>
        <w:rPr>
          <w:bCs/>
          <w:b/>
        </w:rPr>
        <w:t xml:space="preserve">Emissions (Outbound Transport): 0.3 + 0.15 = 0.45 kgCO2e/unit</w:t>
      </w:r>
    </w:p>
    <w:p>
      <w:pPr>
        <w:numPr>
          <w:ilvl w:val="0"/>
          <w:numId w:val="1012"/>
        </w:numPr>
        <w:pStyle w:val="Compact"/>
      </w:pPr>
      <w:r>
        <w:rPr>
          <w:bCs/>
          <w:b/>
        </w:rPr>
        <w:t xml:space="preserve">Category 11: Use of Sold Products (Downstream)</w:t>
      </w:r>
    </w:p>
    <w:p>
      <w:pPr>
        <w:numPr>
          <w:ilvl w:val="1"/>
          <w:numId w:val="1018"/>
        </w:numPr>
        <w:pStyle w:val="Compact"/>
      </w:pPr>
      <w:r>
        <w:t xml:space="preserve">Emissions from the end-user\'s use of the product over its</w:t>
      </w:r>
      <w:r>
        <w:t xml:space="preserve"> </w:t>
      </w:r>
      <w:r>
        <w:rPr>
          <w:bCs/>
          <w:b/>
        </w:rPr>
        <w:t xml:space="preserve">wrnkvoegog</w:t>
      </w:r>
      <w:r>
        <w:t xml:space="preserve"> </w:t>
      </w:r>
      <w:r>
        <w:t xml:space="preserve">(e.g., 5 years) lifespan, consuming</w:t>
      </w:r>
      <w:r>
        <w:t xml:space="preserve"> </w:t>
      </w:r>
      <w:r>
        <w:rPr>
          <w:bCs/>
          <w:b/>
        </w:rPr>
        <w:t xml:space="preserve">nsryyykvrz</w:t>
      </w:r>
      <w:r>
        <w:t xml:space="preserve"> </w:t>
      </w:r>
      <w:r>
        <w:t xml:space="preserve">(e.g., 10 kWh/year) of energy.</w:t>
      </w:r>
    </w:p>
    <w:p>
      <w:pPr>
        <w:numPr>
          <w:ilvl w:val="1"/>
          <w:numId w:val="1018"/>
        </w:numPr>
        <w:pStyle w:val="Compact"/>
      </w:pPr>
      <w:r>
        <w:rPr>
          <w:iCs/>
          <w:i/>
        </w:rPr>
        <w:t xml:space="preserve">Illustrative Calculation:</w:t>
      </w:r>
    </w:p>
    <w:p>
      <w:pPr>
        <w:numPr>
          <w:ilvl w:val="2"/>
          <w:numId w:val="1019"/>
        </w:numPr>
        <w:pStyle w:val="Compact"/>
      </w:pPr>
      <w:r>
        <w:t xml:space="preserve">Total energy consumption over lifespan: 5 years * 10 kWh/year = 50 kWh</w:t>
      </w:r>
    </w:p>
    <w:p>
      <w:pPr>
        <w:numPr>
          <w:ilvl w:val="2"/>
          <w:numId w:val="1019"/>
        </w:numPr>
        <w:pStyle w:val="Compact"/>
      </w:pPr>
      <w:r>
        <w:t xml:space="preserve">Assumed average grid emission factor for use location (e.g., Europe, illustrative): 0.3 kgCO2e/kWh</w:t>
      </w:r>
    </w:p>
    <w:p>
      <w:pPr>
        <w:numPr>
          <w:ilvl w:val="2"/>
          <w:numId w:val="1019"/>
        </w:numPr>
        <w:pStyle w:val="Compact"/>
      </w:pPr>
      <w:r>
        <w:rPr>
          <w:bCs/>
          <w:b/>
        </w:rPr>
        <w:t xml:space="preserve">Emissions (Use Phase): 50 kWh * 0.3 kgCO2e/kWh = 15.0 kgCO2e/unit</w:t>
      </w:r>
    </w:p>
    <w:p>
      <w:pPr>
        <w:numPr>
          <w:ilvl w:val="0"/>
          <w:numId w:val="1012"/>
        </w:numPr>
        <w:pStyle w:val="Compact"/>
      </w:pPr>
      <w:r>
        <w:rPr>
          <w:bCs/>
          <w:b/>
        </w:rPr>
        <w:t xml:space="preserve">Category 12: End-of-Life Treatment of Sold Products (Downstream)</w:t>
      </w:r>
    </w:p>
    <w:p>
      <w:pPr>
        <w:numPr>
          <w:ilvl w:val="1"/>
          <w:numId w:val="1020"/>
        </w:numPr>
        <w:pStyle w:val="Compact"/>
      </w:pPr>
      <w:r>
        <w:t xml:space="preserve">Emissions (and potential avoided emissions) from disposal, recycling, and recovery. This incorporates</w:t>
      </w:r>
      <w:r>
        <w:t xml:space="preserve"> </w:t>
      </w:r>
      <w:r>
        <w:rPr>
          <w:bCs/>
          <w:b/>
        </w:rPr>
        <w:t xml:space="preserve">ngkivfkjhz</w:t>
      </w:r>
      <w:r>
        <w:t xml:space="preserve"> </w:t>
      </w:r>
      <w:r>
        <w:t xml:space="preserve">(e.g., 80% recyclability) and</w:t>
      </w:r>
      <w:r>
        <w:t xml:space="preserve"> </w:t>
      </w:r>
      <w:r>
        <w:rPr>
          <w:bCs/>
          <w:b/>
        </w:rPr>
        <w:t xml:space="preserve">uzjkekykvh</w:t>
      </w:r>
      <w:r>
        <w:t xml:space="preserve"> </w:t>
      </w:r>
      <w:r>
        <w:t xml:space="preserve">(e.g., circular/take-back programs).</w:t>
      </w:r>
    </w:p>
    <w:p>
      <w:pPr>
        <w:numPr>
          <w:ilvl w:val="1"/>
          <w:numId w:val="1020"/>
        </w:numPr>
        <w:pStyle w:val="Compact"/>
      </w:pPr>
      <w:r>
        <w:rPr>
          <w:iCs/>
          <w:i/>
        </w:rPr>
        <w:t xml:space="preserve">Illustrative Calculation:</w:t>
      </w:r>
    </w:p>
    <w:p>
      <w:pPr>
        <w:numPr>
          <w:ilvl w:val="2"/>
          <w:numId w:val="1021"/>
        </w:numPr>
        <w:pStyle w:val="Compact"/>
      </w:pPr>
      <w:r>
        <w:t xml:space="preserve">Total product weight: 3 kg</w:t>
      </w:r>
    </w:p>
    <w:p>
      <w:pPr>
        <w:numPr>
          <w:ilvl w:val="2"/>
          <w:numId w:val="1021"/>
        </w:numPr>
        <w:pStyle w:val="Compact"/>
      </w:pPr>
      <w:r>
        <w:t xml:space="preserve">80% recycled: 2.4 kg (assume avoided emissions, e.g., -1.5 kgCO2e/kg for aluminum, -0.5 kgCO2e/kg for plastics, net savings for components)</w:t>
      </w:r>
    </w:p>
    <w:p>
      <w:pPr>
        <w:numPr>
          <w:ilvl w:val="2"/>
          <w:numId w:val="1021"/>
        </w:numPr>
        <w:pStyle w:val="Compact"/>
      </w:pPr>
      <w:r>
        <w:t xml:space="preserve">20% disposed: 0.6 kg (landfill emissions, e.g., 0.8 kgCO2e/kg for mixed waste)</w:t>
      </w:r>
    </w:p>
    <w:p>
      <w:pPr>
        <w:numPr>
          <w:ilvl w:val="2"/>
          <w:numId w:val="1021"/>
        </w:numPr>
        <w:pStyle w:val="Compact"/>
      </w:pPr>
      <w:r>
        <w:t xml:space="preserve">Net impact often calculated based on specific material recovery and disposal emission factors. Assuming a net benefit due to high recyclability and circular programs (e.g., take-back schemes reduce disposal and promote reuse).</w:t>
      </w:r>
    </w:p>
    <w:p>
      <w:pPr>
        <w:numPr>
          <w:ilvl w:val="2"/>
          <w:numId w:val="1021"/>
        </w:numPr>
        <w:pStyle w:val="Compact"/>
      </w:pPr>
      <w:r>
        <w:rPr>
          <w:bCs/>
          <w:b/>
        </w:rPr>
        <w:t xml:space="preserve">Emissions (End-of-Life): -2.0 kgCO2e/unit</w:t>
      </w:r>
      <w:r>
        <w:t xml:space="preserve"> </w:t>
      </w:r>
      <w:r>
        <w:t xml:space="preserve">(Net reduction due to high recyclability/circularity, illustrative)</w:t>
      </w:r>
    </w:p>
    <w:p>
      <w:pPr>
        <w:numPr>
          <w:ilvl w:val="0"/>
          <w:numId w:val="1012"/>
        </w:numPr>
        <w:pStyle w:val="Compact"/>
      </w:pPr>
      <w:r>
        <w:rPr>
          <w:bCs/>
          <w:b/>
        </w:rPr>
        <w:t xml:space="preserve">Land Sector and Removals (LSR) Standard (2026 Update):</w:t>
      </w:r>
      <w:r>
        <w:t xml:space="preserve"> </w:t>
      </w:r>
      <w:r>
        <w:t xml:space="preserve">The new GHG Protocol Land Sector and Removals Standard, released January 30, 2026, and effective January 1, 2027, provides guidelines for accounting for land use, land use change, biogenic products, and carbon removals. While specific land-related emissions for ywxhhljxgk are not explicitly provided, a comprehensive PCF analysis would assess if any raw materials (e.g., timber, agricultural products) or manufacturing processes (e.g., direct land use change for factory expansion) fall under this standard. For this product, if no direct agricultural or forestry inputs are significant, the impact may be negligible within this boundary. However, potential removals through circular programs would be accounted for under this standard.</w:t>
      </w:r>
    </w:p>
    <w:bookmarkEnd w:id="32"/>
    <w:bookmarkStart w:id="33" w:name="X6cb5e98fc5f672b90609cb3addd66567976155f"/>
    <w:p>
      <w:pPr>
        <w:pStyle w:val="Heading4"/>
      </w:pPr>
      <w:r>
        <w:t xml:space="preserve">2.4.4. Total Product Carbon Footprint (Illustrative Summary)</w:t>
      </w:r>
    </w:p>
    <w:p>
      <w:pPr>
        <w:pStyle w:val="FirstParagraph"/>
      </w:pPr>
      <w:r>
        <w:t xml:space="preserve">Based on the illustrative calculations above, the summary of emissions for one functional unit of ywxhhljxgk (up to Cradle-to-Grave for demonstration purposes, though the system boundary is factory_gate for main reporting):</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 / Category</w:t>
            </w:r>
          </w:p>
        </w:tc>
        <w:tc>
          <w:tcPr/>
          <w:p>
            <w:pPr>
              <w:pStyle w:val="Compact"/>
              <w:jc w:val="left"/>
            </w:pPr>
            <w:r>
              <w:t xml:space="preserve">Illustrative Emissions (kgCO2e/unit)</w:t>
            </w:r>
          </w:p>
        </w:tc>
      </w:tr>
      <w:tr>
        <w:tc>
          <w:tcPr/>
          <w:p>
            <w:pPr>
              <w:pStyle w:val="Compact"/>
              <w:jc w:val="left"/>
            </w:pPr>
            <w:r>
              <w:t xml:space="preserve">Scope 1 (Direct Operations)</w:t>
            </w:r>
          </w:p>
        </w:tc>
        <w:tc>
          <w:tcPr/>
          <w:p>
            <w:pPr>
              <w:pStyle w:val="Compact"/>
              <w:jc w:val="left"/>
            </w:pPr>
            <w:r>
              <w:t xml:space="preserve">20.0</w:t>
            </w:r>
          </w:p>
        </w:tc>
      </w:tr>
      <w:tr>
        <w:tc>
          <w:tcPr/>
          <w:p>
            <w:pPr>
              <w:pStyle w:val="Compact"/>
              <w:jc w:val="left"/>
            </w:pPr>
            <w:r>
              <w:t xml:space="preserve">Scope 2 (Purchased Electricity)</w:t>
            </w:r>
          </w:p>
        </w:tc>
        <w:tc>
          <w:tcPr/>
          <w:p>
            <w:pPr>
              <w:pStyle w:val="Compact"/>
              <w:jc w:val="left"/>
            </w:pPr>
            <w:r>
              <w:t xml:space="preserve">3.6</w:t>
            </w:r>
          </w:p>
        </w:tc>
      </w:tr>
      <w:tr>
        <w:tc>
          <w:tcPr>
            <w:gridSpan w:val="2"/>
          </w:tcPr>
          <w:p>
            <w:pPr>
              <w:pStyle w:val="Compact"/>
              <w:jc w:val="left"/>
            </w:pPr>
            <w:r>
              <w:rPr>
                <w:bCs/>
                <w:b/>
              </w:rPr>
              <w:t xml:space="preserve">Scope 3 (Value Chain)</w:t>
            </w:r>
          </w:p>
        </w:tc>
      </w:tr>
      <w:tr>
        <w:tc>
          <w:tcPr/>
          <w:p>
            <w:pPr>
              <w:pStyle w:val="Compact"/>
              <w:jc w:val="left"/>
            </w:pPr>
            <w:r>
              <w:t xml:space="preserve">    Category 1: Purchased Goods and Services</w:t>
            </w:r>
          </w:p>
        </w:tc>
        <w:tc>
          <w:tcPr/>
          <w:p>
            <w:pPr>
              <w:pStyle w:val="Compact"/>
              <w:jc w:val="left"/>
            </w:pPr>
            <w:r>
              <w:t xml:space="preserve">35.0</w:t>
            </w:r>
          </w:p>
        </w:tc>
      </w:tr>
      <w:tr>
        <w:tc>
          <w:tcPr/>
          <w:p>
            <w:pPr>
              <w:pStyle w:val="Compact"/>
              <w:jc w:val="left"/>
            </w:pPr>
            <w:r>
              <w:t xml:space="preserve">    Category 4: Upstream Transportation</w:t>
            </w:r>
          </w:p>
        </w:tc>
        <w:tc>
          <w:tcPr/>
          <w:p>
            <w:pPr>
              <w:pStyle w:val="Compact"/>
              <w:jc w:val="left"/>
            </w:pPr>
            <w:r>
              <w:t xml:space="preserve">0.9</w:t>
            </w:r>
          </w:p>
        </w:tc>
      </w:tr>
      <w:tr>
        <w:tc>
          <w:tcPr/>
          <w:p>
            <w:pPr>
              <w:pStyle w:val="Compact"/>
              <w:jc w:val="left"/>
            </w:pPr>
            <w:r>
              <w:t xml:space="preserve">    Category 9: Downstream Transportation</w:t>
            </w:r>
          </w:p>
        </w:tc>
        <w:tc>
          <w:tcPr/>
          <w:p>
            <w:pPr>
              <w:pStyle w:val="Compact"/>
              <w:jc w:val="left"/>
            </w:pPr>
            <w:r>
              <w:t xml:space="preserve">0.45</w:t>
            </w:r>
          </w:p>
        </w:tc>
      </w:tr>
      <w:tr>
        <w:tc>
          <w:tcPr/>
          <w:p>
            <w:pPr>
              <w:pStyle w:val="Compact"/>
              <w:jc w:val="left"/>
            </w:pPr>
            <w:r>
              <w:t xml:space="preserve">    Category 11: Use of Sold Products</w:t>
            </w:r>
          </w:p>
        </w:tc>
        <w:tc>
          <w:tcPr/>
          <w:p>
            <w:pPr>
              <w:pStyle w:val="Compact"/>
              <w:jc w:val="left"/>
            </w:pPr>
            <w:r>
              <w:t xml:space="preserve">15.0</w:t>
            </w:r>
          </w:p>
        </w:tc>
      </w:tr>
      <w:tr>
        <w:tc>
          <w:tcPr/>
          <w:p>
            <w:pPr>
              <w:pStyle w:val="Compact"/>
              <w:jc w:val="left"/>
            </w:pPr>
            <w:r>
              <w:t xml:space="preserve">    Category 12: End-of-Life Treatment of Sold Products</w:t>
            </w:r>
          </w:p>
        </w:tc>
        <w:tc>
          <w:tcPr/>
          <w:p>
            <w:pPr>
              <w:pStyle w:val="Compact"/>
              <w:jc w:val="left"/>
            </w:pPr>
            <w:r>
              <w:t xml:space="preserve">-2.0</w:t>
            </w:r>
          </w:p>
        </w:tc>
      </w:tr>
      <w:tr>
        <w:tc>
          <w:tcPr/>
          <w:p>
            <w:pPr>
              <w:pStyle w:val="Compact"/>
              <w:jc w:val="left"/>
            </w:pPr>
            <w:r>
              <w:t xml:space="preserve">TOTAL PCF (Illustrative Cradle-to-Grave)</w:t>
            </w:r>
          </w:p>
        </w:tc>
        <w:tc>
          <w:tcPr/>
          <w:p>
            <w:pPr>
              <w:pStyle w:val="Compact"/>
              <w:jc w:val="left"/>
            </w:pPr>
            <w:r>
              <w:t xml:space="preserve">72.95 kgCO2e/unit</w:t>
            </w:r>
          </w:p>
        </w:tc>
      </w:tr>
    </w:tbl>
    <w:p>
      <w:pPr>
        <w:pStyle w:val="BodyText"/>
      </w:pPr>
      <w:r>
        <w:rPr>
          <w:iCs/>
          <w:i/>
        </w:rPr>
        <w:t xml:space="preserve">Note: This total is illustrative and based on the sample calculations and assumptions described in this report. For a definitive PCF, primary and specific secondary data for all parameters would be required. The \'factory_gate\' boundary would typically exclude Categories 9, 11, and 12 from the primary PCF calculation, but they are included here to show the full lifecycle impact as per the detailed analysis requirement.</w:t>
      </w:r>
    </w:p>
    <w:bookmarkEnd w:id="33"/>
    <w:bookmarkEnd w:id="34"/>
    <w:bookmarkStart w:id="37" w:name="step-5-review-report"/>
    <w:p>
      <w:pPr>
        <w:pStyle w:val="Heading3"/>
      </w:pPr>
      <w:r>
        <w:t xml:space="preserve">2.5. Step 5: Review &amp; Report</w:t>
      </w:r>
    </w:p>
    <w:p>
      <w:pPr>
        <w:pStyle w:val="FirstParagraph"/>
      </w:pPr>
      <w:r>
        <w:t xml:space="preserve">The final step involves reviewing the calculations for accuracy and completeness, identifying emission hotspots, and reporting the findings. This ensures transparency and reliability of the PCF results.</w:t>
      </w:r>
    </w:p>
    <w:bookmarkStart w:id="35" w:name="hotspot-analysis"/>
    <w:p>
      <w:pPr>
        <w:pStyle w:val="Heading4"/>
      </w:pPr>
      <w:r>
        <w:t xml:space="preserve">2.5.1. Hotspot Analysis</w:t>
      </w:r>
    </w:p>
    <w:p>
      <w:pPr>
        <w:pStyle w:val="FirstParagraph"/>
      </w:pPr>
      <w:r>
        <w:t xml:space="preserve">Based on the illustrative calculations, key emission hotspots for ywxhhljxgk would likely be:</w:t>
      </w:r>
    </w:p>
    <w:p>
      <w:pPr>
        <w:numPr>
          <w:ilvl w:val="0"/>
          <w:numId w:val="1022"/>
        </w:numPr>
        <w:pStyle w:val="Compact"/>
      </w:pPr>
      <w:r>
        <w:rPr>
          <w:bCs/>
          <w:b/>
        </w:rPr>
        <w:t xml:space="preserve">Materials Acquisition:</w:t>
      </w:r>
      <w:r>
        <w:t xml:space="preserve"> </w:t>
      </w:r>
      <w:r>
        <w:t xml:space="preserve">Purchased goods and services (Scope 3, Category 1) contribute significantly, highlighting the importance of sustainable sourcing and material efficiency.</w:t>
      </w:r>
    </w:p>
    <w:p>
      <w:pPr>
        <w:numPr>
          <w:ilvl w:val="0"/>
          <w:numId w:val="1022"/>
        </w:numPr>
        <w:pStyle w:val="Compact"/>
      </w:pPr>
      <w:r>
        <w:rPr>
          <w:bCs/>
          <w:b/>
        </w:rPr>
        <w:t xml:space="preserve">Use Phase:</w:t>
      </w:r>
      <w:r>
        <w:t xml:space="preserve"> </w:t>
      </w:r>
      <w:r>
        <w:t xml:space="preserve">Energy consumption during the product\'s lifespan (Scope 3, Category 11) is a major contributor, emphasizing the need for energy-efficient product design.</w:t>
      </w:r>
    </w:p>
    <w:p>
      <w:pPr>
        <w:numPr>
          <w:ilvl w:val="0"/>
          <w:numId w:val="1022"/>
        </w:numPr>
        <w:pStyle w:val="Compact"/>
      </w:pPr>
      <w:r>
        <w:rPr>
          <w:bCs/>
          <w:b/>
        </w:rPr>
        <w:t xml:space="preserve">Manufacturing Energy:</w:t>
      </w:r>
      <w:r>
        <w:t xml:space="preserve"> </w:t>
      </w:r>
      <w:r>
        <w:t xml:space="preserve">Purchased electricity (Scope 2) in the production phase in China can be a hotspot depending on the local grid\'s carbon intensity and the company\'s renewable energy usage.</w:t>
      </w:r>
    </w:p>
    <w:bookmarkEnd w:id="35"/>
    <w:bookmarkStart w:id="36" w:name="reliability-and-data-quality"/>
    <w:p>
      <w:pPr>
        <w:pStyle w:val="Heading4"/>
      </w:pPr>
      <w:r>
        <w:t xml:space="preserve">2.5.2. Reliability and Data Quality</w:t>
      </w:r>
    </w:p>
    <w:p>
      <w:pPr>
        <w:pStyle w:val="FirstParagraph"/>
      </w:pPr>
      <w:r>
        <w:t xml:space="preserve">The reliability of this PCF is contingent on the quality and specificity of the input data. For a final, auditable report, primary data from suppliers and direct operations is paramount. Where primary data is unavailable, high-quality secondary data from reputable databases (Ecoinvent, DEFRA) with appropriate geographic and technological specificity is used. The 2026 GHG Protocol Scope 3 revisions also emphasize data disaggregation by data type and disclosure of verification status to enhance transparency and comparability.</w:t>
      </w:r>
    </w:p>
    <w:p>
      <w:r>
        <w:pict>
          <v:rect style="width:0;height:1.5pt" o:hralign="center" o:hrstd="t" o:hr="t"/>
        </w:pict>
      </w:r>
    </w:p>
    <w:bookmarkEnd w:id="36"/>
    <w:bookmarkEnd w:id="37"/>
    <w:bookmarkEnd w:id="38"/>
    <w:bookmarkStart w:id="41" w:name="conclusion-and-recommendations"/>
    <w:p>
      <w:pPr>
        <w:pStyle w:val="Heading2"/>
      </w:pPr>
      <w:r>
        <w:t xml:space="preserve">3. Conclusion and Recommendations</w:t>
      </w:r>
    </w:p>
    <w:p>
      <w:pPr>
        <w:pStyle w:val="FirstParagraph"/>
      </w:pPr>
      <w:r>
        <w:t xml:space="preserve">The Product Carbon Footprint analysis for ywxhhljxgk, performed by Senior Sustainability Consultant</w:t>
      </w:r>
      <w:r>
        <w:t xml:space="preserve"> </w:t>
      </w:r>
      <w:r>
        <w:rPr>
          <w:bCs/>
          <w:b/>
        </w:rPr>
        <w:t xml:space="preserve">fhssjdwyzt</w:t>
      </w:r>
      <w:r>
        <w:t xml:space="preserve"> </w:t>
      </w:r>
      <w:r>
        <w:t xml:space="preserve">for</w:t>
      </w:r>
      <w:r>
        <w:t xml:space="preserve"> </w:t>
      </w:r>
      <w:r>
        <w:rPr>
          <w:bCs/>
          <w:b/>
        </w:rPr>
        <w:t xml:space="preserve">inpryyidwy</w:t>
      </w:r>
      <w:r>
        <w:t xml:space="preserve">, provides a foundational understanding of the product\'s environmental impact. While the calculations within this report are illustrative, they demonstrate a rigorous application of the GHG Protocol and incorporate the latest 2026 updates, particularly regarding Scope 3 and LSR Standard requirements.</w:t>
      </w:r>
    </w:p>
    <w:bookmarkStart w:id="39" w:name="key-insights"/>
    <w:p>
      <w:pPr>
        <w:pStyle w:val="Heading3"/>
      </w:pPr>
      <w:r>
        <w:t xml:space="preserve">Key Insights:</w:t>
      </w:r>
    </w:p>
    <w:p>
      <w:pPr>
        <w:numPr>
          <w:ilvl w:val="0"/>
          <w:numId w:val="1023"/>
        </w:numPr>
        <w:pStyle w:val="Compact"/>
      </w:pPr>
      <w:r>
        <w:t xml:space="preserve">Upstream material sourcing and the product\'s energy consumption during its use phase are significant contributors to its overall carbon footprint.</w:t>
      </w:r>
    </w:p>
    <w:p>
      <w:pPr>
        <w:numPr>
          <w:ilvl w:val="0"/>
          <w:numId w:val="1023"/>
        </w:numPr>
        <w:pStyle w:val="Compact"/>
      </w:pPr>
      <w:r>
        <w:t xml:space="preserve">The application of the Land Sector and Removals Standard ensures a more comprehensive accounting of land-related emissions and removals, which can be critical for products with biogenic components or those involved in land-intensive supply chains.</w:t>
      </w:r>
    </w:p>
    <w:p>
      <w:pPr>
        <w:numPr>
          <w:ilvl w:val="0"/>
          <w:numId w:val="1023"/>
        </w:numPr>
        <w:pStyle w:val="Compact"/>
      </w:pPr>
      <w:r>
        <w:t xml:space="preserve">Adherence to the 95% Scope 3 coverage rule and data disaggregation ensures a transparent and robust reporting framework, crucial for aligning with future regulatory expectations.</w:t>
      </w:r>
    </w:p>
    <w:bookmarkEnd w:id="39"/>
    <w:bookmarkStart w:id="40" w:name="recommendations-for-carbon-reduction"/>
    <w:p>
      <w:pPr>
        <w:pStyle w:val="Heading3"/>
      </w:pPr>
      <w:r>
        <w:t xml:space="preserve">Recommendations for Carbon Reduction:</w:t>
      </w:r>
    </w:p>
    <w:p>
      <w:pPr>
        <w:numPr>
          <w:ilvl w:val="0"/>
          <w:numId w:val="1024"/>
        </w:numPr>
        <w:pStyle w:val="Compact"/>
      </w:pPr>
      <w:r>
        <w:rPr>
          <w:bCs/>
          <w:b/>
        </w:rPr>
        <w:t xml:space="preserve">Sustainable Sourcing:</w:t>
      </w:r>
      <w:r>
        <w:t xml:space="preserve"> </w:t>
      </w:r>
      <w:r>
        <w:t xml:space="preserve">Engage with suppliers to transition to lower-carbon materials and optimize material usage.</w:t>
      </w:r>
    </w:p>
    <w:p>
      <w:pPr>
        <w:numPr>
          <w:ilvl w:val="0"/>
          <w:numId w:val="1024"/>
        </w:numPr>
        <w:pStyle w:val="Compact"/>
      </w:pPr>
      <w:r>
        <w:rPr>
          <w:bCs/>
          <w:b/>
        </w:rPr>
        <w:t xml:space="preserve">Energy Efficiency in Manufacturing:</w:t>
      </w:r>
      <w:r>
        <w:t xml:space="preserve"> </w:t>
      </w:r>
      <w:r>
        <w:t xml:space="preserve">Invest further in renewable energy at manufacturing facilities (beyond the current</w:t>
      </w:r>
      <w:r>
        <w:t xml:space="preserve"> </w:t>
      </w:r>
      <w:r>
        <w:rPr>
          <w:bCs/>
          <w:b/>
        </w:rPr>
        <w:t xml:space="preserve">ttoxknrdsj</w:t>
      </w:r>
      <w:r>
        <w:t xml:space="preserve"> </w:t>
      </w:r>
      <w:r>
        <w:t xml:space="preserve">percentage) and optimize production processes to reduce energy intensity.</w:t>
      </w:r>
    </w:p>
    <w:p>
      <w:pPr>
        <w:numPr>
          <w:ilvl w:val="0"/>
          <w:numId w:val="1024"/>
        </w:numPr>
        <w:pStyle w:val="Compact"/>
      </w:pPr>
      <w:r>
        <w:rPr>
          <w:bCs/>
          <w:b/>
        </w:rPr>
        <w:t xml:space="preserve">Product Design for Efficiency:</w:t>
      </w:r>
      <w:r>
        <w:t xml:space="preserve"> </w:t>
      </w:r>
      <w:r>
        <w:t xml:space="preserve">Innovate product design to minimize energy consumption during the</w:t>
      </w:r>
      <w:r>
        <w:t xml:space="preserve"> </w:t>
      </w:r>
      <w:r>
        <w:rPr>
          <w:bCs/>
          <w:b/>
        </w:rPr>
        <w:t xml:space="preserve">wrnkvoegog</w:t>
      </w:r>
      <w:r>
        <w:t xml:space="preserve"> </w:t>
      </w:r>
      <w:r>
        <w:t xml:space="preserve">(lifespan) and reduce the overall material footprint.</w:t>
      </w:r>
    </w:p>
    <w:p>
      <w:pPr>
        <w:numPr>
          <w:ilvl w:val="0"/>
          <w:numId w:val="1024"/>
        </w:numPr>
        <w:pStyle w:val="Compact"/>
      </w:pPr>
      <w:r>
        <w:rPr>
          <w:bCs/>
          <w:b/>
        </w:rPr>
        <w:t xml:space="preserve">Optimize Logistics:</w:t>
      </w:r>
      <w:r>
        <w:t xml:space="preserve"> </w:t>
      </w:r>
      <w:r>
        <w:t xml:space="preserve">Explore more carbon-efficient transport modes and routes, potentially leveraging local sourcing where feasible to reduce</w:t>
      </w:r>
      <w:r>
        <w:t xml:space="preserve"> </w:t>
      </w:r>
      <w:r>
        <w:rPr>
          <w:bCs/>
          <w:b/>
        </w:rPr>
        <w:t xml:space="preserve">pyosoghdyh</w:t>
      </w:r>
      <w:r>
        <w:t xml:space="preserve"> </w:t>
      </w:r>
      <w:r>
        <w:t xml:space="preserve">(transport distance).</w:t>
      </w:r>
    </w:p>
    <w:p>
      <w:pPr>
        <w:numPr>
          <w:ilvl w:val="0"/>
          <w:numId w:val="1024"/>
        </w:numPr>
        <w:pStyle w:val="Compact"/>
      </w:pPr>
      <w:r>
        <w:rPr>
          <w:bCs/>
          <w:b/>
        </w:rPr>
        <w:t xml:space="preserve">Enhance Circularity:</w:t>
      </w:r>
      <w:r>
        <w:t xml:space="preserve"> </w:t>
      </w:r>
      <w:r>
        <w:t xml:space="preserve">Further develop and promote</w:t>
      </w:r>
      <w:r>
        <w:t xml:space="preserve"> </w:t>
      </w:r>
      <w:r>
        <w:rPr>
          <w:bCs/>
          <w:b/>
        </w:rPr>
        <w:t xml:space="preserve">uzjkekykvh</w:t>
      </w:r>
      <w:r>
        <w:t xml:space="preserve"> </w:t>
      </w:r>
      <w:r>
        <w:t xml:space="preserve">(circular/take-back programs) and design for higher</w:t>
      </w:r>
      <w:r>
        <w:t xml:space="preserve"> </w:t>
      </w:r>
      <w:r>
        <w:rPr>
          <w:bCs/>
          <w:b/>
        </w:rPr>
        <w:t xml:space="preserve">ngkivfkjhz</w:t>
      </w:r>
      <w:r>
        <w:t xml:space="preserve"> </w:t>
      </w:r>
      <w:r>
        <w:t xml:space="preserve">(recyclability percentage) to maximize end-of-life benefits and minimize waste.</w:t>
      </w:r>
    </w:p>
    <w:p>
      <w:r>
        <w:pict>
          <v:rect style="width:0;height:1.5pt" o:hralign="center" o:hrstd="t" o:hr="t"/>
        </w:pict>
      </w:r>
    </w:p>
    <w:p>
      <w:pPr>
        <w:pStyle w:val="FirstParagraph"/>
      </w:pPr>
      <w:r>
        <w:t xml:space="preserve">Confidential - Internal Use Only | Page</w:t>
      </w:r>
      <w:r>
        <w:t xml:space="preserve"> </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ywxhhljxgk</dc:title>
  <dc:creator/>
  <dc:description>High-detail Product Carbon Footprint (PCF) analysis for product ywxhhljxgk by Senior Sustainability Consultant fhssjdwyzt, adhering to GHG Protocol standards and 2026 updates.</dc:description>
  <dc:language>en</dc:language>
  <cp:keywords/>
  <dcterms:created xsi:type="dcterms:W3CDTF">2026-05-30T10:36:47Z</dcterms:created>
  <dcterms:modified xsi:type="dcterms:W3CDTF">2026-05-30T10:36:47Z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