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ywmkvpdurq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ywmkvpdurq</w:t>
      </w:r>
    </w:p>
    <w:p>
      <w:pPr>
        <w:pStyle w:val="BodyText"/>
      </w:pPr>
      <w:r>
        <w:rPr>
          <w:bCs/>
          <w:b/>
        </w:rPr>
        <w:t xml:space="preserve">Company:</w:t>
      </w:r>
      <w:r>
        <w:t xml:space="preserve"> </w:t>
      </w:r>
      <w:r>
        <w:t xml:space="preserve">kjppjlplkg</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gsyumshwvm</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assumptions.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ywmkvpdurq</w:t>
      </w:r>
    </w:p>
    <w:p>
      <w:pPr>
        <w:pStyle w:val="BodyText"/>
      </w:pPr>
      <w:r>
        <w:rPr>
          <w:bCs/>
          <w:b/>
        </w:rPr>
        <w:t xml:space="preserve">Company:</w:t>
      </w:r>
      <w:r>
        <w:t xml:space="preserve"> </w:t>
      </w:r>
      <w:r>
        <w:t xml:space="preserve">kjppjlplkg</w:t>
      </w:r>
    </w:p>
    <w:p>
      <w:pPr>
        <w:pStyle w:val="BodyText"/>
      </w:pPr>
      <w:r>
        <w:rPr>
          <w:bCs/>
          <w:b/>
        </w:rPr>
        <w:t xml:space="preserve">Generated Date:</w:t>
      </w:r>
      <w:r>
        <w:t xml:space="preserve"> </w:t>
      </w:r>
      <w:r>
        <w:t xml:space="preserve">June 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ywmkvpdurq, manufactured by kjppjlplkg. Conducted by gsyumshwvm, a Senior Sustainability Consultant specializing in GHG Protocol, this analysis adheres to the GHG Protocol accounting standard, incorporating the 2026 Land Sector and Removals (LSR) Standard update and aiming for at least 95% Scope 3 coverage. The PCF quantifies the greenhouse gas emissions associated with the product across its entire lifecycle, from material acquisition to end-of-life, providing critical insights for sustainability improvements and strategic decision-making.</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This Product Carbon Footprint (PCF) report details the greenhouse gas (GHG) emissions associated with the product ywmkvpdurq, produced by kjppjlplkg. The analysis has been performed by Senior Sustainability Consultant gsyumshwvm, in strict accordance with the GHG Protocol Accounting Standard. The objective is to provide a comprehensive understanding of the environmental impact of the product throughout its lifecycle, identifying emission hotspots and opportunities for reduction.</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PCF analysis followed a systematic, five-step methodology aligned with the GHG Protocol:</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ywmkvpdurq.</w:t>
      </w:r>
    </w:p>
    <w:p>
      <w:pPr>
        <w:numPr>
          <w:ilvl w:val="0"/>
          <w:numId w:val="1001"/>
        </w:numPr>
        <w:pStyle w:val="Compact"/>
      </w:pPr>
      <w:r>
        <w:rPr>
          <w:bCs/>
          <w:b/>
        </w:rPr>
        <w:t xml:space="preserve">System Boundary:</w:t>
      </w:r>
      <w:r>
        <w:t xml:space="preserve"> </w:t>
      </w:r>
      <w:r>
        <w:t xml:space="preserve">While the primary calculation point for production focuses on the "factory_gate", the overall analysis extends to a "cradle-to-grave with circularity considerations" approach to encompass all requested lifecycle stages: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methods (e.g., mass or economic) would be applied if relevant multi-output processes were identified, but for this specific product unit, direct allocation is primarily used.</w:t>
      </w:r>
    </w:p>
    <w:bookmarkEnd w:id="24"/>
    <w:bookmarkStart w:id="25" w:name="map-lifecycle-lci-inventory-stages"/>
    <w:p>
      <w:pPr>
        <w:pStyle w:val="Heading3"/>
      </w:pPr>
      <w:r>
        <w:t xml:space="preserve">2.2. Map Lifecycle (LCI Inventory Stages)</w:t>
      </w:r>
    </w:p>
    <w:p>
      <w:pPr>
        <w:pStyle w:val="FirstParagraph"/>
      </w:pPr>
      <w:r>
        <w:t xml:space="preserve">The lifecycle of ywmkvpdurq was mapped into the following stages:</w:t>
      </w:r>
    </w:p>
    <w:p>
      <w:pPr>
        <w:numPr>
          <w:ilvl w:val="0"/>
          <w:numId w:val="1002"/>
        </w:numPr>
        <w:pStyle w:val="Compact"/>
      </w:pPr>
      <w:r>
        <w:rPr>
          <w:bCs/>
          <w:b/>
        </w:rPr>
        <w:t xml:space="preserve">Raw Material Acquisition &amp; Processing:</w:t>
      </w:r>
      <w:r>
        <w:t xml:space="preserve"> </w:t>
      </w:r>
      <w:r>
        <w:t xml:space="preserve">Extraction, processing, and refining of all raw materials constituting the Detailed Bill of Materials (BOM).</w:t>
      </w:r>
    </w:p>
    <w:p>
      <w:pPr>
        <w:numPr>
          <w:ilvl w:val="0"/>
          <w:numId w:val="1002"/>
        </w:numPr>
        <w:pStyle w:val="Compact"/>
      </w:pPr>
      <w:r>
        <w:rPr>
          <w:bCs/>
          <w:b/>
        </w:rPr>
        <w:t xml:space="preserve">Manufacturing:</w:t>
      </w:r>
      <w:r>
        <w:t xml:space="preserve"> </w:t>
      </w:r>
      <w:r>
        <w:t xml:space="preserve">Production processes at the kjppjlplkg facility in China, including energy consumption for assembly and fabrication.</w:t>
      </w:r>
    </w:p>
    <w:p>
      <w:pPr>
        <w:numPr>
          <w:ilvl w:val="0"/>
          <w:numId w:val="1002"/>
        </w:numPr>
        <w:pStyle w:val="Compact"/>
      </w:pPr>
      <w:r>
        <w:rPr>
          <w:bCs/>
          <w:b/>
        </w:rPr>
        <w:t xml:space="preserve">Transport (Inbound &amp; Outbound):</w:t>
      </w:r>
      <w:r>
        <w:t xml:space="preserve"> </w:t>
      </w:r>
      <w:r>
        <w:t xml:space="preserve">Transportation of raw materials from suppliers (Europe Focused) to the manufacturing facility (China), and outbound transportation of the finished product to the customer, including last-mile delivery.</w:t>
      </w:r>
    </w:p>
    <w:p>
      <w:pPr>
        <w:numPr>
          <w:ilvl w:val="0"/>
          <w:numId w:val="1002"/>
        </w:numPr>
        <w:pStyle w:val="Compact"/>
      </w:pPr>
      <w:r>
        <w:rPr>
          <w:bCs/>
          <w:b/>
        </w:rPr>
        <w:t xml:space="preserve">Use Phase:</w:t>
      </w:r>
      <w:r>
        <w:t xml:space="preserve"> </w:t>
      </w:r>
      <w:r>
        <w:t xml:space="preserve">Energy consumption and associated emissions during the product\'s operational lifespan.</w:t>
      </w:r>
    </w:p>
    <w:p>
      <w:pPr>
        <w:numPr>
          <w:ilvl w:val="0"/>
          <w:numId w:val="1002"/>
        </w:numPr>
        <w:pStyle w:val="Compact"/>
      </w:pPr>
      <w:r>
        <w:rPr>
          <w:bCs/>
          <w:b/>
        </w:rPr>
        <w:t xml:space="preserve">End-of-Life (EoL):</w:t>
      </w:r>
      <w:r>
        <w:t xml:space="preserve"> </w:t>
      </w:r>
      <w:r>
        <w:t xml:space="preserve">Emissions and potential avoided emissions (credits) associated with the disposal, recycling, or recovery of the product at the end of its useful life.</w:t>
      </w:r>
    </w:p>
    <w:bookmarkEnd w:id="25"/>
    <w:bookmarkStart w:id="26" w:name="collect-data"/>
    <w:p>
      <w:pPr>
        <w:pStyle w:val="Heading3"/>
      </w:pPr>
      <w:r>
        <w:t xml:space="preserve">2.3. Collect Data</w:t>
      </w:r>
    </w:p>
    <w:p>
      <w:pPr>
        <w:pStyle w:val="FirstParagraph"/>
      </w:pPr>
      <w:r>
        <w:t xml:space="preserve">Both primary and secondary data points were collected and utilized for this analysis:</w:t>
      </w:r>
    </w:p>
    <w:p>
      <w:pPr>
        <w:numPr>
          <w:ilvl w:val="0"/>
          <w:numId w:val="1003"/>
        </w:numPr>
        <w:pStyle w:val="Compact"/>
      </w:pPr>
      <w:r>
        <w:rPr>
          <w:bCs/>
          <w:b/>
        </w:rPr>
        <w:t xml:space="preserve">Detailed Bill of Materials (BOM):</w:t>
      </w:r>
      <w:r>
        <w:t xml:space="preserve"> </w:t>
      </w:r>
      <w:r>
        <w:t xml:space="preserve">The provided BOM (hppssznj) was used for high-accuracy material impact calculation. An illustrative representation of this data is shown below, demonstrating the specified format (ID, Description, Category, Process, Qty, Unit, Emission Factor, Total Carbon). Actual numerical values for \'hppssznj\' were not provided as parseable data but as a string placeholder; therefore, representative values are used for calculation purposes to demonstrate the methodology.</w:t>
      </w:r>
    </w:p>
    <w:p>
      <w:pPr>
        <w:numPr>
          <w:ilvl w:val="0"/>
          <w:numId w:val="1003"/>
        </w:numPr>
        <w:pStyle w:val="Compact"/>
      </w:pPr>
      <w:r>
        <w:rPr>
          <w:bCs/>
          <w:b/>
        </w:rPr>
        <w:t xml:space="preserve">Transport Data:</w:t>
      </w:r>
    </w:p>
    <w:p>
      <w:pPr>
        <w:numPr>
          <w:ilvl w:val="1"/>
          <w:numId w:val="1004"/>
        </w:numPr>
        <w:pStyle w:val="Compact"/>
      </w:pPr>
      <w:r>
        <w:t xml:space="preserve">Transport Mode (Inbound/Outbound Main): Select Mode (Assumed as Road Freight, Heavy Goods Vehicle &gt;16t).</w:t>
      </w:r>
    </w:p>
    <w:p>
      <w:pPr>
        <w:numPr>
          <w:ilvl w:val="1"/>
          <w:numId w:val="1004"/>
        </w:numPr>
        <w:pStyle w:val="Compact"/>
      </w:pPr>
      <w:r>
        <w:t xml:space="preserve">Transport Distance (Inbound): qjlumhjvyd (Assumed 2000 km, for primary components from Europe to China).</w:t>
      </w:r>
    </w:p>
    <w:p>
      <w:pPr>
        <w:numPr>
          <w:ilvl w:val="1"/>
          <w:numId w:val="1004"/>
        </w:numPr>
        <w:pStyle w:val="Compact"/>
      </w:pPr>
      <w:r>
        <w:t xml:space="preserve">Last-Mile Delivery Channel: Delivery Type (Assumed as Parcel Delivery Van).</w:t>
      </w:r>
    </w:p>
    <w:p>
      <w:pPr>
        <w:numPr>
          <w:ilvl w:val="1"/>
          <w:numId w:val="1004"/>
        </w:numPr>
        <w:pStyle w:val="Compact"/>
      </w:pPr>
      <w:r>
        <w:t xml:space="preserve">Last-Mile Distance: Assumed 50 km.</w:t>
      </w:r>
    </w:p>
    <w:p>
      <w:pPr>
        <w:numPr>
          <w:ilvl w:val="0"/>
          <w:numId w:val="1003"/>
        </w:numPr>
        <w:pStyle w:val="Compact"/>
      </w:pPr>
      <w:r>
        <w:rPr>
          <w:bCs/>
          <w:b/>
        </w:rPr>
        <w:t xml:space="preserve">Production Energy Data:</w:t>
      </w:r>
    </w:p>
    <w:p>
      <w:pPr>
        <w:numPr>
          <w:ilvl w:val="1"/>
          <w:numId w:val="1005"/>
        </w:numPr>
        <w:pStyle w:val="Compact"/>
      </w:pPr>
      <w:r>
        <w:t xml:space="preserve">Renewable Energy Usage: tsznzdzmgv (Assumed 70%).</w:t>
      </w:r>
    </w:p>
    <w:p>
      <w:pPr>
        <w:numPr>
          <w:ilvl w:val="1"/>
          <w:numId w:val="1005"/>
        </w:numPr>
        <w:pStyle w:val="Compact"/>
      </w:pPr>
      <w:r>
        <w:t xml:space="preserve">Energy Intensity (kWh/unit): idifniwtjt (Assumed 10 kWh/unit).</w:t>
      </w:r>
    </w:p>
    <w:p>
      <w:pPr>
        <w:numPr>
          <w:ilvl w:val="0"/>
          <w:numId w:val="1003"/>
        </w:numPr>
        <w:pStyle w:val="Compact"/>
      </w:pPr>
      <w:r>
        <w:rPr>
          <w:bCs/>
          <w:b/>
        </w:rPr>
        <w:t xml:space="preserve">Use Phase Data:</w:t>
      </w:r>
    </w:p>
    <w:p>
      <w:pPr>
        <w:numPr>
          <w:ilvl w:val="1"/>
          <w:numId w:val="1006"/>
        </w:numPr>
        <w:pStyle w:val="Compact"/>
      </w:pPr>
      <w:r>
        <w:t xml:space="preserve">Product Lifespan: oneootdzzg (Assumed 5 years).</w:t>
      </w:r>
    </w:p>
    <w:p>
      <w:pPr>
        <w:numPr>
          <w:ilvl w:val="1"/>
          <w:numId w:val="1006"/>
        </w:numPr>
        <w:pStyle w:val="Compact"/>
      </w:pPr>
      <w:r>
        <w:t xml:space="preserve">Energy Consumption in Use: gveutlwnkq (Assumed 50 kWh/year).</w:t>
      </w:r>
    </w:p>
    <w:p>
      <w:pPr>
        <w:numPr>
          <w:ilvl w:val="0"/>
          <w:numId w:val="1003"/>
        </w:numPr>
        <w:pStyle w:val="Compact"/>
      </w:pPr>
      <w:r>
        <w:rPr>
          <w:bCs/>
          <w:b/>
        </w:rPr>
        <w:t xml:space="preserve">End-of-Life (EoL) Data:</w:t>
      </w:r>
    </w:p>
    <w:p>
      <w:pPr>
        <w:numPr>
          <w:ilvl w:val="1"/>
          <w:numId w:val="1007"/>
        </w:numPr>
        <w:pStyle w:val="Compact"/>
      </w:pPr>
      <w:r>
        <w:t xml:space="preserve">Recyclability Percentage: uztnlqltzq (Assumed 80%).</w:t>
      </w:r>
    </w:p>
    <w:p>
      <w:pPr>
        <w:numPr>
          <w:ilvl w:val="1"/>
          <w:numId w:val="1007"/>
        </w:numPr>
        <w:pStyle w:val="Compact"/>
      </w:pPr>
      <w:r>
        <w:t xml:space="preserve">Circular/Take-back Programs: lrxkiloqfw (Assumed "Active Collection Program").</w:t>
      </w:r>
    </w:p>
    <w:p>
      <w:pPr>
        <w:numPr>
          <w:ilvl w:val="0"/>
          <w:numId w:val="1003"/>
        </w:numPr>
        <w:pStyle w:val="Compact"/>
      </w:pPr>
      <w:r>
        <w:rPr>
          <w:bCs/>
          <w:b/>
        </w:rPr>
        <w:t xml:space="preserve">Emission Factors:</w:t>
      </w:r>
      <w:r>
        <w:t xml:space="preserve"> </w:t>
      </w:r>
      <w:r>
        <w:t xml:space="preserve">Industry-standard emission factors were used, primarily referencing Ecoinvent and DEFRA databases where specific factors were not provided in the BOM. For electricity, country-specific grid emission factors were applied.</w:t>
      </w:r>
    </w:p>
    <w:bookmarkEnd w:id="26"/>
    <w:bookmarkStart w:id="27" w:name="Xbdd6477d9b1ce7329f496c5c5cd7857076aa4f5"/>
    <w:p>
      <w:pPr>
        <w:pStyle w:val="Heading3"/>
      </w:pPr>
      <w:r>
        <w:t xml:space="preserve">2.3.1. Detailed Bill of Materials (hppssznj) - Illustrative Data</w:t>
      </w:r>
    </w:p>
    <w:p>
      <w:pPr>
        <w:pStyle w:val="FirstParagraph"/>
      </w:pPr>
      <w:r>
        <w:t xml:space="preserve">Below is an illustrative table representing the structure and type of data contained within the provided \'hppssznj\' BOM. For calculation purposes, specific numerical values are assumed, as the placeholder \'hppssznj\' did not contain parseable numerical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P002</w:t>
            </w:r>
          </w:p>
        </w:tc>
        <w:tc>
          <w:tcPr/>
          <w:p>
            <w:pPr>
              <w:pStyle w:val="Compact"/>
              <w:jc w:val="left"/>
            </w:pPr>
            <w:r>
              <w:t xml:space="preserve">ABS Plastic Cover</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bl>
    <w:p>
      <w:pPr>
        <w:pStyle w:val="BodyText"/>
      </w:pPr>
      <w:r>
        <w:rPr>
          <w:bCs/>
          <w:b/>
        </w:rPr>
        <w:t xml:space="preserve">Total Material GHG Impact (illustrative):</w:t>
      </w:r>
      <w:r>
        <w:t xml:space="preserve"> </w:t>
      </w:r>
      <w:r>
        <w:t xml:space="preserve">9.9 kgCO2e/unit</w:t>
      </w:r>
    </w:p>
    <w:bookmarkEnd w:id="27"/>
    <w:bookmarkStart w:id="28" w:name="energy-inputs---illustrative-data"/>
    <w:p>
      <w:pPr>
        <w:pStyle w:val="Heading3"/>
      </w:pPr>
      <w:r>
        <w:t xml:space="preserve">2.3.2. Energy Inputs - Illustrative Data</w:t>
      </w:r>
    </w:p>
    <w:p>
      <w:pPr>
        <w:pStyle w:val="FirstParagraph"/>
      </w:pPr>
      <w:r>
        <w:t xml:space="preserve">Based on the provided parameters, the following energy inputs are considered:</w:t>
      </w:r>
    </w:p>
    <w:p>
      <w:pPr>
        <w:numPr>
          <w:ilvl w:val="0"/>
          <w:numId w:val="1008"/>
        </w:numPr>
        <w:pStyle w:val="Compact"/>
      </w:pPr>
      <w:r>
        <w:rPr>
          <w:bCs/>
          <w:b/>
        </w:rPr>
        <w:t xml:space="preserve">Production Energy Intensity:</w:t>
      </w:r>
      <w:r>
        <w:t xml:space="preserve"> </w:t>
      </w:r>
      <w:r>
        <w:t xml:space="preserve">idifniwtjt (10 kWh/unit)</w:t>
      </w:r>
    </w:p>
    <w:p>
      <w:pPr>
        <w:numPr>
          <w:ilvl w:val="0"/>
          <w:numId w:val="1008"/>
        </w:numPr>
        <w:pStyle w:val="Compact"/>
      </w:pPr>
      <w:r>
        <w:rPr>
          <w:bCs/>
          <w:b/>
        </w:rPr>
        <w:t xml:space="preserve">Renewable Energy Usage:</w:t>
      </w:r>
      <w:r>
        <w:t xml:space="preserve"> </w:t>
      </w:r>
      <w:r>
        <w:t xml:space="preserve">tsznzdzmgv (70%)</w:t>
      </w:r>
    </w:p>
    <w:p>
      <w:pPr>
        <w:numPr>
          <w:ilvl w:val="0"/>
          <w:numId w:val="1008"/>
        </w:numPr>
        <w:pStyle w:val="Compact"/>
      </w:pPr>
      <w:r>
        <w:rPr>
          <w:bCs/>
          <w:b/>
        </w:rPr>
        <w:t xml:space="preserve">Non-Renewable Energy Usage:</w:t>
      </w:r>
      <w:r>
        <w:t xml:space="preserve"> </w:t>
      </w:r>
      <w:r>
        <w:t xml:space="preserve">30%</w:t>
      </w:r>
    </w:p>
    <w:p>
      <w:pPr>
        <w:numPr>
          <w:ilvl w:val="0"/>
          <w:numId w:val="1008"/>
        </w:numPr>
        <w:pStyle w:val="Compact"/>
      </w:pPr>
      <w:r>
        <w:rPr>
          <w:bCs/>
          <w:b/>
        </w:rPr>
        <w:t xml:space="preserve">China Grid Emission Factor (2022):</w:t>
      </w:r>
      <w:r>
        <w:t xml:space="preserve"> </w:t>
      </w:r>
      <w:r>
        <w:t xml:space="preserve">0.53 kgCO2e/kWh</w:t>
      </w:r>
    </w:p>
    <w:p>
      <w:r>
        <w:pict>
          <v:rect style="width:0;height:1.5pt" o:hralign="center" o:hrstd="t" o:hr="t"/>
        </w:pict>
      </w:r>
    </w:p>
    <w:bookmarkEnd w:id="28"/>
    <w:bookmarkEnd w:id="29"/>
    <w:bookmarkStart w:id="37" w:name="Xb404f6bea4a0013006ec7a9103609d9ea6643c1"/>
    <w:p>
      <w:pPr>
        <w:pStyle w:val="Heading2"/>
      </w:pPr>
      <w:r>
        <w:t xml:space="preserve">3. Calculate Emissions (Activity * Emission Factor = CO2e)</w:t>
      </w:r>
    </w:p>
    <w:p>
      <w:pPr>
        <w:pStyle w:val="FirstParagraph"/>
      </w:pPr>
      <w:r>
        <w:t xml:space="preserve">Emissions are categorized according to the GHG Protocol into Scope 1 (direct), Scope 2 (purchased energy), and Scope 3 (value chain). The calculations below use illustrative numerical values based on common industry averages and the parameters provided, as the exact numerical content of string placeholders was not available.</w:t>
      </w:r>
    </w:p>
    <w:bookmarkStart w:id="30" w:name="scope-1-emissions-direct-emissions"/>
    <w:p>
      <w:pPr>
        <w:pStyle w:val="Heading3"/>
      </w:pPr>
      <w:r>
        <w:t xml:space="preserve">3.1. Scope 1 Emissions (Direct Emissions)</w:t>
      </w:r>
    </w:p>
    <w:p>
      <w:pPr>
        <w:pStyle w:val="FirstParagraph"/>
      </w:pPr>
      <w:r>
        <w:t xml:space="preserve">For the product ywmkvpdurq, Scope 1 emissions would typically include direct emissions from owned or controlled sources at the kjppjlplkg manufacturing facility, such as fuel combustion in boilers or company-owned vehicles. For this analysis, assuming primary direct emissions are minimal or integrated into Scope 2 for electricity generation and Scope 3 for value chain, no significant Scope 1 emissions are directly allocated to the product PCF outside of the manufacturing energy calculation which is predominantly Scope 2/3.</w:t>
      </w:r>
    </w:p>
    <w:bookmarkEnd w:id="30"/>
    <w:bookmarkStart w:id="31" w:name="scope-2-emissions-purchased-energy"/>
    <w:p>
      <w:pPr>
        <w:pStyle w:val="Heading3"/>
      </w:pPr>
      <w:r>
        <w:t xml:space="preserve">3.2. Scope 2 Emissions (Purchased Energy)</w:t>
      </w:r>
    </w:p>
    <w:p>
      <w:pPr>
        <w:pStyle w:val="FirstParagraph"/>
      </w:pPr>
      <w:r>
        <w:t xml:space="preserve">Scope 2 emissions relate to the electricity purchased for the manufacturing process.</w:t>
      </w:r>
    </w:p>
    <w:p>
      <w:pPr>
        <w:numPr>
          <w:ilvl w:val="0"/>
          <w:numId w:val="1009"/>
        </w:numPr>
        <w:pStyle w:val="Compact"/>
      </w:pPr>
      <w:r>
        <w:t xml:space="preserve">Total Energy Consumption: 10 kWh/unit (idifniwtjt)</w:t>
      </w:r>
    </w:p>
    <w:p>
      <w:pPr>
        <w:numPr>
          <w:ilvl w:val="0"/>
          <w:numId w:val="1009"/>
        </w:numPr>
        <w:pStyle w:val="Compact"/>
      </w:pPr>
      <w:r>
        <w:t xml:space="preserve">Renewable Energy Share: 70% (tsznzdzmgv)</w:t>
      </w:r>
    </w:p>
    <w:p>
      <w:pPr>
        <w:numPr>
          <w:ilvl w:val="0"/>
          <w:numId w:val="1009"/>
        </w:numPr>
        <w:pStyle w:val="Compact"/>
      </w:pPr>
      <w:r>
        <w:t xml:space="preserve">Non-Renewable Energy Share: 30%</w:t>
      </w:r>
    </w:p>
    <w:p>
      <w:pPr>
        <w:numPr>
          <w:ilvl w:val="0"/>
          <w:numId w:val="1009"/>
        </w:numPr>
        <w:pStyle w:val="Compact"/>
      </w:pPr>
      <w:r>
        <w:t xml:space="preserve">Emissions from Non-Renewable Energy: 10 kWh/unit * 0.30 * 0.53 kgCO2e/kWh = 1.59 kgCO2e/unit</w:t>
      </w:r>
    </w:p>
    <w:p>
      <w:pPr>
        <w:pStyle w:val="FirstParagraph"/>
      </w:pPr>
      <w:r>
        <w:rPr>
          <w:bCs/>
          <w:b/>
        </w:rPr>
        <w:t xml:space="preserve">Total Scope 2 GHG Impact: 1.59 kgCO2e/unit</w:t>
      </w:r>
    </w:p>
    <w:bookmarkEnd w:id="31"/>
    <w:bookmarkStart w:id="34" w:name="scope-3-emissions-value-chain-emissions"/>
    <w:p>
      <w:pPr>
        <w:pStyle w:val="Heading3"/>
      </w:pPr>
      <w:r>
        <w:t xml:space="preserve">3.3. Scope 3 Emissions (Value Chain Emissions)</w:t>
      </w:r>
    </w:p>
    <w:p>
      <w:pPr>
        <w:pStyle w:val="FirstParagraph"/>
      </w:pPr>
      <w:r>
        <w:t xml:space="preserve">Scope 3 emissions cover all other indirect emissions from the value chain, both upstream and downstream. This analysis aims for at least 95% coverage as per 2026 requirements, incorporating all relevant lifecycle stages.</w:t>
      </w:r>
    </w:p>
    <w:bookmarkStart w:id="32" w:name="upstream-emissions"/>
    <w:p>
      <w:pPr>
        <w:pStyle w:val="Heading4"/>
      </w:pPr>
      <w:r>
        <w:t xml:space="preserve">3.3.1. Upstream Emissions</w:t>
      </w:r>
    </w:p>
    <w:p>
      <w:pPr>
        <w:numPr>
          <w:ilvl w:val="0"/>
          <w:numId w:val="1010"/>
        </w:numPr>
      </w:pPr>
      <w:r>
        <w:rPr>
          <w:bCs/>
          <w:b/>
        </w:rPr>
        <w:t xml:space="preserve">Materials (Category 1 - Purchased Goods and Services):</w:t>
      </w:r>
    </w:p>
    <w:p>
      <w:pPr>
        <w:numPr>
          <w:ilvl w:val="1"/>
          <w:numId w:val="1011"/>
        </w:numPr>
        <w:pStyle w:val="Compact"/>
      </w:pPr>
      <w:r>
        <w:t xml:space="preserve">Based on illustrative BOM data: 9.9 kgCO2e/unit</w:t>
      </w:r>
    </w:p>
    <w:p>
      <w:pPr>
        <w:numPr>
          <w:ilvl w:val="0"/>
          <w:numId w:val="1000"/>
        </w:numPr>
      </w:pPr>
      <w:r>
        <w:rPr>
          <w:bCs/>
          <w:b/>
        </w:rPr>
        <w:t xml:space="preserve">Total Materials GHG Impact: 9.9 kgCO2e/unit</w:t>
      </w:r>
    </w:p>
    <w:p>
      <w:pPr>
        <w:numPr>
          <w:ilvl w:val="0"/>
          <w:numId w:val="1010"/>
        </w:numPr>
      </w:pPr>
      <w:r>
        <w:rPr>
          <w:bCs/>
          <w:b/>
        </w:rPr>
        <w:t xml:space="preserve">Inbound Transport (Category 4 - Transportation and Distribution):</w:t>
      </w:r>
    </w:p>
    <w:p>
      <w:pPr>
        <w:numPr>
          <w:ilvl w:val="1"/>
          <w:numId w:val="1012"/>
        </w:numPr>
        <w:pStyle w:val="Compact"/>
      </w:pPr>
      <w:r>
        <w:t xml:space="preserve">Transport Mode: Select Mode (Assumed Road Freight, HGV &gt;16t).</w:t>
      </w:r>
    </w:p>
    <w:p>
      <w:pPr>
        <w:numPr>
          <w:ilvl w:val="1"/>
          <w:numId w:val="1012"/>
        </w:numPr>
        <w:pStyle w:val="Compact"/>
      </w:pPr>
      <w:r>
        <w:t xml:space="preserve">Transport Distance: qjlumhjvyd (Assumed 2000 km for raw materials from Europe to China).</w:t>
      </w:r>
    </w:p>
    <w:p>
      <w:pPr>
        <w:numPr>
          <w:ilvl w:val="1"/>
          <w:numId w:val="1012"/>
        </w:numPr>
        <w:pStyle w:val="Compact"/>
      </w:pPr>
      <w:r>
        <w:t xml:space="preserve">Product Weight (Illustrative for materials): ~1 kg (sum of mock BOM materials).</w:t>
      </w:r>
    </w:p>
    <w:p>
      <w:pPr>
        <w:numPr>
          <w:ilvl w:val="1"/>
          <w:numId w:val="1012"/>
        </w:numPr>
        <w:pStyle w:val="Compact"/>
      </w:pPr>
      <w:r>
        <w:t xml:space="preserve">Emission Factor (Road Freight HGV &gt;16t, modern lorry/truck): 0.105 kgCO2e/tkm</w:t>
      </w:r>
    </w:p>
    <w:p>
      <w:pPr>
        <w:numPr>
          <w:ilvl w:val="1"/>
          <w:numId w:val="1012"/>
        </w:numPr>
        <w:pStyle w:val="Compact"/>
      </w:pPr>
      <w:r>
        <w:t xml:space="preserve">Calculation: 1 kg * 2000 km * (0.105 kgCO2e/tkm / 1000 kg/t) = 0.21 kgCO2e/unit</w:t>
      </w:r>
    </w:p>
    <w:p>
      <w:pPr>
        <w:numPr>
          <w:ilvl w:val="0"/>
          <w:numId w:val="1000"/>
        </w:numPr>
      </w:pPr>
      <w:r>
        <w:rPr>
          <w:bCs/>
          <w:b/>
        </w:rPr>
        <w:t xml:space="preserve">Total Inbound Transport GHG Impact: 0.21 kgCO2e/unit</w:t>
      </w:r>
    </w:p>
    <w:bookmarkEnd w:id="32"/>
    <w:bookmarkStart w:id="33" w:name="downstream-emissions"/>
    <w:p>
      <w:pPr>
        <w:pStyle w:val="Heading4"/>
      </w:pPr>
      <w:r>
        <w:t xml:space="preserve">3.3.2. Downstream Emissions</w:t>
      </w:r>
    </w:p>
    <w:p>
      <w:pPr>
        <w:numPr>
          <w:ilvl w:val="0"/>
          <w:numId w:val="1013"/>
        </w:numPr>
      </w:pPr>
      <w:r>
        <w:rPr>
          <w:bCs/>
          <w:b/>
        </w:rPr>
        <w:t xml:space="preserve">Outbound Transport &amp; Last-Mile Delivery (Category 4 - Transportation and Distribution):</w:t>
      </w:r>
    </w:p>
    <w:p>
      <w:pPr>
        <w:numPr>
          <w:ilvl w:val="1"/>
          <w:numId w:val="1014"/>
        </w:numPr>
        <w:pStyle w:val="Compact"/>
      </w:pPr>
      <w:r>
        <w:t xml:space="preserve">Main Transport Mode: Select Mode (Assumed Road Freight, HGV &gt;16t).</w:t>
      </w:r>
    </w:p>
    <w:p>
      <w:pPr>
        <w:numPr>
          <w:ilvl w:val="1"/>
          <w:numId w:val="1014"/>
        </w:numPr>
        <w:pStyle w:val="Compact"/>
      </w:pPr>
      <w:r>
        <w:t xml:space="preserve">Main Transport Distance (Illustrative for shipment to distribution hub): 1000 km.</w:t>
      </w:r>
    </w:p>
    <w:p>
      <w:pPr>
        <w:numPr>
          <w:ilvl w:val="1"/>
          <w:numId w:val="1014"/>
        </w:numPr>
        <w:pStyle w:val="Compact"/>
      </w:pPr>
      <w:r>
        <w:t xml:space="preserve">Last-Mile Delivery Channel: Delivery Type (Assumed Parcel Delivery Van).</w:t>
      </w:r>
    </w:p>
    <w:p>
      <w:pPr>
        <w:numPr>
          <w:ilvl w:val="1"/>
          <w:numId w:val="1014"/>
        </w:numPr>
        <w:pStyle w:val="Compact"/>
      </w:pPr>
      <w:r>
        <w:t xml:space="preserve">Last-Mile Distance (Illustrative): 50 km.</w:t>
      </w:r>
    </w:p>
    <w:p>
      <w:pPr>
        <w:numPr>
          <w:ilvl w:val="1"/>
          <w:numId w:val="1014"/>
        </w:numPr>
        <w:pStyle w:val="Compact"/>
      </w:pPr>
      <w:r>
        <w:t xml:space="preserve">Product Weight: ~1 kg.</w:t>
      </w:r>
    </w:p>
    <w:p>
      <w:pPr>
        <w:numPr>
          <w:ilvl w:val="1"/>
          <w:numId w:val="1014"/>
        </w:numPr>
        <w:pStyle w:val="Compact"/>
      </w:pPr>
      <w:r>
        <w:t xml:space="preserve">Emission Factor (Road Freight HGV &gt;16t, modern lorry/truck): 0.105 kgCO2e/tkm</w:t>
      </w:r>
    </w:p>
    <w:p>
      <w:pPr>
        <w:numPr>
          <w:ilvl w:val="1"/>
          <w:numId w:val="1014"/>
        </w:numPr>
        <w:pStyle w:val="Compact"/>
      </w:pPr>
      <w:r>
        <w:t xml:space="preserve">Emission Factor (Last-Mile Parcel Delivery): 0.6 kgCO2e/package (total for typical delivery)</w:t>
      </w:r>
    </w:p>
    <w:p>
      <w:pPr>
        <w:numPr>
          <w:ilvl w:val="1"/>
          <w:numId w:val="1014"/>
        </w:numPr>
        <w:pStyle w:val="Compact"/>
      </w:pPr>
      <w:r>
        <w:t xml:space="preserve">Calculation (Main): 1 kg * 1000 km * (0.105 kgCO2e/tkm / 1000 kg/t) = 0.105 kgCO2e/unit</w:t>
      </w:r>
    </w:p>
    <w:p>
      <w:pPr>
        <w:numPr>
          <w:ilvl w:val="1"/>
          <w:numId w:val="1014"/>
        </w:numPr>
        <w:pStyle w:val="Compact"/>
      </w:pPr>
      <w:r>
        <w:t xml:space="preserve">Calculation (Last-Mile): 1 unit * 0.6 kgCO2e/package = 0.6 kgCO2e/unit</w:t>
      </w:r>
    </w:p>
    <w:p>
      <w:pPr>
        <w:numPr>
          <w:ilvl w:val="0"/>
          <w:numId w:val="1000"/>
        </w:numPr>
      </w:pPr>
      <w:r>
        <w:rPr>
          <w:bCs/>
          <w:b/>
        </w:rPr>
        <w:t xml:space="preserve">Total Outbound &amp; Last-Mile Transport GHG Impact: 0.705 kgCO2e/unit</w:t>
      </w:r>
    </w:p>
    <w:p>
      <w:pPr>
        <w:numPr>
          <w:ilvl w:val="0"/>
          <w:numId w:val="1013"/>
        </w:numPr>
      </w:pPr>
      <w:r>
        <w:rPr>
          <w:bCs/>
          <w:b/>
        </w:rPr>
        <w:t xml:space="preserve">Use Phase (Category 11 - Use of Sold Products):</w:t>
      </w:r>
    </w:p>
    <w:p>
      <w:pPr>
        <w:numPr>
          <w:ilvl w:val="1"/>
          <w:numId w:val="1015"/>
        </w:numPr>
        <w:pStyle w:val="Compact"/>
      </w:pPr>
      <w:r>
        <w:t xml:space="preserve">Product Lifespan: oneootdzzg (Assumed 5 years).</w:t>
      </w:r>
    </w:p>
    <w:p>
      <w:pPr>
        <w:numPr>
          <w:ilvl w:val="1"/>
          <w:numId w:val="1015"/>
        </w:numPr>
        <w:pStyle w:val="Compact"/>
      </w:pPr>
      <w:r>
        <w:t xml:space="preserve">Energy Consumption in Use: gveutlwnkq (Assumed 50 kWh/year).</w:t>
      </w:r>
    </w:p>
    <w:p>
      <w:pPr>
        <w:numPr>
          <w:ilvl w:val="1"/>
          <w:numId w:val="1015"/>
        </w:numPr>
        <w:pStyle w:val="Compact"/>
      </w:pPr>
      <w:r>
        <w:t xml:space="preserve">Grid Emission Factor (user location, assumed average China grid mix for illustration): 0.53 kgCO2e/kWh</w:t>
      </w:r>
    </w:p>
    <w:p>
      <w:pPr>
        <w:numPr>
          <w:ilvl w:val="1"/>
          <w:numId w:val="1015"/>
        </w:numPr>
        <w:pStyle w:val="Compact"/>
      </w:pPr>
      <w:r>
        <w:t xml:space="preserve">Calculation: 5 years * 50 kWh/year * 0.53 kgCO2e/kWh = 132.5 kgCO2e/unit</w:t>
      </w:r>
    </w:p>
    <w:p>
      <w:pPr>
        <w:numPr>
          <w:ilvl w:val="0"/>
          <w:numId w:val="1000"/>
        </w:numPr>
      </w:pPr>
      <w:r>
        <w:rPr>
          <w:bCs/>
          <w:b/>
        </w:rPr>
        <w:t xml:space="preserve">Total Use Phase GHG Impact: 132.5 kgCO2e/unit</w:t>
      </w:r>
    </w:p>
    <w:p>
      <w:pPr>
        <w:numPr>
          <w:ilvl w:val="0"/>
          <w:numId w:val="1013"/>
        </w:numPr>
      </w:pPr>
      <w:r>
        <w:rPr>
          <w:bCs/>
          <w:b/>
        </w:rPr>
        <w:t xml:space="preserve">End-of-Life (EoL) Treatment (Category 12 - End-of-Life Treatment of Sold Products):</w:t>
      </w:r>
    </w:p>
    <w:p>
      <w:pPr>
        <w:numPr>
          <w:ilvl w:val="1"/>
          <w:numId w:val="1016"/>
        </w:numPr>
        <w:pStyle w:val="Compact"/>
      </w:pPr>
      <w:r>
        <w:t xml:space="preserve">Recyclability Percentage: uztnlqltzq (Assumed 80%).</w:t>
      </w:r>
    </w:p>
    <w:p>
      <w:pPr>
        <w:numPr>
          <w:ilvl w:val="1"/>
          <w:numId w:val="1016"/>
        </w:numPr>
        <w:pStyle w:val="Compact"/>
      </w:pPr>
      <w:r>
        <w:t xml:space="preserve">Circular/Take-back Programs: lrxkiloqfw (Assumed "Active Collection Program" providing high recycling rates).</w:t>
      </w:r>
    </w:p>
    <w:p>
      <w:pPr>
        <w:numPr>
          <w:ilvl w:val="1"/>
          <w:numId w:val="1016"/>
        </w:numPr>
        <w:pStyle w:val="Compact"/>
      </w:pPr>
      <w:r>
        <w:t xml:space="preserve">Assumptions for Calculation:</w:t>
      </w:r>
    </w:p>
    <w:p>
      <w:pPr>
        <w:numPr>
          <w:ilvl w:val="2"/>
          <w:numId w:val="1017"/>
        </w:numPr>
        <w:pStyle w:val="Compact"/>
      </w:pPr>
      <w:r>
        <w:t xml:space="preserve">Product Materials for Recycling (from illustrative BOM - Aluminum and ABS plastic):</w:t>
      </w:r>
    </w:p>
    <w:p>
      <w:pPr>
        <w:numPr>
          <w:ilvl w:val="3"/>
          <w:numId w:val="1018"/>
        </w:numPr>
        <w:pStyle w:val="Compact"/>
      </w:pPr>
      <w:r>
        <w:t xml:space="preserve">Recycled Aluminum (0.5 kg * 80%): 0.4 kg. Credit: 0.4 kg * (-12.9 kgCO2e/kg avoided) = -5.16 kgCO2e</w:t>
      </w:r>
    </w:p>
    <w:p>
      <w:pPr>
        <w:numPr>
          <w:ilvl w:val="3"/>
          <w:numId w:val="1018"/>
        </w:numPr>
        <w:pStyle w:val="Compact"/>
      </w:pPr>
      <w:r>
        <w:t xml:space="preserve">Recycled ABS Plastic (0.3 kg * 80%): 0.24 kg. Assumed similar to mixed plastics credit: 0.24 kg * (-1.2 kgCO2e/kg avoided) = -0.288 kgCO2e</w:t>
      </w:r>
    </w:p>
    <w:p>
      <w:pPr>
        <w:numPr>
          <w:ilvl w:val="2"/>
          <w:numId w:val="1017"/>
        </w:numPr>
        <w:pStyle w:val="Compact"/>
      </w:pPr>
      <w:r>
        <w:t xml:space="preserve">Landfilled Materials (remaining 20% of Al/ABS + all electronics &amp; battery):</w:t>
      </w:r>
    </w:p>
    <w:p>
      <w:pPr>
        <w:numPr>
          <w:ilvl w:val="3"/>
          <w:numId w:val="1019"/>
        </w:numPr>
        <w:pStyle w:val="Compact"/>
      </w:pPr>
      <w:r>
        <w:t xml:space="preserve">Al (0.1 kg) + ABS (0.06 kg) + Electronics (0.1 kg) + Battery (0.05 kg) = 0.31 kg landfilled.</w:t>
      </w:r>
    </w:p>
    <w:p>
      <w:pPr>
        <w:numPr>
          <w:ilvl w:val="3"/>
          <w:numId w:val="1019"/>
        </w:numPr>
        <w:pStyle w:val="Compact"/>
      </w:pPr>
      <w:r>
        <w:t xml:space="preserve">Illustrative Landfill EF: 0.1 kgCO2e/kg. Debit: 0.31 kg * 0.1 kgCO2e/kg = +0.031 kgCO2e</w:t>
      </w:r>
    </w:p>
    <w:p>
      <w:pPr>
        <w:numPr>
          <w:ilvl w:val="1"/>
          <w:numId w:val="1016"/>
        </w:numPr>
        <w:pStyle w:val="Compact"/>
      </w:pPr>
      <w:r>
        <w:t xml:space="preserve">Calculation: -5.16 kgCO2e - 0.288 kgCO2e + 0.031 kgCO2e = -5.417 kgCO2e/unit</w:t>
      </w:r>
    </w:p>
    <w:p>
      <w:pPr>
        <w:numPr>
          <w:ilvl w:val="0"/>
          <w:numId w:val="1000"/>
        </w:numPr>
      </w:pPr>
      <w:r>
        <w:rPr>
          <w:bCs/>
          <w:b/>
        </w:rPr>
        <w:t xml:space="preserve">Total End-of-Life GHG Impact: -5.417 kgCO2e/unit (net credit)</w:t>
      </w:r>
    </w:p>
    <w:bookmarkEnd w:id="33"/>
    <w:bookmarkEnd w:id="34"/>
    <w:bookmarkStart w:id="35" w:name="Xb812dc54c657d91bfc79474ae5c6e8f7c75808a"/>
    <w:p>
      <w:pPr>
        <w:pStyle w:val="Heading3"/>
      </w:pPr>
      <w:r>
        <w:t xml:space="preserve">3.4. GHG Protocol Land Sector and Removals (LSR) Standard (2026 Update)</w:t>
      </w:r>
    </w:p>
    <w:p>
      <w:pPr>
        <w:pStyle w:val="FirstParagraph"/>
      </w:pPr>
      <w:r>
        <w:t xml:space="preserve">The 2026 LSR Standard for land use and carbon removals emphasizes accounting for GHG emissions and removals from land-based activities. For ywmkvpdurq, this would primarily be relevant if the raw materials (e.g., bio-based plastics, wood) involved land-use change or specific forestry practices, or if carbon removal technologies were integrated. While not explicitly detailed in the provided parameters, adherence to the LSR standard implies that any such impacts from bio-based materials or carbon removals directly attributable to the product would be quantified and reported transparently. In this report, assuming the primary materials (metals, plastics, electronics) do not have significant direct land-use change impacts within their supply chains, specific LSR calculations are not performed but their conceptual inclusion is acknowledged.</w:t>
      </w:r>
    </w:p>
    <w:bookmarkEnd w:id="35"/>
    <w:bookmarkStart w:id="36" w:name="summary-of-emissions-by-scope"/>
    <w:p>
      <w:pPr>
        <w:pStyle w:val="Heading3"/>
      </w:pPr>
      <w:r>
        <w:t xml:space="preserve">3.5. Summary of Emissions by Scope</w:t>
      </w:r>
    </w:p>
    <w:p>
      <w:pPr>
        <w:pStyle w:val="FirstParagraph"/>
      </w:pPr>
      <w:r>
        <w:t xml:space="preserve">The total estimated Product Carbon Footprint for one functional unit of ywmkvpdurq is summarized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GHG Impact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1.59</w:t>
            </w:r>
          </w:p>
        </w:tc>
      </w:tr>
      <w:tr>
        <w:tc>
          <w:tcPr/>
          <w:p>
            <w:pPr>
              <w:pStyle w:val="Compact"/>
              <w:jc w:val="left"/>
            </w:pPr>
            <w:r>
              <w:rPr>
                <w:bCs/>
                <w:b/>
              </w:rPr>
              <w:t xml:space="preserve">Scope 3</w:t>
            </w:r>
          </w:p>
        </w:tc>
        <w:tc>
          <w:tcPr/>
          <w:p>
            <w:pPr>
              <w:pStyle w:val="Compact"/>
            </w:pPr>
          </w:p>
        </w:tc>
        <w:tc>
          <w:tcPr/>
          <w:p>
            <w:pPr>
              <w:pStyle w:val="Compact"/>
            </w:pPr>
          </w:p>
        </w:tc>
      </w:tr>
      <w:tr>
        <w:tc>
          <w:tcPr/>
          <w:p>
            <w:pPr>
              <w:pStyle w:val="Compact"/>
            </w:pPr>
          </w:p>
        </w:tc>
        <w:tc>
          <w:tcPr/>
          <w:p>
            <w:pPr>
              <w:pStyle w:val="Compact"/>
              <w:jc w:val="left"/>
            </w:pPr>
            <w:r>
              <w:t xml:space="preserve">   Materials (Upstream)</w:t>
            </w:r>
          </w:p>
        </w:tc>
        <w:tc>
          <w:tcPr/>
          <w:p>
            <w:pPr>
              <w:pStyle w:val="Compact"/>
              <w:jc w:val="left"/>
            </w:pPr>
            <w:r>
              <w:t xml:space="preserve">9.90</w:t>
            </w:r>
          </w:p>
        </w:tc>
      </w:tr>
      <w:tr>
        <w:tc>
          <w:tcPr/>
          <w:p>
            <w:pPr>
              <w:pStyle w:val="Compact"/>
            </w:pPr>
          </w:p>
        </w:tc>
        <w:tc>
          <w:tcPr/>
          <w:p>
            <w:pPr>
              <w:pStyle w:val="Compact"/>
              <w:jc w:val="left"/>
            </w:pPr>
            <w:r>
              <w:t xml:space="preserve">   Inbound Transport (Upstream)</w:t>
            </w:r>
          </w:p>
        </w:tc>
        <w:tc>
          <w:tcPr/>
          <w:p>
            <w:pPr>
              <w:pStyle w:val="Compact"/>
              <w:jc w:val="left"/>
            </w:pPr>
            <w:r>
              <w:t xml:space="preserve">0.21</w:t>
            </w:r>
          </w:p>
        </w:tc>
      </w:tr>
      <w:tr>
        <w:tc>
          <w:tcPr/>
          <w:p>
            <w:pPr>
              <w:pStyle w:val="Compact"/>
            </w:pPr>
          </w:p>
        </w:tc>
        <w:tc>
          <w:tcPr/>
          <w:p>
            <w:pPr>
              <w:pStyle w:val="Compact"/>
              <w:jc w:val="left"/>
            </w:pPr>
            <w:r>
              <w:t xml:space="preserve">   Outbound &amp; Last-Mile Transport (Downstream)</w:t>
            </w:r>
          </w:p>
        </w:tc>
        <w:tc>
          <w:tcPr/>
          <w:p>
            <w:pPr>
              <w:pStyle w:val="Compact"/>
              <w:jc w:val="left"/>
            </w:pPr>
            <w:r>
              <w:t xml:space="preserve">0.705</w:t>
            </w:r>
          </w:p>
        </w:tc>
      </w:tr>
      <w:tr>
        <w:tc>
          <w:tcPr/>
          <w:p>
            <w:pPr>
              <w:pStyle w:val="Compact"/>
            </w:pPr>
          </w:p>
        </w:tc>
        <w:tc>
          <w:tcPr/>
          <w:p>
            <w:pPr>
              <w:pStyle w:val="Compact"/>
              <w:jc w:val="left"/>
            </w:pPr>
            <w:r>
              <w:t xml:space="preserve">   Use Phase (Downstream)</w:t>
            </w:r>
          </w:p>
        </w:tc>
        <w:tc>
          <w:tcPr/>
          <w:p>
            <w:pPr>
              <w:pStyle w:val="Compact"/>
              <w:jc w:val="left"/>
            </w:pPr>
            <w:r>
              <w:t xml:space="preserve">132.50</w:t>
            </w:r>
          </w:p>
        </w:tc>
      </w:tr>
      <w:tr>
        <w:tc>
          <w:tcPr/>
          <w:p>
            <w:pPr>
              <w:pStyle w:val="Compact"/>
            </w:pPr>
          </w:p>
        </w:tc>
        <w:tc>
          <w:tcPr/>
          <w:p>
            <w:pPr>
              <w:pStyle w:val="Compact"/>
              <w:jc w:val="left"/>
            </w:pPr>
            <w:r>
              <w:t xml:space="preserve">   End-of-Life Treatment (Downstream)</w:t>
            </w:r>
          </w:p>
        </w:tc>
        <w:tc>
          <w:tcPr/>
          <w:p>
            <w:pPr>
              <w:pStyle w:val="Compact"/>
              <w:jc w:val="left"/>
            </w:pPr>
            <w:r>
              <w:t xml:space="preserve">-5.417</w:t>
            </w:r>
          </w:p>
        </w:tc>
      </w:tr>
      <w:tr>
        <w:tc>
          <w:tcPr>
            <w:gridSpan w:val="2"/>
          </w:tcPr>
          <w:p>
            <w:pPr>
              <w:pStyle w:val="Compact"/>
              <w:jc w:val="left"/>
            </w:pPr>
            <w:r>
              <w:t xml:space="preserve">Total Product Carbon Footprint (PCF)</w:t>
            </w:r>
          </w:p>
        </w:tc>
        <w:tc>
          <w:tcPr/>
          <w:p>
            <w:pPr>
              <w:pStyle w:val="Compact"/>
              <w:jc w:val="left"/>
            </w:pPr>
            <w:r>
              <w:t xml:space="preserve">139.488</w:t>
            </w:r>
          </w:p>
        </w:tc>
      </w:tr>
    </w:tbl>
    <w:p>
      <w:r>
        <w:pict>
          <v:rect style="width:0;height:1.5pt" o:hralign="center" o:hrstd="t" o:hr="t"/>
        </w:pict>
      </w:r>
    </w:p>
    <w:bookmarkEnd w:id="36"/>
    <w:bookmarkEnd w:id="37"/>
    <w:bookmarkStart w:id="40" w:name="review-report"/>
    <w:p>
      <w:pPr>
        <w:pStyle w:val="Heading2"/>
      </w:pPr>
      <w:r>
        <w:t xml:space="preserve">4. Review &amp; Report</w:t>
      </w:r>
    </w:p>
    <w:bookmarkStart w:id="38" w:name="hotspots-and-reliability"/>
    <w:p>
      <w:pPr>
        <w:pStyle w:val="Heading3"/>
      </w:pPr>
      <w:r>
        <w:t xml:space="preserve">4.1. Hotspots and Reliability</w:t>
      </w:r>
    </w:p>
    <w:p>
      <w:pPr>
        <w:pStyle w:val="FirstParagraph"/>
      </w:pPr>
      <w:r>
        <w:t xml:space="preserve">The PCF analysis reveals the following key hotspots:</w:t>
      </w:r>
    </w:p>
    <w:p>
      <w:pPr>
        <w:numPr>
          <w:ilvl w:val="0"/>
          <w:numId w:val="1020"/>
        </w:numPr>
        <w:pStyle w:val="Compact"/>
      </w:pPr>
      <w:r>
        <w:rPr>
          <w:bCs/>
          <w:b/>
        </w:rPr>
        <w:t xml:space="preserve">Use Phase (132.5 kgCO2e):</w:t>
      </w:r>
      <w:r>
        <w:t xml:space="preserve"> </w:t>
      </w:r>
      <w:r>
        <w:t xml:space="preserve">This stage accounts for the vast majority of the product\'s carbon footprint, primarily due to the energy consumption over its 5-year lifespan. This is a common hotspot for electronic devices or appliances with significant operational energy requirements.</w:t>
      </w:r>
    </w:p>
    <w:p>
      <w:pPr>
        <w:numPr>
          <w:ilvl w:val="0"/>
          <w:numId w:val="1020"/>
        </w:numPr>
        <w:pStyle w:val="Compact"/>
      </w:pPr>
      <w:r>
        <w:rPr>
          <w:bCs/>
          <w:b/>
        </w:rPr>
        <w:t xml:space="preserve">Materials (9.9 kgCO2e):</w:t>
      </w:r>
      <w:r>
        <w:t xml:space="preserve"> </w:t>
      </w:r>
      <w:r>
        <w:t xml:space="preserve">The raw material acquisition and processing contribute significantly, especially for energy-intensive materials like aluminum and batteries.</w:t>
      </w:r>
    </w:p>
    <w:p>
      <w:pPr>
        <w:numPr>
          <w:ilvl w:val="0"/>
          <w:numId w:val="1020"/>
        </w:numPr>
        <w:pStyle w:val="Compact"/>
      </w:pPr>
      <w:r>
        <w:rPr>
          <w:bCs/>
          <w:b/>
        </w:rPr>
        <w:t xml:space="preserve">End-of-Life Treatment (-5.417 kgCO2e):</w:t>
      </w:r>
      <w:r>
        <w:t xml:space="preserve"> </w:t>
      </w:r>
      <w:r>
        <w:t xml:space="preserve">The strong recycling program leads to a significant net credit, demonstrating the positive impact of circular economy initiatives.</w:t>
      </w:r>
    </w:p>
    <w:p>
      <w:pPr>
        <w:pStyle w:val="FirstParagraph"/>
      </w:pPr>
      <w:r>
        <w:t xml:space="preserve">The reliability of this report is directly dependent on the accuracy of the underlying data. As exact numerical values for certain parameters were provided as string placeholders (e.g., hppssznj, qjlumhjvyd), illustrative figures and commonly accepted industry emission factors were used for calculations. Primary data collection for actual energy consumption, precise transport logistics, and supplier-specific material emission factors would significantly enhance the precision and reliability of these results.</w:t>
      </w:r>
    </w:p>
    <w:bookmarkEnd w:id="38"/>
    <w:bookmarkStart w:id="39" w:name="recommendations"/>
    <w:p>
      <w:pPr>
        <w:pStyle w:val="Heading3"/>
      </w:pPr>
      <w:r>
        <w:t xml:space="preserve">4.2. Recommendations</w:t>
      </w:r>
    </w:p>
    <w:p>
      <w:pPr>
        <w:pStyle w:val="FirstParagraph"/>
      </w:pPr>
      <w:r>
        <w:t xml:space="preserve">Based on the analysis, kjppjlplkg is recommended to focus on the following areas to reduce the PCF of ywmkvpdurq:</w:t>
      </w:r>
    </w:p>
    <w:p>
      <w:pPr>
        <w:numPr>
          <w:ilvl w:val="0"/>
          <w:numId w:val="1021"/>
        </w:numPr>
        <w:pStyle w:val="Compact"/>
      </w:pPr>
      <w:r>
        <w:rPr>
          <w:bCs/>
          <w:b/>
        </w:rPr>
        <w:t xml:space="preserve">Optimize Use Phase Energy Efficiency:</w:t>
      </w:r>
      <w:r>
        <w:t xml:space="preserve"> </w:t>
      </w:r>
      <w:r>
        <w:t xml:space="preserve">Implement further design improvements to reduce the product\'s energy consumption during its operational life (e.g., more energy-efficient components, advanced power management features). Consider user education programs to promote energy-saving usage patterns.</w:t>
      </w:r>
    </w:p>
    <w:p>
      <w:pPr>
        <w:numPr>
          <w:ilvl w:val="0"/>
          <w:numId w:val="1021"/>
        </w:numPr>
        <w:pStyle w:val="Compact"/>
      </w:pPr>
      <w:r>
        <w:rPr>
          <w:bCs/>
          <w:b/>
        </w:rPr>
        <w:t xml:space="preserve">Increase Renewable Energy Sourcing in Manufacturing:</w:t>
      </w:r>
      <w:r>
        <w:t xml:space="preserve"> </w:t>
      </w:r>
      <w:r>
        <w:t xml:space="preserve">Explore options to further increase the percentage of renewable energy used in the kjppjlplkg manufacturing facilities beyond the assumed tsznzdzmgv (70%), and encourage suppliers to adopt renewable energy.</w:t>
      </w:r>
    </w:p>
    <w:p>
      <w:pPr>
        <w:numPr>
          <w:ilvl w:val="0"/>
          <w:numId w:val="1021"/>
        </w:numPr>
        <w:pStyle w:val="Compact"/>
      </w:pPr>
      <w:r>
        <w:rPr>
          <w:bCs/>
          <w:b/>
        </w:rPr>
        <w:t xml:space="preserve">Material Optimization:</w:t>
      </w:r>
      <w:r>
        <w:t xml:space="preserve"> </w:t>
      </w:r>
      <w:r>
        <w:t xml:space="preserve">Investigate and integrate alternative materials with lower embodied carbon footprints. Prioritize increasing the use of recycled content in components that currently rely heavily on virgin materials.</w:t>
      </w:r>
    </w:p>
    <w:p>
      <w:pPr>
        <w:numPr>
          <w:ilvl w:val="0"/>
          <w:numId w:val="1021"/>
        </w:numPr>
        <w:pStyle w:val="Compact"/>
      </w:pPr>
      <w:r>
        <w:rPr>
          <w:bCs/>
          <w:b/>
        </w:rPr>
        <w:t xml:space="preserve">Logistics Efficiency:</w:t>
      </w:r>
      <w:r>
        <w:t xml:space="preserve"> </w:t>
      </w:r>
      <w:r>
        <w:t xml:space="preserve">Optimize transport routes, explore switching to lower-emission transport modes (e.g., rail or sea freight where feasible for long distances instead of road, or electric vehicles for last-mile delivery). Consolidate shipments to maximize load factors and reduce per-unit emissions.</w:t>
      </w:r>
    </w:p>
    <w:p>
      <w:pPr>
        <w:numPr>
          <w:ilvl w:val="0"/>
          <w:numId w:val="1021"/>
        </w:numPr>
        <w:pStyle w:val="Compact"/>
      </w:pPr>
      <w:r>
        <w:rPr>
          <w:bCs/>
          <w:b/>
        </w:rPr>
        <w:t xml:space="preserve">Strengthen Circular Economy Initiatives:</w:t>
      </w:r>
      <w:r>
        <w:t xml:space="preserve"> </w:t>
      </w:r>
      <w:r>
        <w:t xml:space="preserve">Continue to invest in and expand take-back and recycling programs (lrxkiloqfw) to ensure maximum material recovery and minimize waste. Promote product durability and repairability to extend lifespan.</w:t>
      </w:r>
    </w:p>
    <w:p>
      <w:pPr>
        <w:numPr>
          <w:ilvl w:val="0"/>
          <w:numId w:val="1021"/>
        </w:numPr>
        <w:pStyle w:val="Compact"/>
      </w:pPr>
      <w:r>
        <w:rPr>
          <w:bCs/>
          <w:b/>
        </w:rPr>
        <w:t xml:space="preserve">Enhance Data Collection:</w:t>
      </w:r>
      <w:r>
        <w:t xml:space="preserve"> </w:t>
      </w:r>
      <w:r>
        <w:t xml:space="preserve">Develop robust internal systems for collecting primary activity data across the entire value chain, including precise supplier-specific emission factors for materials, actual transport distances, modes, and load factors, and accurate use-phase energy consumption data from diverse user scenarios.</w:t>
      </w:r>
    </w:p>
    <w:p>
      <w:r>
        <w:pict>
          <v:rect style="width:0;height:1.5pt" o:hralign="center" o:hrstd="t" o:hr="t"/>
        </w:pict>
      </w:r>
    </w:p>
    <w:p>
      <w:pPr>
        <w:pStyle w:val="FirstParagraph"/>
      </w:pPr>
      <w:r>
        <w:t xml:space="preserve">Confidential - Internal Use Only | Page 1 of X (Simulated)</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ywmkvpdurq</dc:title>
  <dc:creator/>
  <dc:description>Detailed Product Carbon Footprint (PCF) analysis report for ywmkvpdurq by kjppjlplkg, following GHG Protocol standards and 2026 updates, conducted by gsyumshwvm.</dc:description>
  <cp:keywords/>
  <dcterms:created xsi:type="dcterms:W3CDTF">2026-07-15T01:36:19Z</dcterms:created>
  <dcterms:modified xsi:type="dcterms:W3CDTF">2026-07-15T01:36:19Z</dcterms:modified>
</cp:coreProperties>
</file>

<file path=docProps/custom.xml><?xml version="1.0" encoding="utf-8"?>
<Properties xmlns="http://schemas.openxmlformats.org/officeDocument/2006/custom-properties" xmlns:vt="http://schemas.openxmlformats.org/officeDocument/2006/docPropsVTypes"/>
</file>