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yvueflxdfp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yvueflxdfp</w:t>
      </w:r>
    </w:p>
    <w:p>
      <w:pPr>
        <w:pStyle w:val="BodyText"/>
      </w:pPr>
      <w:r>
        <w:rPr>
          <w:bCs/>
          <w:b/>
        </w:rPr>
        <w:t xml:space="preserve">Company Name:</w:t>
      </w:r>
      <w:r>
        <w:t xml:space="preserve"> </w:t>
      </w:r>
      <w:r>
        <w:t xml:space="preserve">xtrwxffmiy</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nzewhtefef</w:t>
      </w:r>
    </w:p>
    <w:p>
      <w:pPr>
        <w:pStyle w:val="BodyText"/>
      </w:pPr>
      <w:r>
        <w:t xml:space="preserve">This report is generated based on available data and industry standards, intended for informational purposes.</w:t>
      </w:r>
    </w:p>
    <w:bookmarkEnd w:id="20"/>
    <w:bookmarkStart w:id="4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Product:</w:t>
      </w:r>
      <w:r>
        <w:t xml:space="preserve"> </w:t>
      </w:r>
      <w:r>
        <w:t xml:space="preserve">yvueflxdfp</w:t>
      </w:r>
    </w:p>
    <w:p>
      <w:pPr>
        <w:pStyle w:val="BodyText"/>
      </w:pPr>
      <w:r>
        <w:rPr>
          <w:bCs/>
          <w:b/>
        </w:rPr>
        <w:t xml:space="preserve">Company:</w:t>
      </w:r>
      <w:r>
        <w:t xml:space="preserve"> </w:t>
      </w:r>
      <w:r>
        <w:t xml:space="preserve">xtrwxffmiy</w:t>
      </w:r>
    </w:p>
    <w:p>
      <w:pPr>
        <w:pStyle w:val="BodyText"/>
      </w:pPr>
      <w:r>
        <w:rPr>
          <w:bCs/>
          <w:b/>
        </w:rPr>
        <w:t xml:space="preserve">Consultant:</w:t>
      </w:r>
      <w:r>
        <w:t xml:space="preserve"> </w:t>
      </w:r>
      <w:r>
        <w:t xml:space="preserve">nzewhtefef</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 the product yvueflxdfp, manufactured by xtrwxffmiy. The assessment adheres to the GHG Protocol, including the 2026 Land Sector and Removals (LSR) Standard, and aims for at least 95% coverage for Scope 3 emissions. The total estimated Product Carbon Footprint for yvueflxdfp is **38.1 kg CO2e per unit**. The primary hotspots identified are the materials acquisition and pre-processing, followed by the use phase and manufacturing energy. Recommendations for reduction strategies are provided based on these findings.</w:t>
      </w:r>
    </w:p>
    <w:bookmarkStart w:id="22" w:name="scope-definition"/>
    <w:p>
      <w:pPr>
        <w:pStyle w:val="Heading2"/>
      </w:pPr>
      <w:r>
        <w:t xml:space="preserve">1. Scope Definition</w:t>
      </w:r>
    </w:p>
    <w:bookmarkEnd w:id="22"/>
    <w:p>
      <w:pPr>
        <w:pStyle w:val="FirstParagraph"/>
      </w:pPr>
      <w:r>
        <w:t xml:space="preserve">This analysis defines the scope for the Product Carbon Footprint of yvueflxdfp, ensuring a clear and consistent assessment in accordance with the GHG Protocol.</w:t>
      </w:r>
    </w:p>
    <w:p>
      <w:pPr>
        <w:numPr>
          <w:ilvl w:val="0"/>
          <w:numId w:val="1001"/>
        </w:numPr>
        <w:pStyle w:val="Compact"/>
      </w:pPr>
      <w:r>
        <w:rPr>
          <w:bCs/>
          <w:b/>
        </w:rPr>
        <w:t xml:space="preserve">Functional Unit:</w:t>
      </w:r>
      <w:r>
        <w:t xml:space="preserve"> </w:t>
      </w:r>
      <w:r>
        <w:t xml:space="preserve">The functional unit for this study is defined as 1.0 unit of yvueflxdfp.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system boundary adopted is "factory_gate". This encompasses all upstream processes including raw material extraction, component manufacturing, and transport to the factory, as well as the manufacturing process at xtrwxffmiy\'s facility. It also extends to the distribution, use, and end-of-life phases, covering the entire lifecycle.</w:t>
      </w:r>
    </w:p>
    <w:p>
      <w:pPr>
        <w:numPr>
          <w:ilvl w:val="0"/>
          <w:numId w:val="1001"/>
        </w:numPr>
        <w:pStyle w:val="Compact"/>
      </w:pPr>
      <w:r>
        <w:rPr>
          <w:bCs/>
          <w:b/>
        </w:rPr>
        <w:t xml:space="preserve">Geographic Scope:</w:t>
      </w:r>
      <w:r>
        <w:t xml:space="preserve"> </w:t>
      </w:r>
      <w:r>
        <w:t xml:space="preserve">The final production country for yvueflxdfp is China, with a supply chain focus primarily on Europe. This dual focus impacts the selection of regional emission factors for various lifecycle stages.</w:t>
      </w:r>
    </w:p>
    <w:p>
      <w:pPr>
        <w:numPr>
          <w:ilvl w:val="0"/>
          <w:numId w:val="1001"/>
        </w:numPr>
        <w:pStyle w:val="Compact"/>
      </w:pPr>
      <w:r>
        <w:rPr>
          <w:bCs/>
          <w:b/>
        </w:rPr>
        <w:t xml:space="preserve">Accounting Standard:</w:t>
      </w:r>
      <w:r>
        <w:t xml:space="preserve"> </w:t>
      </w:r>
      <w:r>
        <w:t xml:space="preserve">The methodology strictly adheres to the Greenhouse Gas (GHG) Protocol Product Standard. Emissions are categorized into Scope 1 (direct), Scope 2 (purchased energy), and Scope 3 (value chain) to ensure comprehensive reporting. Furthermore, the 2026 Land Sector and Removals (LSR) Standard for land use and carbon removals has been applied, and compliance with at least 95% coverage for Scope 3 reporting, as per 2026 requirements, is ensured.</w:t>
      </w:r>
    </w:p>
    <w:p>
      <w:pPr>
        <w:numPr>
          <w:ilvl w:val="0"/>
          <w:numId w:val="1001"/>
        </w:numPr>
        <w:pStyle w:val="Compact"/>
      </w:pPr>
      <w:r>
        <w:rPr>
          <w:bCs/>
          <w:b/>
        </w:rPr>
        <w:t xml:space="preserve">Allocation:</w:t>
      </w:r>
      <w:r>
        <w:t xml:space="preserve"> </w:t>
      </w:r>
      <w:r>
        <w:t xml:space="preserve">Where co-products or by-products exist, allocation methods (e.g., mass-based, economic-based) are applied in accordance with GHG Protocol guidance. For this product, direct attribution of impacts to the functional unit is primarily employed given the defined system boundary.</w:t>
      </w:r>
    </w:p>
    <w:bookmarkStart w:id="23" w:name="lifecycle-mapping-lci-inventory-stages"/>
    <w:p>
      <w:pPr>
        <w:pStyle w:val="Heading2"/>
      </w:pPr>
      <w:r>
        <w:t xml:space="preserve">2. Lifecycle Mapping (LCI Inventory Stages)</w:t>
      </w:r>
    </w:p>
    <w:bookmarkEnd w:id="23"/>
    <w:p>
      <w:pPr>
        <w:pStyle w:val="FirstParagraph"/>
      </w:pPr>
      <w:r>
        <w:t xml:space="preserve">The lifecycle of yvueflxdfp is mapped across five key stages, detailing the inventory collection points for environmental data.</w:t>
      </w:r>
    </w:p>
    <w:p>
      <w:pPr>
        <w:numPr>
          <w:ilvl w:val="0"/>
          <w:numId w:val="1002"/>
        </w:numPr>
        <w:pStyle w:val="Compact"/>
      </w:pPr>
      <w:r>
        <w:rPr>
          <w:bCs/>
          <w:b/>
        </w:rPr>
        <w:t xml:space="preserve">Materials Acquisition &amp; Pre-processing (Scope 3 - Upstream):</w:t>
      </w:r>
      <w:r>
        <w:t xml:space="preserve"> </w:t>
      </w:r>
      <w:r>
        <w:t xml:space="preserve">This stage includes the extraction of raw materials, their processing into intermediate components, and the manufacturing of all parts listed in the Detailed Bill of Materials (BOM) for yvueflxdfp. This encompasses mining, refining, chemical synthesis, and component fabrication, including the associated energy consumption and waste generation.</w:t>
      </w:r>
    </w:p>
    <w:p>
      <w:pPr>
        <w:numPr>
          <w:ilvl w:val="0"/>
          <w:numId w:val="1002"/>
        </w:numPr>
        <w:pStyle w:val="Compact"/>
      </w:pPr>
      <w:r>
        <w:rPr>
          <w:bCs/>
          <w:b/>
        </w:rPr>
        <w:t xml:space="preserve">Manufacturing (Scope 1 &amp; 2):</w:t>
      </w:r>
      <w:r>
        <w:t xml:space="preserve"> </w:t>
      </w:r>
      <w:r>
        <w:t xml:space="preserve">This stage covers all operations within xtrwxffmiy\'s production facility in China.</w:t>
      </w:r>
    </w:p>
    <w:p>
      <w:pPr>
        <w:numPr>
          <w:ilvl w:val="1"/>
          <w:numId w:val="1003"/>
        </w:numPr>
        <w:pStyle w:val="Compact"/>
      </w:pPr>
      <w:r>
        <w:t xml:space="preserve">Scope 1: Direct emissions from owned or controlled sources (e.g., on-site combustion, process emissions, fugitive emissions).</w:t>
      </w:r>
    </w:p>
    <w:p>
      <w:pPr>
        <w:numPr>
          <w:ilvl w:val="1"/>
          <w:numId w:val="1003"/>
        </w:numPr>
        <w:pStyle w:val="Compact"/>
      </w:pPr>
      <w:r>
        <w:t xml:space="preserve">Scope 2: Indirect emissions from the generation of purchased electricity, steam, heating, and cooling consumed by the facility.</w:t>
      </w:r>
    </w:p>
    <w:p>
      <w:pPr>
        <w:numPr>
          <w:ilvl w:val="0"/>
          <w:numId w:val="1002"/>
        </w:numPr>
        <w:pStyle w:val="Compact"/>
      </w:pPr>
      <w:r>
        <w:rPr>
          <w:bCs/>
          <w:b/>
        </w:rPr>
        <w:t xml:space="preserve">Distribution (Scope 3 - Downstream):</w:t>
      </w:r>
      <w:r>
        <w:t xml:space="preserve"> </w:t>
      </w:r>
      <w:r>
        <w:t xml:space="preserve">This stage accounts for the transportation of the finished product from the factory gate to the end-consumer. It includes primary logistics, warehousing, and last-mile delivery, utilizing specified transport modes and distances.</w:t>
      </w:r>
    </w:p>
    <w:p>
      <w:pPr>
        <w:numPr>
          <w:ilvl w:val="0"/>
          <w:numId w:val="1002"/>
        </w:numPr>
        <w:pStyle w:val="Compact"/>
      </w:pPr>
      <w:r>
        <w:rPr>
          <w:bCs/>
          <w:b/>
        </w:rPr>
        <w:t xml:space="preserve">Use Phase (Scope 3 - Downstream):</w:t>
      </w:r>
      <w:r>
        <w:t xml:space="preserve"> </w:t>
      </w:r>
      <w:r>
        <w:t xml:space="preserve">This stage covers the environmental impacts during the lifespan of the product when it is in use by the consumer. This includes energy consumption during operation and any related maintenance activities over its specified lifespan.</w:t>
      </w:r>
    </w:p>
    <w:p>
      <w:pPr>
        <w:numPr>
          <w:ilvl w:val="0"/>
          <w:numId w:val="1002"/>
        </w:numPr>
        <w:pStyle w:val="Compact"/>
      </w:pPr>
      <w:r>
        <w:rPr>
          <w:bCs/>
          <w:b/>
        </w:rPr>
        <w:t xml:space="preserve">End-of-Life (EoL) (Scope 3 - Downstream):</w:t>
      </w:r>
      <w:r>
        <w:t xml:space="preserve"> </w:t>
      </w:r>
      <w:r>
        <w:t xml:space="preserve">This stage addresses the impacts associated with the product\'s disposal or recovery at the end of its functional life. This includes collection, sorting, recycling, incineration, and landfilling, with consideration for recyclability and circular/take-back programs.</w:t>
      </w:r>
    </w:p>
    <w:p>
      <w:pPr>
        <w:pStyle w:val="FirstParagraph"/>
      </w:pPr>
      <w:r>
        <w:t xml:space="preserve">The application of the 2026 Land Sector and Removals (LSR) Standard ensures that any significant land use change emissions or carbon removals associated with the lifecycle (e.g., from bio-based materials or land-intensive processes in the supply chain) are accounted for within the relevant lifecycle stages. For yvueflxdfp as a manufactured product, direct land-use impacts are assumed to be limited, but the standard provides a framework for future integration if the product portfolio expands to include such materials.</w:t>
      </w:r>
    </w:p>
    <w:bookmarkStart w:id="24" w:name="data-collection"/>
    <w:p>
      <w:pPr>
        <w:pStyle w:val="Heading2"/>
      </w:pPr>
      <w:r>
        <w:t xml:space="preserve">3. Data Collection</w:t>
      </w:r>
    </w:p>
    <w:bookmarkEnd w:id="24"/>
    <w:p>
      <w:pPr>
        <w:pStyle w:val="FirstParagraph"/>
      </w:pPr>
      <w:r>
        <w:t xml:space="preserve">This section details the primary and secondary data points collected for the PCF analysis of yvueflxdfp.</w:t>
      </w:r>
    </w:p>
    <w:bookmarkStart w:id="25" w:name="X83a208c66b16838f12fa42fc1211e20cfddbbb5"/>
    <w:p>
      <w:pPr>
        <w:pStyle w:val="Heading3"/>
      </w:pPr>
      <w:r>
        <w:t xml:space="preserve">3.1. Detailed Bill of Materials (BOM) - mqzvmxmv</w:t>
      </w:r>
    </w:p>
    <w:p>
      <w:pPr>
        <w:pStyle w:val="FirstParagraph"/>
      </w:pPr>
      <w:r>
        <w:t xml:space="preserve">The following Bill of Materials (BOM) provides a high-accuracy basis for material impact calculations. The "Total Carbon (kgCO2e)" for each item is directly used to quantify upstream material emissions (Scope 3 - Upstream).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30.0</w:t>
            </w:r>
          </w:p>
        </w:tc>
        <w:tc>
          <w:tcPr/>
          <w:p>
            <w:pPr>
              <w:pStyle w:val="Compact"/>
              <w:jc w:val="left"/>
            </w:pPr>
            <w:r>
              <w:t xml:space="preserve">3.0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5.0</w:t>
            </w:r>
          </w:p>
        </w:tc>
        <w:tc>
          <w:tcPr/>
          <w:p>
            <w:pPr>
              <w:pStyle w:val="Compact"/>
              <w:jc w:val="left"/>
            </w:pPr>
            <w:r>
              <w:t xml:space="preserve">1.5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bl>
    <w:p>
      <w:pPr>
        <w:pStyle w:val="BodyText"/>
      </w:pPr>
      <w:r>
        <w:rPr>
          <w:bCs/>
          <w:b/>
        </w:rPr>
        <w:t xml:space="preserve">Total Product Weight:</w:t>
      </w:r>
      <w:r>
        <w:t xml:space="preserve"> </w:t>
      </w:r>
      <w:r>
        <w:t xml:space="preserve">1.15 kg (used for transport calculations, with an assumed additional 0.35 kg for packaging, totaling 1.5 kg for shipment).</w:t>
      </w:r>
    </w:p>
    <w:bookmarkEnd w:id="25"/>
    <w:bookmarkStart w:id="26" w:name="logistics-data"/>
    <w:p>
      <w:pPr>
        <w:pStyle w:val="Heading3"/>
      </w:pPr>
      <w:r>
        <w:t xml:space="preserve">3.2. Logistics Data</w:t>
      </w:r>
    </w:p>
    <w:p>
      <w:pPr>
        <w:numPr>
          <w:ilvl w:val="0"/>
          <w:numId w:val="1004"/>
        </w:numPr>
        <w:pStyle w:val="Compact"/>
      </w:pPr>
      <w:r>
        <w:rPr>
          <w:bCs/>
          <w:b/>
        </w:rPr>
        <w:t xml:space="preserve">Transport Mode (Primary):</w:t>
      </w:r>
      <w:r>
        <w:t xml:space="preserve"> </w:t>
      </w:r>
      <w:r>
        <w:t xml:space="preserve">Ocean Freight (for long-haul intercontinental transport)</w:t>
      </w:r>
    </w:p>
    <w:p>
      <w:pPr>
        <w:numPr>
          <w:ilvl w:val="0"/>
          <w:numId w:val="1004"/>
        </w:numPr>
        <w:pStyle w:val="Compact"/>
      </w:pPr>
      <w:r>
        <w:rPr>
          <w:bCs/>
          <w:b/>
        </w:rPr>
        <w:t xml:space="preserve">Transport Mode (Secondary/Last-Mile):</w:t>
      </w:r>
      <w:r>
        <w:t xml:space="preserve"> </w:t>
      </w:r>
      <w:r>
        <w:t xml:space="preserve">Road Freight (Heavy Truck), Parcel Delivery Van</w:t>
      </w:r>
    </w:p>
    <w:p>
      <w:pPr>
        <w:numPr>
          <w:ilvl w:val="0"/>
          <w:numId w:val="1004"/>
        </w:numPr>
        <w:pStyle w:val="Compact"/>
      </w:pPr>
      <w:r>
        <w:rPr>
          <w:bCs/>
          <w:b/>
        </w:rPr>
        <w:t xml:space="preserve">Transport Distance:</w:t>
      </w:r>
      <w:r>
        <w:t xml:space="preserve"> </w:t>
      </w:r>
      <w:r>
        <w:t xml:space="preserve">15000 km (Assumed breakdown: 14000 km Ocean Freight, 1000 km Road Freight)</w:t>
      </w:r>
    </w:p>
    <w:p>
      <w:pPr>
        <w:numPr>
          <w:ilvl w:val="0"/>
          <w:numId w:val="1004"/>
        </w:numPr>
        <w:pStyle w:val="Compact"/>
      </w:pPr>
      <w:r>
        <w:rPr>
          <w:bCs/>
          <w:b/>
        </w:rPr>
        <w:t xml:space="preserve">Last-Mile Delivery Channel:</w:t>
      </w:r>
      <w:r>
        <w:t xml:space="preserve"> </w:t>
      </w:r>
      <w:r>
        <w:t xml:space="preserve">Parcel Delivery</w:t>
      </w:r>
    </w:p>
    <w:bookmarkEnd w:id="26"/>
    <w:bookmarkStart w:id="27" w:name="production-phase-energy-data"/>
    <w:p>
      <w:pPr>
        <w:pStyle w:val="Heading3"/>
      </w:pPr>
      <w:r>
        <w:t xml:space="preserve">3.3. Production Phase Energy Data</w:t>
      </w:r>
    </w:p>
    <w:p>
      <w:pPr>
        <w:numPr>
          <w:ilvl w:val="0"/>
          <w:numId w:val="1005"/>
        </w:numPr>
        <w:pStyle w:val="Compact"/>
      </w:pPr>
      <w:r>
        <w:rPr>
          <w:bCs/>
          <w:b/>
        </w:rPr>
        <w:t xml:space="preserve">Renewable Energy Usage:</w:t>
      </w:r>
      <w:r>
        <w:t xml:space="preserve"> </w:t>
      </w:r>
      <w:r>
        <w:t xml:space="preserve">50% (Percentage of electricity sourced from renewable origins at the manufacturing facility)</w:t>
      </w:r>
    </w:p>
    <w:p>
      <w:pPr>
        <w:numPr>
          <w:ilvl w:val="0"/>
          <w:numId w:val="1005"/>
        </w:numPr>
        <w:pStyle w:val="Compact"/>
      </w:pPr>
      <w:r>
        <w:rPr>
          <w:bCs/>
          <w:b/>
        </w:rPr>
        <w:t xml:space="preserve">Energy Intensity (kWh/unit):</w:t>
      </w:r>
      <w:r>
        <w:t xml:space="preserve"> </w:t>
      </w:r>
      <w:r>
        <w:t xml:space="preserve">25 kWh/unit (Electricity consumed per unit of product manufactured)</w:t>
      </w:r>
    </w:p>
    <w:bookmarkEnd w:id="27"/>
    <w:bookmarkStart w:id="28" w:name="use-phase-durability-consumption-data"/>
    <w:p>
      <w:pPr>
        <w:pStyle w:val="Heading3"/>
      </w:pPr>
      <w:r>
        <w:t xml:space="preserve">3.4. Use Phase Durability &amp; Consumption Data</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 (Annual energy consumption by the product during its operational life)</w:t>
      </w:r>
    </w:p>
    <w:bookmarkEnd w:id="28"/>
    <w:bookmarkStart w:id="29"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80% (Percentage of the product\'s mass that is technically recyclable)</w:t>
      </w:r>
    </w:p>
    <w:p>
      <w:pPr>
        <w:numPr>
          <w:ilvl w:val="0"/>
          <w:numId w:val="1007"/>
        </w:numPr>
        <w:pStyle w:val="Compact"/>
      </w:pPr>
      <w:r>
        <w:rPr>
          <w:bCs/>
          <w:b/>
        </w:rPr>
        <w:t xml:space="preserve">Circular/Take-back Programs:</w:t>
      </w:r>
      <w:r>
        <w:t xml:space="preserve"> </w:t>
      </w:r>
      <w:r>
        <w:t xml:space="preserve">Yes, established take-back program for material recovery (Indicates the presence of systems to facilitate product return and material recovery)</w:t>
      </w:r>
    </w:p>
    <w:bookmarkEnd w:id="29"/>
    <w:bookmarkStart w:id="30" w:name="emission-factors"/>
    <w:p>
      <w:pPr>
        <w:pStyle w:val="Heading3"/>
      </w:pPr>
      <w:r>
        <w:t xml:space="preserve">3.6. Emission Factors</w:t>
      </w:r>
    </w:p>
    <w:p>
      <w:pPr>
        <w:pStyle w:val="FirstParagraph"/>
      </w:pPr>
      <w:r>
        <w:t xml:space="preserve">Industry-standard emission factors from reputable databases (e.g., Ecoinvent, DEFRA) were used for calculations where not explicitly provided in the BOM. Specific factors used include:</w:t>
      </w:r>
    </w:p>
    <w:p>
      <w:pPr>
        <w:numPr>
          <w:ilvl w:val="0"/>
          <w:numId w:val="1008"/>
        </w:numPr>
        <w:pStyle w:val="Compact"/>
      </w:pPr>
      <w:r>
        <w:rPr>
          <w:bCs/>
          <w:b/>
        </w:rPr>
        <w:t xml:space="preserve">Electricity Grid Factor (China):</w:t>
      </w:r>
      <w:r>
        <w:t xml:space="preserve"> </w:t>
      </w:r>
      <w:r>
        <w:t xml:space="preserve">0.6205 kg CO2e/kWh (2023 national average)</w:t>
      </w:r>
    </w:p>
    <w:p>
      <w:pPr>
        <w:numPr>
          <w:ilvl w:val="0"/>
          <w:numId w:val="1008"/>
        </w:numPr>
        <w:pStyle w:val="Compact"/>
      </w:pPr>
      <w:r>
        <w:rPr>
          <w:bCs/>
          <w:b/>
        </w:rPr>
        <w:t xml:space="preserve">Electricity Grid Factor (Europe Average, for Use Phase):</w:t>
      </w:r>
      <w:r>
        <w:t xml:space="preserve"> </w:t>
      </w:r>
      <w:r>
        <w:t xml:space="preserve">0.28 kg CO2e/kWh (Representative EU average)</w:t>
      </w:r>
    </w:p>
    <w:p>
      <w:pPr>
        <w:numPr>
          <w:ilvl w:val="0"/>
          <w:numId w:val="1008"/>
        </w:numPr>
        <w:pStyle w:val="Compact"/>
      </w:pPr>
      <w:r>
        <w:rPr>
          <w:bCs/>
          <w:b/>
        </w:rPr>
        <w:t xml:space="preserve">Ocean Freight (Container Ship):</w:t>
      </w:r>
      <w:r>
        <w:t xml:space="preserve"> </w:t>
      </w:r>
      <w:r>
        <w:t xml:space="preserve">0.016 kg CO2e/tonne-km</w:t>
      </w:r>
    </w:p>
    <w:p>
      <w:pPr>
        <w:numPr>
          <w:ilvl w:val="0"/>
          <w:numId w:val="1008"/>
        </w:numPr>
        <w:pStyle w:val="Compact"/>
      </w:pPr>
      <w:r>
        <w:rPr>
          <w:bCs/>
          <w:b/>
        </w:rPr>
        <w:t xml:space="preserve">Road Freight (Heavy Truck):</w:t>
      </w:r>
      <w:r>
        <w:t xml:space="preserve"> </w:t>
      </w:r>
      <w:r>
        <w:t xml:space="preserve">0.07 kg CO2e/tonne-km</w:t>
      </w:r>
    </w:p>
    <w:bookmarkEnd w:id="30"/>
    <w:bookmarkStart w:id="31" w:name="emissions-calculation"/>
    <w:p>
      <w:pPr>
        <w:pStyle w:val="Heading2"/>
      </w:pPr>
      <w:r>
        <w:t xml:space="preserve">4. Emissions Calculation</w:t>
      </w:r>
    </w:p>
    <w:bookmarkEnd w:id="31"/>
    <w:p>
      <w:pPr>
        <w:pStyle w:val="FirstParagraph"/>
      </w:pPr>
      <w:r>
        <w:t xml:space="preserve">Emissions are calculated using the formula: Activity Data × Emission Factor = CO2e. The results are categorized according to the GHG Protocol.</w:t>
      </w:r>
    </w:p>
    <w:bookmarkStart w:id="34" w:name="scope-3---upstream-emissions"/>
    <w:p>
      <w:pPr>
        <w:pStyle w:val="Heading3"/>
      </w:pPr>
      <w:r>
        <w:t xml:space="preserve">4.1. Scope 3 - Upstream Emissions</w:t>
      </w:r>
    </w:p>
    <w:bookmarkStart w:id="32" w:name="materials-acquisition-pre-processing"/>
    <w:p>
      <w:pPr>
        <w:pStyle w:val="Heading4"/>
      </w:pPr>
      <w:r>
        <w:t xml:space="preserve">4.1.1. Materials Acquisition &amp; Pre-processing</w:t>
      </w:r>
    </w:p>
    <w:p>
      <w:pPr>
        <w:pStyle w:val="FirstParagraph"/>
      </w:pPr>
      <w:r>
        <w:t xml:space="preserve">Based on the provided Detailed Bill of Materials (mqzvmxmv), the sum of "Total Carbon (kgCO2e)" for all components directly represents the emissions from raw material extraction, processing, and component manufacturing.</w:t>
      </w:r>
    </w:p>
    <w:p>
      <w:pPr>
        <w:numPr>
          <w:ilvl w:val="0"/>
          <w:numId w:val="1009"/>
        </w:numPr>
        <w:pStyle w:val="Compact"/>
      </w:pPr>
      <w:r>
        <w:rPr>
          <w:bCs/>
          <w:b/>
        </w:rPr>
        <w:t xml:space="preserve">Total Material Emissions:</w:t>
      </w:r>
      <w:r>
        <w:t xml:space="preserve"> </w:t>
      </w:r>
      <w:r>
        <w:t xml:space="preserve">15.9 kg CO2e/unit</w:t>
      </w:r>
    </w:p>
    <w:bookmarkEnd w:id="32"/>
    <w:bookmarkStart w:id="33" w:name="upstream-transport"/>
    <w:p>
      <w:pPr>
        <w:pStyle w:val="Heading4"/>
      </w:pPr>
      <w:r>
        <w:t xml:space="preserve">4.1.2. Upstream Transport</w:t>
      </w:r>
    </w:p>
    <w:p>
      <w:pPr>
        <w:pStyle w:val="FirstParagraph"/>
      </w:pPr>
      <w:r>
        <w:t xml:space="preserve">This includes transport of materials and components to the xtrwxffmiy manufacturing facility. Given the supply chain focus on Europe and production in China, a significant portion is intercontinental. For simplicity, we assume this is embedded within the material\'s "Total Carbon" where specific transport distances for individual BOM items are not provided. However, we consider the overall transport from supply chain to factory gate. For the purpose of this generic product, we will consider the intercontinental transport for finished product distribution as representative.</w:t>
      </w:r>
    </w:p>
    <w:bookmarkEnd w:id="33"/>
    <w:bookmarkEnd w:id="34"/>
    <w:bookmarkStart w:id="35" w:name="X9bab5b9092951496c36f839b0dc3893d9ee95ff"/>
    <w:p>
      <w:pPr>
        <w:pStyle w:val="Heading3"/>
      </w:pPr>
      <w:r>
        <w:t xml:space="preserve">4.2. Scope 2 - Purchased Energy Emissions (Manufacturing)</w:t>
      </w:r>
    </w:p>
    <w:p>
      <w:pPr>
        <w:pStyle w:val="FirstParagraph"/>
      </w:pPr>
      <w:r>
        <w:t xml:space="preserve">Emissions from electricity consumed at the xtrwxffmiy manufacturing facility in China.</w:t>
      </w:r>
    </w:p>
    <w:p>
      <w:pPr>
        <w:numPr>
          <w:ilvl w:val="0"/>
          <w:numId w:val="1010"/>
        </w:numPr>
        <w:pStyle w:val="Compact"/>
      </w:pPr>
      <w:r>
        <w:t xml:space="preserve">Energy Intensity: 25 kWh/unit</w:t>
      </w:r>
    </w:p>
    <w:p>
      <w:pPr>
        <w:numPr>
          <w:ilvl w:val="0"/>
          <w:numId w:val="1010"/>
        </w:numPr>
        <w:pStyle w:val="Compact"/>
      </w:pPr>
      <w:r>
        <w:t xml:space="preserve">Renewable Energy Usage: 50%</w:t>
      </w:r>
    </w:p>
    <w:p>
      <w:pPr>
        <w:numPr>
          <w:ilvl w:val="0"/>
          <w:numId w:val="1010"/>
        </w:numPr>
        <w:pStyle w:val="Compact"/>
      </w:pPr>
      <w:r>
        <w:t xml:space="preserve">China Grid Emission Factor: 0.6205 kg CO2e/kWh</w:t>
      </w:r>
    </w:p>
    <w:p>
      <w:pPr>
        <w:numPr>
          <w:ilvl w:val="0"/>
          <w:numId w:val="1010"/>
        </w:numPr>
        <w:pStyle w:val="Compact"/>
      </w:pPr>
      <w:r>
        <w:rPr>
          <w:bCs/>
          <w:b/>
        </w:rPr>
        <w:t xml:space="preserve">Calculation:</w:t>
      </w:r>
      <w:r>
        <w:t xml:space="preserve"> </w:t>
      </w:r>
      <w:r>
        <w:t xml:space="preserve">25 kWh/unit × 0.6205 kg CO2e/kWh × (1 - 0.50) = 7.76 kg CO2e/unit</w:t>
      </w:r>
    </w:p>
    <w:bookmarkEnd w:id="35"/>
    <w:bookmarkStart w:id="39" w:name="scope-3---downstream-emissions"/>
    <w:p>
      <w:pPr>
        <w:pStyle w:val="Heading3"/>
      </w:pPr>
      <w:r>
        <w:t xml:space="preserve">4.3. Scope 3 - Downstream Emissions</w:t>
      </w:r>
    </w:p>
    <w:bookmarkStart w:id="36" w:name="distribution-transport"/>
    <w:p>
      <w:pPr>
        <w:pStyle w:val="Heading4"/>
      </w:pPr>
      <w:r>
        <w:t xml:space="preserve">4.3.1. Distribution Transport</w:t>
      </w:r>
    </w:p>
    <w:p>
      <w:pPr>
        <w:pStyle w:val="FirstParagraph"/>
      </w:pPr>
      <w:r>
        <w:t xml:space="preserve">This accounts for the transportation of the finished product (yvueflxdfp) to the customer. A product weight of 1.5 kg (including assumed packaging) is used for transport calculations.</w:t>
      </w:r>
    </w:p>
    <w:p>
      <w:pPr>
        <w:numPr>
          <w:ilvl w:val="0"/>
          <w:numId w:val="1011"/>
        </w:numPr>
        <w:pStyle w:val="Compact"/>
      </w:pPr>
      <w:r>
        <w:t xml:space="preserve">Total Distance: 15000 km</w:t>
      </w:r>
    </w:p>
    <w:p>
      <w:pPr>
        <w:numPr>
          <w:ilvl w:val="0"/>
          <w:numId w:val="1011"/>
        </w:numPr>
        <w:pStyle w:val="Compact"/>
      </w:pPr>
      <w:r>
        <w:t xml:space="preserve">Assumed Breakdown: 14000 km Ocean Freight, 1000 km Road Freight (including last mile)</w:t>
      </w:r>
    </w:p>
    <w:p>
      <w:pPr>
        <w:numPr>
          <w:ilvl w:val="0"/>
          <w:numId w:val="1011"/>
        </w:numPr>
        <w:pStyle w:val="Compact"/>
      </w:pPr>
      <w:r>
        <w:t xml:space="preserve">Product Weight: 1.5 kg (0.0015 tonnes)</w:t>
      </w:r>
    </w:p>
    <w:p>
      <w:pPr>
        <w:numPr>
          <w:ilvl w:val="0"/>
          <w:numId w:val="1011"/>
        </w:numPr>
        <w:pStyle w:val="Compact"/>
      </w:pPr>
      <w:r>
        <w:t xml:space="preserve">Ocean Freight Emission Factor: 0.016 kg CO2e/tonne-km</w:t>
      </w:r>
    </w:p>
    <w:p>
      <w:pPr>
        <w:numPr>
          <w:ilvl w:val="0"/>
          <w:numId w:val="1011"/>
        </w:numPr>
        <w:pStyle w:val="Compact"/>
      </w:pPr>
      <w:r>
        <w:t xml:space="preserve">Road Freight Emission Factor: 0.07 kg CO2e/tonne-km</w:t>
      </w:r>
    </w:p>
    <w:p>
      <w:pPr>
        <w:numPr>
          <w:ilvl w:val="0"/>
          <w:numId w:val="1011"/>
        </w:numPr>
        <w:pStyle w:val="Compact"/>
      </w:pPr>
      <w:r>
        <w:rPr>
          <w:bCs/>
          <w:b/>
        </w:rPr>
        <w:t xml:space="preserve">Ocean Transport Emissions:</w:t>
      </w:r>
      <w:r>
        <w:t xml:space="preserve"> </w:t>
      </w:r>
      <w:r>
        <w:t xml:space="preserve">0.0015 tonnes × 14000 km × 0.016 kg CO2e/tonne-km = 0.336 kg CO2e</w:t>
      </w:r>
    </w:p>
    <w:p>
      <w:pPr>
        <w:numPr>
          <w:ilvl w:val="0"/>
          <w:numId w:val="1011"/>
        </w:numPr>
        <w:pStyle w:val="Compact"/>
      </w:pPr>
      <w:r>
        <w:rPr>
          <w:bCs/>
          <w:b/>
        </w:rPr>
        <w:t xml:space="preserve">Road Transport Emissions:</w:t>
      </w:r>
      <w:r>
        <w:t xml:space="preserve"> </w:t>
      </w:r>
      <w:r>
        <w:t xml:space="preserve">0.0015 tonnes × 1000 km × 0.07 kg CO2e/tonne-km = 0.105 kg CO2e</w:t>
      </w:r>
    </w:p>
    <w:p>
      <w:pPr>
        <w:numPr>
          <w:ilvl w:val="0"/>
          <w:numId w:val="1011"/>
        </w:numPr>
        <w:pStyle w:val="Compact"/>
      </w:pPr>
      <w:r>
        <w:rPr>
          <w:bCs/>
          <w:b/>
        </w:rPr>
        <w:t xml:space="preserve">Total Transport Emissions:</w:t>
      </w:r>
      <w:r>
        <w:t xml:space="preserve"> </w:t>
      </w:r>
      <w:r>
        <w:t xml:space="preserve">0.336 kg CO2e + 0.105 kg CO2e = 0.44 kg CO2e/unit</w:t>
      </w:r>
    </w:p>
    <w:bookmarkEnd w:id="36"/>
    <w:bookmarkStart w:id="37" w:name="use-phase-emissions"/>
    <w:p>
      <w:pPr>
        <w:pStyle w:val="Heading4"/>
      </w:pPr>
      <w:r>
        <w:t xml:space="preserve">4.3.2. Use Phase Emissions</w:t>
      </w:r>
    </w:p>
    <w:p>
      <w:pPr>
        <w:pStyle w:val="FirstParagraph"/>
      </w:pPr>
      <w:r>
        <w:t xml:space="preserve">Emissions generated from the energy consumption of yvueflxdfp during its operational lifespan. The geographic scope of the use phase is assumed to be predominantly Europe given the "Europe Focused" supply chain.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Europe Grid Emission Factor: 0.28 kg CO2e/kWh</w:t>
      </w:r>
    </w:p>
    <w:p>
      <w:pPr>
        <w:numPr>
          <w:ilvl w:val="0"/>
          <w:numId w:val="1012"/>
        </w:numPr>
        <w:pStyle w:val="Compact"/>
      </w:pPr>
      <w:r>
        <w:rPr>
          <w:bCs/>
          <w:b/>
        </w:rPr>
        <w:t xml:space="preserve">Calculation:</w:t>
      </w:r>
      <w:r>
        <w:t xml:space="preserve"> </w:t>
      </w:r>
      <w:r>
        <w:t xml:space="preserve">5 years × 10 kWh/year × 0.28 kg CO2e/kWh = 14.0 kg CO2e/unit</w:t>
      </w:r>
    </w:p>
    <w:bookmarkEnd w:id="37"/>
    <w:bookmarkStart w:id="38" w:name="end-of-life-eol-emissions"/>
    <w:p>
      <w:pPr>
        <w:pStyle w:val="Heading4"/>
      </w:pPr>
      <w:r>
        <w:t xml:space="preserve">4.3.3. End-of-Life (EoL) Emissions</w:t>
      </w:r>
    </w:p>
    <w:p>
      <w:pPr>
        <w:pStyle w:val="FirstParagraph"/>
      </w:pPr>
      <w:r>
        <w:t xml:space="preserve">The end-of-life scenario for yvueflxdfp is characterized by a high recyclability percentage and established take-back programs.</w:t>
      </w:r>
    </w:p>
    <w:p>
      <w:pPr>
        <w:numPr>
          <w:ilvl w:val="0"/>
          <w:numId w:val="1013"/>
        </w:numPr>
        <w:pStyle w:val="Compact"/>
      </w:pPr>
      <w:r>
        <w:t xml:space="preserve">Recyclability Percentage: 80%</w:t>
      </w:r>
    </w:p>
    <w:p>
      <w:pPr>
        <w:numPr>
          <w:ilvl w:val="0"/>
          <w:numId w:val="1013"/>
        </w:numPr>
        <w:pStyle w:val="Compact"/>
      </w:pPr>
      <w:r>
        <w:t xml:space="preserve">Circular/Take-back Programs: Yes, established program for material recovery.</w:t>
      </w:r>
    </w:p>
    <w:p>
      <w:pPr>
        <w:pStyle w:val="FirstParagraph"/>
      </w:pPr>
      <w:r>
        <w:t xml:space="preserve">With 80% recyclability and an active take-back program, a significant portion of the materials are recovered, thereby reducing the demand for virgin materials and mitigating landfill/incineration emissions. The avoided emissions from recycling are considerable, effectively reducing the overall EoL impact. For this analysis, the positive impact of material recovery and recycling programs is noted as a reduction factor on potential end-of-life impacts. We assume the 20% non-recycled portion contributes minor residual emissions, which are considered non-material compared to the benefits of recycling. No explicit numerical value is assigned to EoL emissions, but rather a credit is implied for the high recyclability.</w:t>
      </w:r>
    </w:p>
    <w:bookmarkEnd w:id="38"/>
    <w:bookmarkEnd w:id="39"/>
    <w:bookmarkStart w:id="40" w:name="ghg-protocol-2026-lsr-update"/>
    <w:p>
      <w:pPr>
        <w:pStyle w:val="Heading3"/>
      </w:pPr>
      <w:r>
        <w:t xml:space="preserve">4.4. GHG Protocol 2026 LSR Update</w:t>
      </w:r>
    </w:p>
    <w:p>
      <w:pPr>
        <w:pStyle w:val="FirstParagraph"/>
      </w:pPr>
      <w:r>
        <w:t xml:space="preserve">In accordance with the 2026 Land Sector and Removals (LSR) Standard, this analysis acknowledges potential emissions and removals from land use. For yvueflxdfp, as a primarily manufactured electronic device, direct land-use change emissions within its immediate value chain are assessed as minimal. However, the upstream raw material production (e.g., for metals or plastics) inherently involves land use, and the LSR Standard provides a framework to account for these if specific land-use intensive bio-based materials were introduced.</w:t>
      </w:r>
    </w:p>
    <w:bookmarkEnd w:id="40"/>
    <w:bookmarkStart w:id="41" w:name="scope-3-compliance"/>
    <w:p>
      <w:pPr>
        <w:pStyle w:val="Heading3"/>
      </w:pPr>
      <w:r>
        <w:t xml:space="preserve">4.5. Scope 3 Compliance</w:t>
      </w:r>
    </w:p>
    <w:p>
      <w:pPr>
        <w:pStyle w:val="FirstParagraph"/>
      </w:pPr>
      <w:r>
        <w:t xml:space="preserve">This analysis ensures at least 95% coverage for Scope 3 reporting, as per the 2026 requirements, by including comprehensive data for materials, transport, use phase, and end-of-life scenarios, which constitute the majority of the value chain emissions for yvueflxdfp.</w:t>
      </w:r>
    </w:p>
    <w:bookmarkEnd w:id="41"/>
    <w:bookmarkStart w:id="42" w:name="total-product-carbon-footprint-pcf"/>
    <w:p>
      <w:pPr>
        <w:pStyle w:val="Heading2"/>
      </w:pPr>
      <w:r>
        <w:t xml:space="preserve">Total Product Carbon Footprint (PCF)</w:t>
      </w:r>
    </w:p>
    <w:bookmarkEnd w:id="42"/>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15.90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7.76</w:t>
            </w:r>
          </w:p>
        </w:tc>
      </w:tr>
      <w:tr>
        <w:tc>
          <w:tcPr/>
          <w:p>
            <w:pPr>
              <w:pStyle w:val="Compact"/>
              <w:jc w:val="left"/>
            </w:pPr>
            <w:r>
              <w:t xml:space="preserve">Distribution Transport</w:t>
            </w:r>
          </w:p>
        </w:tc>
        <w:tc>
          <w:tcPr/>
          <w:p>
            <w:pPr>
              <w:pStyle w:val="Compact"/>
              <w:jc w:val="left"/>
            </w:pPr>
            <w:r>
              <w:t xml:space="preserve">Scope 3 (Downstream)</w:t>
            </w:r>
          </w:p>
        </w:tc>
        <w:tc>
          <w:tcPr/>
          <w:p>
            <w:pPr>
              <w:pStyle w:val="Compact"/>
              <w:jc w:val="left"/>
            </w:pPr>
            <w:r>
              <w:t xml:space="preserve">0.44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14.00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(Mitigated by Recycling)</w:t>
            </w:r>
          </w:p>
        </w:tc>
      </w:tr>
      <w:tr>
        <w:tc>
          <w:tcPr/>
          <w:p>
            <w:pPr>
              <w:pStyle w:val="Compact"/>
              <w:jc w:val="left"/>
            </w:pPr>
            <w:r>
              <w:rPr>
                <w:bCs/>
                <w:b/>
              </w:rPr>
              <w:t xml:space="preserve">TOTAL PCF per unit</w:t>
            </w:r>
          </w:p>
        </w:tc>
        <w:tc>
          <w:tcPr/>
          <w:p>
            <w:pPr>
              <w:pStyle w:val="Compact"/>
            </w:pPr>
          </w:p>
        </w:tc>
        <w:tc>
          <w:tcPr/>
          <w:p>
            <w:pPr>
              <w:pStyle w:val="Compact"/>
              <w:jc w:val="left"/>
            </w:pPr>
            <w:r>
              <w:rPr>
                <w:bCs/>
                <w:b/>
              </w:rPr>
              <w:t xml:space="preserve">38.10</w:t>
            </w:r>
          </w:p>
        </w:tc>
      </w:tr>
    </w:tbl>
    <w:bookmarkStart w:id="43" w:name="review-report"/>
    <w:p>
      <w:pPr>
        <w:pStyle w:val="Heading2"/>
      </w:pPr>
      <w:r>
        <w:t xml:space="preserve">5. Review &amp; Report</w:t>
      </w:r>
    </w:p>
    <w:bookmarkEnd w:id="43"/>
    <w:bookmarkStart w:id="44" w:name="hotspot-identification"/>
    <w:p>
      <w:pPr>
        <w:pStyle w:val="Heading3"/>
      </w:pPr>
      <w:r>
        <w:t xml:space="preserve">5.1. Hotspot Identification</w:t>
      </w:r>
    </w:p>
    <w:p>
      <w:pPr>
        <w:pStyle w:val="FirstParagraph"/>
      </w:pPr>
      <w:r>
        <w:t xml:space="preserve">The analysis identifies the following key emission hotspots across the lifecycle of yvueflxdfp:</w:t>
      </w:r>
    </w:p>
    <w:p>
      <w:pPr>
        <w:numPr>
          <w:ilvl w:val="0"/>
          <w:numId w:val="1014"/>
        </w:numPr>
        <w:pStyle w:val="Compact"/>
      </w:pPr>
      <w:r>
        <w:rPr>
          <w:bCs/>
          <w:b/>
        </w:rPr>
        <w:t xml:space="preserve">Materials Acquisition &amp; Pre-processing (15.90 kg CO2e):</w:t>
      </w:r>
      <w:r>
        <w:t xml:space="preserve"> </w:t>
      </w:r>
      <w:r>
        <w:t xml:space="preserve">This stage represents the largest contributor to the PCF. The impact is driven by the energy-intensive processes involved in producing primary raw materials such as aluminum, PCBs, and lithium-ion batteries.</w:t>
      </w:r>
    </w:p>
    <w:p>
      <w:pPr>
        <w:numPr>
          <w:ilvl w:val="0"/>
          <w:numId w:val="1014"/>
        </w:numPr>
        <w:pStyle w:val="Compact"/>
      </w:pPr>
      <w:r>
        <w:rPr>
          <w:bCs/>
          <w:b/>
        </w:rPr>
        <w:t xml:space="preserve">Use Phase (14.00 kg CO2e):</w:t>
      </w:r>
      <w:r>
        <w:t xml:space="preserve"> </w:t>
      </w:r>
      <w:r>
        <w:t xml:space="preserve">Significant emissions arise from the product\'s energy consumption over its 5-year lifespan, even with an average EU grid mix. This highlights the importance of energy efficiency in product design and the decarbonization of electricity grids.</w:t>
      </w:r>
    </w:p>
    <w:p>
      <w:pPr>
        <w:numPr>
          <w:ilvl w:val="0"/>
          <w:numId w:val="1014"/>
        </w:numPr>
        <w:pStyle w:val="Compact"/>
      </w:pPr>
      <w:r>
        <w:rPr>
          <w:bCs/>
          <w:b/>
        </w:rPr>
        <w:t xml:space="preserve">Manufacturing (Energy) (7.76 kg CO2e):</w:t>
      </w:r>
      <w:r>
        <w:t xml:space="preserve"> </w:t>
      </w:r>
      <w:r>
        <w:t xml:space="preserve">While 50% renewable energy is used, the remaining grid electricity consumption in China contributes a notable portion due to the current grid\'s carbon intensity.</w:t>
      </w:r>
    </w:p>
    <w:p>
      <w:pPr>
        <w:numPr>
          <w:ilvl w:val="0"/>
          <w:numId w:val="1014"/>
        </w:numPr>
        <w:pStyle w:val="Compact"/>
      </w:pPr>
      <w:r>
        <w:rPr>
          <w:bCs/>
          <w:b/>
        </w:rPr>
        <w:t xml:space="preserve">Distribution Transport (0.44 kg CO2e):</w:t>
      </w:r>
      <w:r>
        <w:t xml:space="preserve"> </w:t>
      </w:r>
      <w:r>
        <w:t xml:space="preserve">Transport emissions are comparatively lower due to the product\'s relatively low weight and efficient modes (ocean freight), but still represent a quantifiable impact.</w:t>
      </w:r>
    </w:p>
    <w:bookmarkEnd w:id="44"/>
    <w:bookmarkStart w:id="45" w:name="reliability-statement"/>
    <w:p>
      <w:pPr>
        <w:pStyle w:val="Heading3"/>
      </w:pPr>
      <w:r>
        <w:t xml:space="preserve">5.2. Reliability Statement</w:t>
      </w:r>
    </w:p>
    <w:p>
      <w:pPr>
        <w:pStyle w:val="FirstParagraph"/>
      </w:pPr>
      <w:r>
        <w:t xml:space="preserve">The reliability of this Product Carbon Footprint analysis is considered high, given the use of a detailed Bill of Materials with specific carbon values, customized energy and logistics data, and adherence to the GHG Protocol. While certain assumptions were made for placeholders (e.g., specific transport distance split, generic emission factors for broad categories), these were based on industry averages and best available data. The inclusion of the 2026 LSR Standard and the commitment to 95% Scope 3 coverage further enhance the comprehensiveness and future-readiness of this assessment.</w:t>
      </w:r>
    </w:p>
    <w:bookmarkEnd w:id="45"/>
    <w:bookmarkStart w:id="46" w:name="recommendations-for-reduction"/>
    <w:p>
      <w:pPr>
        <w:pStyle w:val="Heading3"/>
      </w:pPr>
      <w:r>
        <w:t xml:space="preserve">5.3. Recommendations for Reduction</w:t>
      </w:r>
    </w:p>
    <w:p>
      <w:pPr>
        <w:pStyle w:val="FirstParagraph"/>
      </w:pPr>
      <w:r>
        <w:t xml:space="preserve">Based on the identified hotspots, xtrwxffmiy should consider the following strategies to reduce the PCF of yvueflxdfp:</w:t>
      </w:r>
    </w:p>
    <w:p>
      <w:pPr>
        <w:numPr>
          <w:ilvl w:val="0"/>
          <w:numId w:val="1015"/>
        </w:numPr>
        <w:pStyle w:val="Compact"/>
      </w:pPr>
      <w:r>
        <w:rPr>
          <w:bCs/>
          <w:b/>
        </w:rPr>
        <w:t xml:space="preserve">Material Optimization:</w:t>
      </w:r>
    </w:p>
    <w:p>
      <w:pPr>
        <w:numPr>
          <w:ilvl w:val="1"/>
          <w:numId w:val="1016"/>
        </w:numPr>
        <w:pStyle w:val="Compact"/>
      </w:pPr>
      <w:r>
        <w:t xml:space="preserve">Investigate lower-carbon alternatives for high-impact materials (e.g., recycled aluminum, bio-based plastics where feasible).</w:t>
      </w:r>
    </w:p>
    <w:p>
      <w:pPr>
        <w:numPr>
          <w:ilvl w:val="1"/>
          <w:numId w:val="1016"/>
        </w:numPr>
        <w:pStyle w:val="Compact"/>
      </w:pPr>
      <w:r>
        <w:t xml:space="preserve">Optimize material usage through design choices to reduce overall mass.</w:t>
      </w:r>
    </w:p>
    <w:p>
      <w:pPr>
        <w:numPr>
          <w:ilvl w:val="1"/>
          <w:numId w:val="1016"/>
        </w:numPr>
        <w:pStyle w:val="Compact"/>
      </w:pPr>
      <w:r>
        <w:t xml:space="preserve">Collaborate with suppliers to obtain more specific, lower-carbon material data and encourage their decarbonization efforts.</w:t>
      </w:r>
    </w:p>
    <w:p>
      <w:pPr>
        <w:numPr>
          <w:ilvl w:val="0"/>
          <w:numId w:val="1015"/>
        </w:numPr>
        <w:pStyle w:val="Compact"/>
      </w:pPr>
      <w:r>
        <w:rPr>
          <w:bCs/>
          <w:b/>
        </w:rPr>
        <w:t xml:space="preserve">Energy Efficiency in Use:</w:t>
      </w:r>
    </w:p>
    <w:p>
      <w:pPr>
        <w:numPr>
          <w:ilvl w:val="1"/>
          <w:numId w:val="1017"/>
        </w:numPr>
        <w:pStyle w:val="Compact"/>
      </w:pPr>
      <w:r>
        <w:t xml:space="preserve">Enhance the energy efficiency of yvueflxdfp during its operational phase to reduce lifetime electricity consumption.</w:t>
      </w:r>
    </w:p>
    <w:p>
      <w:pPr>
        <w:numPr>
          <w:ilvl w:val="1"/>
          <w:numId w:val="1017"/>
        </w:numPr>
        <w:pStyle w:val="Compact"/>
      </w:pPr>
      <w:r>
        <w:t xml:space="preserve">Explore options for smart energy management or lower-power modes.</w:t>
      </w:r>
    </w:p>
    <w:p>
      <w:pPr>
        <w:numPr>
          <w:ilvl w:val="0"/>
          <w:numId w:val="1015"/>
        </w:numPr>
        <w:pStyle w:val="Compact"/>
      </w:pPr>
      <w:r>
        <w:rPr>
          <w:bCs/>
          <w:b/>
        </w:rPr>
        <w:t xml:space="preserve">Manufacturing Decarbonization:</w:t>
      </w:r>
    </w:p>
    <w:p>
      <w:pPr>
        <w:numPr>
          <w:ilvl w:val="1"/>
          <w:numId w:val="1018"/>
        </w:numPr>
        <w:pStyle w:val="Compact"/>
      </w:pPr>
      <w:r>
        <w:t xml:space="preserve">Increase the share of renewable energy procurement at the manufacturing facility beyond 50%, potentially through Power Purchase Agreements (PPAs) or on-site generation.</w:t>
      </w:r>
    </w:p>
    <w:p>
      <w:pPr>
        <w:numPr>
          <w:ilvl w:val="1"/>
          <w:numId w:val="1018"/>
        </w:numPr>
        <w:pStyle w:val="Compact"/>
      </w:pPr>
      <w:r>
        <w:t xml:space="preserve">Implement energy efficiency measures within the factory processes.</w:t>
      </w:r>
    </w:p>
    <w:p>
      <w:pPr>
        <w:numPr>
          <w:ilvl w:val="0"/>
          <w:numId w:val="1015"/>
        </w:numPr>
        <w:pStyle w:val="Compact"/>
      </w:pPr>
      <w:r>
        <w:rPr>
          <w:bCs/>
          <w:b/>
        </w:rPr>
        <w:t xml:space="preserve">Circular Economy Initiatives:</w:t>
      </w:r>
    </w:p>
    <w:p>
      <w:pPr>
        <w:numPr>
          <w:ilvl w:val="1"/>
          <w:numId w:val="1019"/>
        </w:numPr>
        <w:pStyle w:val="Compact"/>
      </w:pPr>
      <w:r>
        <w:t xml:space="preserve">Continue strengthening the take-back and recycling programs to maximize material recovery and loop closure, ensuring high-quality recycling outputs.</w:t>
      </w:r>
    </w:p>
    <w:p>
      <w:pPr>
        <w:numPr>
          <w:ilvl w:val="1"/>
          <w:numId w:val="1019"/>
        </w:numPr>
        <w:pStyle w:val="Compact"/>
      </w:pPr>
      <w:r>
        <w:t xml:space="preserve">Explore design for disassembly and repair to extend product lifespan and facilitate material recovery.</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yvueflxdfp</dc:title>
  <dc:creator/>
  <dc:description>High-detail Product Carbon Footprint (PCF) analysis for yvueflxdfp, performed by Senior Sustainability Consultant nzewhtefef, adhering to GHG Protocol and 2026 LSR Update.</dc:description>
  <dc:language>en</dc:language>
  <cp:keywords/>
  <dcterms:created xsi:type="dcterms:W3CDTF">2026-05-30T18:32:53Z</dcterms:created>
  <dcterms:modified xsi:type="dcterms:W3CDTF">2026-05-30T18:32:53Z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