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yvgijlwjfs</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For Product:</w:t>
      </w:r>
      <w:r>
        <w:t xml:space="preserve"> </w:t>
      </w:r>
      <w:r>
        <w:rPr>
          <w:bCs/>
          <w:b/>
        </w:rPr>
        <w:t xml:space="preserve">yvgijlwjfs</w:t>
      </w:r>
    </w:p>
    <w:p>
      <w:pPr>
        <w:pStyle w:val="BodyText"/>
      </w:pPr>
      <w:r>
        <w:t xml:space="preserve">Company Name:</w:t>
      </w:r>
      <w:r>
        <w:t xml:space="preserve"> </w:t>
      </w:r>
      <w:r>
        <w:rPr>
          <w:bCs/>
          <w:b/>
        </w:rPr>
        <w:t xml:space="preserve">sltrisxsst</w:t>
      </w:r>
    </w:p>
    <w:p>
      <w:pPr>
        <w:pStyle w:val="BodyText"/>
      </w:pPr>
      <w:r>
        <w:t xml:space="preserve">Accounting Standard:</w:t>
      </w:r>
      <w:r>
        <w:t xml:space="preserve"> </w:t>
      </w:r>
      <w:r>
        <w:rPr>
          <w:bCs/>
          <w:b/>
        </w:rPr>
        <w:t xml:space="preserve">GHG Protocol</w:t>
      </w:r>
    </w:p>
    <w:p>
      <w:pPr>
        <w:pStyle w:val="BodyText"/>
      </w:pPr>
      <w:r>
        <w:t xml:space="preserve">Prepared by:</w:t>
      </w:r>
    </w:p>
    <w:p>
      <w:pPr>
        <w:pStyle w:val="BodyText"/>
      </w:pPr>
      <w:r>
        <w:rPr>
          <w:bCs/>
          <w:b/>
        </w:rPr>
        <w:t xml:space="preserve">tvtsixxdhr</w:t>
      </w:r>
    </w:p>
    <w:p>
      <w:pPr>
        <w:pStyle w:val="BodyText"/>
      </w:pPr>
      <w:r>
        <w:t xml:space="preserve">Senior Sustainability Consultant specializing in GHG Protocol</w:t>
      </w:r>
    </w:p>
    <w:p>
      <w:pPr>
        <w:pStyle w:val="BodyText"/>
      </w:pPr>
      <w:r>
        <w:t xml:space="preserve">Disclaimer: This report is generated based on available data and industry standards, utilizing provided parameters and illustrative emission factors where specific data for placeholders was not provided in a parseable format. The accuracy of the report is contingent upon the completeness and precision of the input data.</w:t>
      </w:r>
    </w:p>
    <w:bookmarkEnd w:id="20"/>
    <w:bookmarkStart w:id="21"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yvgijlwjfs</w:t>
      </w:r>
    </w:p>
    <w:p>
      <w:pPr>
        <w:pStyle w:val="BodyText"/>
      </w:pPr>
      <w:r>
        <w:rPr>
          <w:bCs/>
          <w:b/>
        </w:rPr>
        <w:t xml:space="preserve">Company:</w:t>
      </w:r>
      <w:r>
        <w:t xml:space="preserve"> </w:t>
      </w:r>
      <w:r>
        <w:t xml:space="preserve">sltrisxsst</w:t>
      </w:r>
    </w:p>
    <w:p>
      <w:pPr>
        <w:pStyle w:val="BodyText"/>
      </w:pPr>
      <w:r>
        <w:rPr>
          <w:bCs/>
          <w:b/>
        </w:rPr>
        <w:t xml:space="preserve">Senior Sustainability Consultant:</w:t>
      </w:r>
      <w:r>
        <w:t xml:space="preserve"> </w:t>
      </w:r>
      <w:r>
        <w:t xml:space="preserve">tvtsixxdhr</w:t>
      </w:r>
    </w:p>
    <w:p>
      <w:pPr>
        <w:pStyle w:val="BodyText"/>
      </w:pPr>
      <w:r>
        <w:rPr>
          <w:bCs/>
          <w:b/>
        </w:rPr>
        <w:t xml:space="preserve">Generated Date:</w:t>
      </w:r>
      <w:r>
        <w:t xml:space="preserve"> </w:t>
      </w:r>
      <w:r>
        <w:t xml:space="preserve">May 18,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yvgijlwjfs, manufactured by sltrisxsst. The assessment adheres strictly to the GHG Protocol, incorporating recent updates such as the Land Sector and Removals (LSR) Standard and the proposed 95% coverage requirement for Scope 3 emissions. The analysis covers the entire lifecycle of the product, from material acquisition through manufacturing, distribution, use, and end-of-life, providing a comprehensive understanding of its environmental impact in terms of CO2 equivalent (CO2e) emissions. Key hotspots are identified to guide sltrisxsst in targeted decarbonization efforts.</w:t>
      </w:r>
    </w:p>
    <w:bookmarkEnd w:id="22"/>
    <w:p>
      <w:r>
        <w:pict>
          <v:rect style="width:0;height:1.5pt" o:hralign="center" o:hrstd="t" o:hr="t"/>
        </w:pict>
      </w:r>
    </w:p>
    <w:bookmarkStart w:id="27" w:name="methodology-and-scope-definition"/>
    <w:p>
      <w:pPr>
        <w:pStyle w:val="Heading2"/>
      </w:pPr>
      <w:r>
        <w:t xml:space="preserve">1. Methodology and Scope Definition</w:t>
      </w:r>
    </w:p>
    <w:p>
      <w:pPr>
        <w:pStyle w:val="FirstParagraph"/>
      </w:pPr>
      <w:r>
        <w:t xml:space="preserve">This Product Carbon Footprint (PCF) analysis follows the five-step methodology recommended by the GHG Protocol Product Standard, ensuring a robust and transparent assessment of greenhouse gas emissions associated with product yvgijlwjfs.</w:t>
      </w:r>
    </w:p>
    <w:bookmarkStart w:id="23" w:name="defined-scope"/>
    <w:p>
      <w:pPr>
        <w:pStyle w:val="Heading3"/>
      </w:pPr>
      <w:r>
        <w:t xml:space="preserve">1.1. Defined Scope</w:t>
      </w:r>
    </w:p>
    <w:p>
      <w:pPr>
        <w:numPr>
          <w:ilvl w:val="0"/>
          <w:numId w:val="1001"/>
        </w:numPr>
        <w:pStyle w:val="Compact"/>
      </w:pPr>
      <w:r>
        <w:rPr>
          <w:bCs/>
          <w:b/>
        </w:rPr>
        <w:t xml:space="preserve">Functional Unit:</w:t>
      </w:r>
      <w:r>
        <w:t xml:space="preserve"> </w:t>
      </w:r>
      <w:r>
        <w:t xml:space="preserve">1.0 unit of yvgijlwjfs. This defines the quantified performance of the product system for use as a reference unit.</w:t>
      </w:r>
    </w:p>
    <w:p>
      <w:pPr>
        <w:numPr>
          <w:ilvl w:val="0"/>
          <w:numId w:val="1001"/>
        </w:numPr>
        <w:pStyle w:val="Compact"/>
      </w:pPr>
      <w:r>
        <w:rPr>
          <w:bCs/>
          <w:b/>
        </w:rPr>
        <w:t xml:space="preserve">System Boundary:</w:t>
      </w:r>
      <w:r>
        <w:t xml:space="preserve"> </w:t>
      </w:r>
      <w:r>
        <w:t xml:space="preserve">factory_gate. This "cradle-to-gate" boundary focuses on emissions from raw material extraction, processing, and manufacturing up to the point the product leaves the factory. However, for a complete PCF as requested, the analysis extends to "cradle-to-grave" encompassing transport, use-phase, and end-of-life, categorizing them under relevant GHG Protocol Scope 3 categories.</w:t>
      </w:r>
    </w:p>
    <w:p>
      <w:pPr>
        <w:numPr>
          <w:ilvl w:val="0"/>
          <w:numId w:val="1001"/>
        </w:numPr>
        <w:pStyle w:val="Compact"/>
      </w:pPr>
      <w:r>
        <w:rPr>
          <w:bCs/>
          <w:b/>
        </w:rPr>
        <w:t xml:space="preserve">Geographic Scope:</w:t>
      </w:r>
      <w:r>
        <w:t xml:space="preserve"> </w:t>
      </w:r>
      <w:r>
        <w:t xml:space="preserve">Final Production Country: China, Supply Chain Focus: Europe Focused. This considers emission factors specific to China for manufacturing and a European focus for supply chain logistics and use phase.</w:t>
      </w:r>
    </w:p>
    <w:p>
      <w:pPr>
        <w:numPr>
          <w:ilvl w:val="0"/>
          <w:numId w:val="1001"/>
        </w:numPr>
        <w:pStyle w:val="Compact"/>
      </w:pPr>
      <w:r>
        <w:rPr>
          <w:bCs/>
          <w:b/>
        </w:rPr>
        <w:t xml:space="preserve">Allocation:</w:t>
      </w:r>
      <w:r>
        <w:t xml:space="preserve"> </w:t>
      </w:r>
      <w:r>
        <w:t xml:space="preserve">Emissions are allocated directly to the functional unit based on mass and energy consumption throughout its lifecycle.</w:t>
      </w:r>
    </w:p>
    <w:bookmarkEnd w:id="23"/>
    <w:bookmarkStart w:id="24" w:name="accounting-standard"/>
    <w:p>
      <w:pPr>
        <w:pStyle w:val="Heading3"/>
      </w:pPr>
      <w:r>
        <w:t xml:space="preserve">1.2. Accounting Standard</w:t>
      </w:r>
    </w:p>
    <w:p>
      <w:pPr>
        <w:pStyle w:val="FirstParagraph"/>
      </w:pPr>
      <w:r>
        <w:t xml:space="preserve">This report explicitly adheres to the</w:t>
      </w:r>
      <w:r>
        <w:t xml:space="preserve"> </w:t>
      </w:r>
      <w:r>
        <w:rPr>
          <w:bCs/>
          <w:b/>
        </w:rPr>
        <w:t xml:space="preserve">GHG Protocol Product Life Cycle Accounting and Reporting Standard</w:t>
      </w:r>
      <w:r>
        <w:t xml:space="preserve">. Emissions are categorized into Scope 1 (direct emissions), Scope 2 (indirect emissions from purchased energy), and Scope 3 (all other indirect emissions in the value chain) as defined by the GHG Protocol.</w:t>
      </w:r>
    </w:p>
    <w:p>
      <w:pPr>
        <w:numPr>
          <w:ilvl w:val="0"/>
          <w:numId w:val="1002"/>
        </w:numPr>
        <w:pStyle w:val="Compact"/>
      </w:pPr>
      <w:r>
        <w:rPr>
          <w:bCs/>
          <w:b/>
        </w:rPr>
        <w:t xml:space="preserve">Scope 1:</w:t>
      </w:r>
      <w:r>
        <w:t xml:space="preserve"> </w:t>
      </w:r>
      <w:r>
        <w:t xml:space="preserve">Direct emissions from sources owned or controlled by the company (e.g., fuel combustion in company vehicles or facilities).</w:t>
      </w:r>
    </w:p>
    <w:p>
      <w:pPr>
        <w:numPr>
          <w:ilvl w:val="0"/>
          <w:numId w:val="1002"/>
        </w:numPr>
        <w:pStyle w:val="Compact"/>
      </w:pPr>
      <w:r>
        <w:rPr>
          <w:bCs/>
          <w:b/>
        </w:rPr>
        <w:t xml:space="preserve">Scope 2:</w:t>
      </w:r>
      <w:r>
        <w:t xml:space="preserve"> </w:t>
      </w:r>
      <w:r>
        <w:t xml:space="preserve">Indirect emissions from the generation of purchased or acquired electricity, steam, heating, or cooling consumed by the company.</w:t>
      </w:r>
    </w:p>
    <w:p>
      <w:pPr>
        <w:numPr>
          <w:ilvl w:val="0"/>
          <w:numId w:val="1002"/>
        </w:numPr>
        <w:pStyle w:val="Compact"/>
      </w:pPr>
      <w:r>
        <w:rPr>
          <w:bCs/>
          <w:b/>
        </w:rPr>
        <w:t xml:space="preserve">Scope 3:</w:t>
      </w:r>
      <w:r>
        <w:t xml:space="preserve"> </w:t>
      </w:r>
      <w:r>
        <w:t xml:space="preserve">All other indirect emissions (not included in Scope 2) that occur in the value chain of the company, both upstream and downstream. This includes purchased goods and services, transportation, product use, and end-of-life treatment.</w:t>
      </w:r>
    </w:p>
    <w:bookmarkEnd w:id="24"/>
    <w:bookmarkStart w:id="25" w:name="X504f4a86e01fdcfa46a4589bb1b5e0cfaad8629"/>
    <w:p>
      <w:pPr>
        <w:pStyle w:val="Heading3"/>
      </w:pPr>
      <w:r>
        <w:t xml:space="preserve">1.3. 2026 Land Sector and Removals (LSR) Standard Update</w:t>
      </w:r>
    </w:p>
    <w:p>
      <w:pPr>
        <w:pStyle w:val="FirstParagraph"/>
      </w:pPr>
      <w:r>
        <w:t xml:space="preserve">The GHG Protocol\'s Land Sector and Removals (LSR) Standard, released on January 30, 2026, is applied for land use and carbon removals. This standard provides a framework for companies to quantify, report, and track land emissions and CO2 removals, particularly critical for businesses with significant land-based activities or those purchasing products from agricultural lands. The LSR Standard is effective January 1, 2027, with accompanying guidance expected in Q2 2026, offering more practical implementation directions.</w:t>
      </w:r>
    </w:p>
    <w:bookmarkEnd w:id="25"/>
    <w:bookmarkStart w:id="26" w:name="scope-3-compliance-2026-requirements"/>
    <w:p>
      <w:pPr>
        <w:pStyle w:val="Heading3"/>
      </w:pPr>
      <w:r>
        <w:t xml:space="preserve">1.4. Scope 3 Compliance (2026 Requirements)</w:t>
      </w:r>
    </w:p>
    <w:p>
      <w:pPr>
        <w:pStyle w:val="FirstParagraph"/>
      </w:pPr>
      <w:r>
        <w:t xml:space="preserve">As per the proposed 2026 GHG Protocol revisions to the Scope 3 Standard, this analysis ensures at least 95% coverage for required Scope 3 emissions. The aim is to achieve a comprehensive, consistent, and transparent inventory by setting a standardized and verifiable threshold for inclusions, moving away from broad disclosure language. This necessitates systematic value chain mapping and documented materiality decisions for any exclusions.</w:t>
      </w:r>
    </w:p>
    <w:bookmarkEnd w:id="26"/>
    <w:bookmarkEnd w:id="27"/>
    <w:p>
      <w:r>
        <w:pict>
          <v:rect style="width:0;height:1.5pt" o:hralign="center" o:hrstd="t" o:hr="t"/>
        </w:pict>
      </w:r>
    </w:p>
    <w:bookmarkStart w:id="33" w:name="X2bf58de29a7a901ba932b9a6a779f7f86e80a1b"/>
    <w:p>
      <w:pPr>
        <w:pStyle w:val="Heading2"/>
      </w:pPr>
      <w:r>
        <w:t xml:space="preserve">2. Lifecycle Mapping and Data Collection (LCI Inventory)</w:t>
      </w:r>
    </w:p>
    <w:p>
      <w:pPr>
        <w:pStyle w:val="FirstParagraph"/>
      </w:pPr>
      <w:r>
        <w:t xml:space="preserve">This section outlines the stages of the product\'s lifecycle and the data collected for each, including primary and secondary data points. For the purpose of this illustrative report, placeholder values are used for specific parameters provided as unparseable strings, with an explicit note that actual calculations would utilize the precise data from sltrisxsst.</w:t>
      </w:r>
    </w:p>
    <w:bookmarkStart w:id="28" w:name="X92918362e87d03706c2060426ad3954b357396e"/>
    <w:p>
      <w:pPr>
        <w:pStyle w:val="Heading3"/>
      </w:pPr>
      <w:r>
        <w:t xml:space="preserve">2.1. Detailed Bill of Materials (BOM) - Material Acquisition &amp; Pre-processing (Scope 3, Category 1)</w:t>
      </w:r>
    </w:p>
    <w:p>
      <w:pPr>
        <w:pStyle w:val="FirstParagraph"/>
      </w:pPr>
      <w:r>
        <w:t xml:space="preserve">The detailed Bill of Materials (BOM) for yvgijlwjfs, provided as</w:t>
      </w:r>
      <w:r>
        <w:t xml:space="preserve"> </w:t>
      </w:r>
      <w:r>
        <w:rPr>
          <w:rStyle w:val="VerbatimChar"/>
        </w:rPr>
        <w:t xml:space="preserve">gyplmlfv</w:t>
      </w:r>
      <w:r>
        <w:t xml:space="preserve">, is crucial for accurate material impact calculation. For this report, we use an illustrative BOM that follows the specified format. Calculations are based on industry-standard emission factors (e.g., from Ecoinvent/DEFRA) for material production in China.</w:t>
      </w:r>
    </w:p>
    <w:p>
      <w:pPr>
        <w:pStyle w:val="BodyText"/>
      </w:pPr>
      <w:r>
        <w:rPr>
          <w:bCs/>
          <w:b/>
        </w:rPr>
        <w:t xml:space="preserve">Illustrative Detailed Bill of Materials (BOM) for yvgijlwjfs: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Extrusion, China</w:t>
            </w:r>
          </w:p>
        </w:tc>
        <w:tc>
          <w:tcPr/>
          <w:p>
            <w:pPr>
              <w:pStyle w:val="Compact"/>
              <w:jc w:val="left"/>
            </w:pPr>
            <w:r>
              <w:t xml:space="preserve">0.50</w:t>
            </w:r>
          </w:p>
        </w:tc>
        <w:tc>
          <w:tcPr/>
          <w:p>
            <w:pPr>
              <w:pStyle w:val="Compact"/>
              <w:jc w:val="left"/>
            </w:pPr>
            <w:r>
              <w:t xml:space="preserve">kg</w:t>
            </w:r>
          </w:p>
        </w:tc>
        <w:tc>
          <w:tcPr/>
          <w:p>
            <w:pPr>
              <w:pStyle w:val="Compact"/>
              <w:jc w:val="left"/>
            </w:pPr>
            <w:r>
              <w:t xml:space="preserve">10.00</w:t>
            </w:r>
          </w:p>
        </w:tc>
        <w:tc>
          <w:tcPr/>
          <w:p>
            <w:pPr>
              <w:pStyle w:val="Compact"/>
              <w:jc w:val="left"/>
            </w:pPr>
            <w:r>
              <w:t xml:space="preserve">5.00</w:t>
            </w:r>
          </w:p>
        </w:tc>
      </w:tr>
      <w:tr>
        <w:tc>
          <w:tcPr/>
          <w:p>
            <w:pPr>
              <w:pStyle w:val="Compact"/>
              <w:jc w:val="left"/>
            </w:pPr>
            <w:r>
              <w:t xml:space="preserve">M02</w:t>
            </w:r>
          </w:p>
        </w:tc>
        <w:tc>
          <w:tcPr/>
          <w:p>
            <w:pPr>
              <w:pStyle w:val="Compact"/>
              <w:jc w:val="left"/>
            </w:pPr>
            <w:r>
              <w:t xml:space="preserve">ABS Plastic</w:t>
            </w:r>
          </w:p>
        </w:tc>
        <w:tc>
          <w:tcPr/>
          <w:p>
            <w:pPr>
              <w:pStyle w:val="Compact"/>
              <w:jc w:val="left"/>
            </w:pPr>
            <w:r>
              <w:t xml:space="preserve">Plastics</w:t>
            </w:r>
          </w:p>
        </w:tc>
        <w:tc>
          <w:tcPr/>
          <w:p>
            <w:pPr>
              <w:pStyle w:val="Compact"/>
              <w:jc w:val="left"/>
            </w:pPr>
            <w:r>
              <w:t xml:space="preserve">Injection, China</w:t>
            </w:r>
          </w:p>
        </w:tc>
        <w:tc>
          <w:tcPr/>
          <w:p>
            <w:pPr>
              <w:pStyle w:val="Compact"/>
              <w:jc w:val="left"/>
            </w:pPr>
            <w:r>
              <w:t xml:space="preserve">0.20</w:t>
            </w:r>
          </w:p>
        </w:tc>
        <w:tc>
          <w:tcPr/>
          <w:p>
            <w:pPr>
              <w:pStyle w:val="Compact"/>
              <w:jc w:val="left"/>
            </w:pPr>
            <w:r>
              <w:t xml:space="preserve">kg</w:t>
            </w:r>
          </w:p>
        </w:tc>
        <w:tc>
          <w:tcPr/>
          <w:p>
            <w:pPr>
              <w:pStyle w:val="Compact"/>
              <w:jc w:val="left"/>
            </w:pPr>
            <w:r>
              <w:t xml:space="preserve">3.00</w:t>
            </w:r>
          </w:p>
        </w:tc>
        <w:tc>
          <w:tcPr/>
          <w:p>
            <w:pPr>
              <w:pStyle w:val="Compact"/>
              <w:jc w:val="left"/>
            </w:pPr>
            <w:r>
              <w:t xml:space="preserve">0.60</w:t>
            </w:r>
          </w:p>
        </w:tc>
      </w:tr>
      <w:tr>
        <w:tc>
          <w:tcPr/>
          <w:p>
            <w:pPr>
              <w:pStyle w:val="Compact"/>
              <w:jc w:val="left"/>
            </w:pPr>
            <w:r>
              <w:t xml:space="preserve">M03</w:t>
            </w:r>
          </w:p>
        </w:tc>
        <w:tc>
          <w:tcPr/>
          <w:p>
            <w:pPr>
              <w:pStyle w:val="Compact"/>
              <w:jc w:val="left"/>
            </w:pPr>
            <w:r>
              <w:t xml:space="preserve">Steel Screws</w:t>
            </w:r>
          </w:p>
        </w:tc>
        <w:tc>
          <w:tcPr/>
          <w:p>
            <w:pPr>
              <w:pStyle w:val="Compact"/>
              <w:jc w:val="left"/>
            </w:pPr>
            <w:r>
              <w:t xml:space="preserve">Metals</w:t>
            </w:r>
          </w:p>
        </w:tc>
        <w:tc>
          <w:tcPr/>
          <w:p>
            <w:pPr>
              <w:pStyle w:val="Compact"/>
              <w:jc w:val="left"/>
            </w:pPr>
            <w:r>
              <w:t xml:space="preserve">Machining, China</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w:t>
            </w:r>
          </w:p>
        </w:tc>
        <w:tc>
          <w:tcPr/>
          <w:p>
            <w:pPr>
              <w:pStyle w:val="Compact"/>
              <w:jc w:val="left"/>
            </w:pPr>
            <w:r>
              <w:t xml:space="preserve">0.10</w:t>
            </w:r>
          </w:p>
        </w:tc>
      </w:tr>
      <w:tr>
        <w:tc>
          <w:tcPr/>
          <w:p>
            <w:pPr>
              <w:pStyle w:val="Compact"/>
              <w:jc w:val="left"/>
            </w:pPr>
            <w:r>
              <w:t xml:space="preserve">M04</w:t>
            </w:r>
          </w:p>
        </w:tc>
        <w:tc>
          <w:tcPr/>
          <w:p>
            <w:pPr>
              <w:pStyle w:val="Compact"/>
              <w:jc w:val="left"/>
            </w:pPr>
            <w:r>
              <w:t xml:space="preserve">Electronic PCB</w:t>
            </w:r>
          </w:p>
        </w:tc>
        <w:tc>
          <w:tcPr/>
          <w:p>
            <w:pPr>
              <w:pStyle w:val="Compact"/>
              <w:jc w:val="left"/>
            </w:pPr>
            <w:r>
              <w:t xml:space="preserve">Electronics</w:t>
            </w:r>
          </w:p>
        </w:tc>
        <w:tc>
          <w:tcPr/>
          <w:p>
            <w:pPr>
              <w:pStyle w:val="Compact"/>
              <w:jc w:val="left"/>
            </w:pPr>
            <w:r>
              <w:t xml:space="preserve">Assembly, China</w:t>
            </w:r>
          </w:p>
        </w:tc>
        <w:tc>
          <w:tcPr/>
          <w:p>
            <w:pPr>
              <w:pStyle w:val="Compact"/>
              <w:jc w:val="left"/>
            </w:pPr>
            <w:r>
              <w:t xml:space="preserve">0.10</w:t>
            </w:r>
          </w:p>
        </w:tc>
        <w:tc>
          <w:tcPr/>
          <w:p>
            <w:pPr>
              <w:pStyle w:val="Compact"/>
              <w:jc w:val="left"/>
            </w:pPr>
            <w:r>
              <w:t xml:space="preserve">unit</w:t>
            </w:r>
          </w:p>
        </w:tc>
        <w:tc>
          <w:tcPr/>
          <w:p>
            <w:pPr>
              <w:pStyle w:val="Compact"/>
              <w:jc w:val="left"/>
            </w:pPr>
            <w:r>
              <w:t xml:space="preserve">25.00</w:t>
            </w:r>
          </w:p>
        </w:tc>
        <w:tc>
          <w:tcPr/>
          <w:p>
            <w:pPr>
              <w:pStyle w:val="Compact"/>
              <w:jc w:val="left"/>
            </w:pPr>
            <w:r>
              <w:t xml:space="preserve">2.50</w:t>
            </w:r>
          </w:p>
        </w:tc>
      </w:tr>
      <w:tr>
        <w:tc>
          <w:tcPr>
            <w:gridSpan w:val="6"/>
          </w:tcPr>
          <w:p>
            <w:pPr>
              <w:pStyle w:val="Compact"/>
              <w:jc w:val="left"/>
            </w:pPr>
            <w:r>
              <w:rPr>
                <w:bCs/>
                <w:b/>
              </w:rPr>
              <w:t xml:space="preserve">Total Material Mass:</w:t>
            </w:r>
          </w:p>
        </w:tc>
        <w:tc>
          <w:tcPr>
            <w:gridSpan w:val="2"/>
          </w:tcPr>
          <w:p>
            <w:pPr>
              <w:pStyle w:val="Compact"/>
              <w:jc w:val="left"/>
            </w:pPr>
            <w:r>
              <w:rPr>
                <w:bCs/>
                <w:b/>
              </w:rPr>
              <w:t xml:space="preserve">0.85 kg</w:t>
            </w:r>
          </w:p>
        </w:tc>
      </w:tr>
      <w:tr>
        <w:tc>
          <w:tcPr>
            <w:gridSpan w:val="6"/>
          </w:tcPr>
          <w:p>
            <w:pPr>
              <w:pStyle w:val="Compact"/>
              <w:jc w:val="left"/>
            </w:pPr>
            <w:r>
              <w:rPr>
                <w:bCs/>
                <w:b/>
              </w:rPr>
              <w:t xml:space="preserve">Total Carbon from Materials:</w:t>
            </w:r>
          </w:p>
        </w:tc>
        <w:tc>
          <w:tcPr>
            <w:gridSpan w:val="2"/>
          </w:tcPr>
          <w:p>
            <w:pPr>
              <w:pStyle w:val="Compact"/>
              <w:jc w:val="left"/>
            </w:pPr>
            <w:r>
              <w:rPr>
                <w:bCs/>
                <w:b/>
              </w:rPr>
              <w:t xml:space="preserve">8.20 kgCO2e</w:t>
            </w:r>
          </w:p>
        </w:tc>
      </w:tr>
    </w:tbl>
    <w:p>
      <w:pPr>
        <w:pStyle w:val="BodyText"/>
      </w:pPr>
      <w:r>
        <w:rPr>
          <w:iCs/>
          <w:i/>
        </w:rPr>
        <w:t xml:space="preserve">Note: The above BOM is illustrative. The actual calculation would use the specific data provided in</w:t>
      </w:r>
      <w:r>
        <w:rPr>
          <w:iCs/>
          <w:i/>
        </w:rPr>
        <w:t xml:space="preserve"> </w:t>
      </w:r>
      <w:r>
        <w:rPr>
          <w:rStyle w:val="VerbatimChar"/>
          <w:iCs/>
          <w:i/>
        </w:rPr>
        <w:t xml:space="preserve">gyplmlfv</w:t>
      </w:r>
      <w:r>
        <w:rPr>
          <w:iCs/>
          <w:i/>
        </w:rPr>
        <w:t xml:space="preserve">. Emission factors for materials are sourced from recognized databases such as Ecoinvent and DEFRA, reflecting regional specificities where possible.</w:t>
      </w:r>
    </w:p>
    <w:bookmarkEnd w:id="28"/>
    <w:bookmarkStart w:id="29" w:name="Xd977a0344fc460ff3f83e5876a10ff1f8d8f845"/>
    <w:p>
      <w:pPr>
        <w:pStyle w:val="Heading3"/>
      </w:pPr>
      <w:r>
        <w:t xml:space="preserve">2.2. Manufacturing Phase (Scope 3, Category 1 - Purchased Goods and Services)</w:t>
      </w:r>
    </w:p>
    <w:p>
      <w:pPr>
        <w:pStyle w:val="FirstParagraph"/>
      </w:pPr>
      <w:r>
        <w:t xml:space="preserve">The manufacturing process occurs in China. Energy consumption data, including renewable energy usage, is critical here. For product yvgijlwjfs, the following parameters are used:</w:t>
      </w:r>
    </w:p>
    <w:p>
      <w:pPr>
        <w:numPr>
          <w:ilvl w:val="0"/>
          <w:numId w:val="1003"/>
        </w:numPr>
        <w:pStyle w:val="Compact"/>
      </w:pPr>
      <w:r>
        <w:rPr>
          <w:bCs/>
          <w:b/>
        </w:rPr>
        <w:t xml:space="preserve">Energy Intensity (kWh/unit):</w:t>
      </w:r>
      <w:r>
        <w:t xml:space="preserve"> </w:t>
      </w:r>
      <w:r>
        <w:rPr>
          <w:rStyle w:val="VerbatimChar"/>
        </w:rPr>
        <w:t xml:space="preserve">gsonmwfdow</w:t>
      </w:r>
      <w:r>
        <w:t xml:space="preserve"> </w:t>
      </w:r>
      <w:r>
        <w:t xml:space="preserve">(Illustrative: 15 kWh/unit)</w:t>
      </w:r>
    </w:p>
    <w:p>
      <w:pPr>
        <w:numPr>
          <w:ilvl w:val="0"/>
          <w:numId w:val="1003"/>
        </w:numPr>
        <w:pStyle w:val="Compact"/>
      </w:pPr>
      <w:r>
        <w:rPr>
          <w:bCs/>
          <w:b/>
        </w:rPr>
        <w:t xml:space="preserve">Renewable Energy Usage:</w:t>
      </w:r>
      <w:r>
        <w:t xml:space="preserve"> </w:t>
      </w:r>
      <w:r>
        <w:rPr>
          <w:rStyle w:val="VerbatimChar"/>
        </w:rPr>
        <w:t xml:space="preserve">dxprmowuue</w:t>
      </w:r>
      <w:r>
        <w:t xml:space="preserve"> </w:t>
      </w:r>
      <w:r>
        <w:t xml:space="preserve">(Illustrative: 50%)</w:t>
      </w:r>
    </w:p>
    <w:p>
      <w:pPr>
        <w:numPr>
          <w:ilvl w:val="0"/>
          <w:numId w:val="1003"/>
        </w:numPr>
        <w:pStyle w:val="Compact"/>
      </w:pPr>
      <w:r>
        <w:rPr>
          <w:bCs/>
          <w:b/>
        </w:rPr>
        <w:t xml:space="preserve">Non-Renewable Energy Usage:</w:t>
      </w:r>
      <w:r>
        <w:t xml:space="preserve"> </w:t>
      </w:r>
      <w:r>
        <w:t xml:space="preserve">(100% -</w:t>
      </w:r>
      <w:r>
        <w:t xml:space="preserve"> </w:t>
      </w:r>
      <w:r>
        <w:rPr>
          <w:rStyle w:val="VerbatimChar"/>
        </w:rPr>
        <w:t xml:space="preserve">dxprmowuue</w:t>
      </w:r>
      <w:r>
        <w:t xml:space="preserve">) (Illustrative: 50%)</w:t>
      </w:r>
    </w:p>
    <w:p>
      <w:pPr>
        <w:numPr>
          <w:ilvl w:val="0"/>
          <w:numId w:val="1003"/>
        </w:numPr>
        <w:pStyle w:val="Compact"/>
      </w:pPr>
      <w:r>
        <w:rPr>
          <w:bCs/>
          <w:b/>
        </w:rPr>
        <w:t xml:space="preserve">Emission Factor for China Grid Electricity:</w:t>
      </w:r>
      <w:r>
        <w:t xml:space="preserve"> </w:t>
      </w:r>
      <w:r>
        <w:t xml:space="preserve">0.577 kg CO2e/kWh. This factor is based on the average carbon footprint of electricity generated in China.</w:t>
      </w:r>
    </w:p>
    <w:p>
      <w:pPr>
        <w:numPr>
          <w:ilvl w:val="0"/>
          <w:numId w:val="1003"/>
        </w:numPr>
        <w:pStyle w:val="Compact"/>
      </w:pPr>
      <w:r>
        <w:rPr>
          <w:bCs/>
          <w:b/>
        </w:rPr>
        <w:t xml:space="preserve">Emission Factor for Renewable Electricity (China, residual):</w:t>
      </w:r>
      <w:r>
        <w:t xml:space="preserve"> </w:t>
      </w:r>
      <w:r>
        <w:t xml:space="preserve">0.05 kg CO2e/kWh (Illustrative, accounting for any upstream or lifecycle emissions).</w:t>
      </w:r>
    </w:p>
    <w:bookmarkEnd w:id="29"/>
    <w:bookmarkStart w:id="30" w:name="X5bdebb82e4a8e3d1a62469c53131ca6f7aac4e9"/>
    <w:p>
      <w:pPr>
        <w:pStyle w:val="Heading3"/>
      </w:pPr>
      <w:r>
        <w:t xml:space="preserve">2.3. Transport and Distribution (Scope 3, Category 4 &amp; 9)</w:t>
      </w:r>
    </w:p>
    <w:p>
      <w:pPr>
        <w:pStyle w:val="FirstParagraph"/>
      </w:pPr>
      <w:r>
        <w:t xml:space="preserve">Logistics data is incorporated into the supply chain analysis, covering both upstream (raw materials to factory) and downstream (factory to customer) movements.</w:t>
      </w:r>
    </w:p>
    <w:p>
      <w:pPr>
        <w:numPr>
          <w:ilvl w:val="0"/>
          <w:numId w:val="1004"/>
        </w:numPr>
        <w:pStyle w:val="Compact"/>
      </w:pPr>
      <w:r>
        <w:rPr>
          <w:bCs/>
          <w:b/>
        </w:rPr>
        <w:t xml:space="preserve">Primary Transport Mode (Illustrative for</w:t>
      </w:r>
      <w:r>
        <w:rPr>
          <w:bCs/>
          <w:b/>
        </w:rPr>
        <w:t xml:space="preserve"> </w:t>
      </w:r>
      <w:r>
        <w:rPr>
          <w:rStyle w:val="VerbatimChar"/>
          <w:bCs/>
          <w:b/>
        </w:rPr>
        <w:t xml:space="preserve">Select Mode</w:t>
      </w:r>
      <w:r>
        <w:rPr>
          <w:bCs/>
          <w:b/>
        </w:rPr>
        <w:t xml:space="preserve">):</w:t>
      </w:r>
      <w:r>
        <w:t xml:space="preserve"> </w:t>
      </w:r>
      <w:r>
        <w:t xml:space="preserve">Ocean Freight</w:t>
      </w:r>
    </w:p>
    <w:p>
      <w:pPr>
        <w:numPr>
          <w:ilvl w:val="0"/>
          <w:numId w:val="1004"/>
        </w:numPr>
        <w:pStyle w:val="Compact"/>
      </w:pPr>
      <w:r>
        <w:rPr>
          <w:bCs/>
          <w:b/>
        </w:rPr>
        <w:t xml:space="preserve">Primary Transport Distance (Illustrative for</w:t>
      </w:r>
      <w:r>
        <w:rPr>
          <w:bCs/>
          <w:b/>
        </w:rPr>
        <w:t xml:space="preserve"> </w:t>
      </w:r>
      <w:r>
        <w:rPr>
          <w:rStyle w:val="VerbatimChar"/>
          <w:bCs/>
          <w:b/>
        </w:rPr>
        <w:t xml:space="preserve">ffnqjunwtu</w:t>
      </w:r>
      <w:r>
        <w:rPr>
          <w:bCs/>
          <w:b/>
        </w:rPr>
        <w:t xml:space="preserve">):</w:t>
      </w:r>
      <w:r>
        <w:t xml:space="preserve"> </w:t>
      </w:r>
      <w:r>
        <w:t xml:space="preserve">15,000 km</w:t>
      </w:r>
    </w:p>
    <w:p>
      <w:pPr>
        <w:numPr>
          <w:ilvl w:val="0"/>
          <w:numId w:val="1004"/>
        </w:numPr>
        <w:pStyle w:val="Compact"/>
      </w:pPr>
      <w:r>
        <w:rPr>
          <w:bCs/>
          <w:b/>
        </w:rPr>
        <w:t xml:space="preserve">Primary Transport Emission Factor (Ocean Freight):</w:t>
      </w:r>
      <w:r>
        <w:t xml:space="preserve"> </w:t>
      </w:r>
      <w:r>
        <w:t xml:space="preserve">0.016142 kgCO2e/tonne-km.</w:t>
      </w:r>
    </w:p>
    <w:p>
      <w:pPr>
        <w:numPr>
          <w:ilvl w:val="0"/>
          <w:numId w:val="1004"/>
        </w:numPr>
        <w:pStyle w:val="Compact"/>
      </w:pPr>
      <w:r>
        <w:rPr>
          <w:bCs/>
          <w:b/>
        </w:rPr>
        <w:t xml:space="preserve">Last-Mile Delivery Channel (Illustrative for</w:t>
      </w:r>
      <w:r>
        <w:rPr>
          <w:bCs/>
          <w:b/>
        </w:rPr>
        <w:t xml:space="preserve"> </w:t>
      </w:r>
      <w:r>
        <w:rPr>
          <w:rStyle w:val="VerbatimChar"/>
          <w:bCs/>
          <w:b/>
        </w:rPr>
        <w:t xml:space="preserve">Delivery Type</w:t>
      </w:r>
      <w:r>
        <w:rPr>
          <w:bCs/>
          <w:b/>
        </w:rPr>
        <w:t xml:space="preserve">):</w:t>
      </w:r>
      <w:r>
        <w:t xml:space="preserve"> </w:t>
      </w:r>
      <w:r>
        <w:t xml:space="preserve">Standard Parcel Delivery (Truck)</w:t>
      </w:r>
    </w:p>
    <w:p>
      <w:pPr>
        <w:numPr>
          <w:ilvl w:val="0"/>
          <w:numId w:val="1004"/>
        </w:numPr>
        <w:pStyle w:val="Compact"/>
      </w:pPr>
      <w:r>
        <w:rPr>
          <w:bCs/>
          <w:b/>
        </w:rPr>
        <w:t xml:space="preserve">Last-Mile Delivery Distance (Illustrative, part of</w:t>
      </w:r>
      <w:r>
        <w:rPr>
          <w:bCs/>
          <w:b/>
        </w:rPr>
        <w:t xml:space="preserve"> </w:t>
      </w:r>
      <w:r>
        <w:rPr>
          <w:rStyle w:val="VerbatimChar"/>
          <w:bCs/>
          <w:b/>
        </w:rPr>
        <w:t xml:space="preserve">ffnqjunwtu</w:t>
      </w:r>
      <w:r>
        <w:rPr>
          <w:bCs/>
          <w:b/>
        </w:rPr>
        <w:t xml:space="preserve">):</w:t>
      </w:r>
      <w:r>
        <w:t xml:space="preserve"> </w:t>
      </w:r>
      <w:r>
        <w:t xml:space="preserve">500 km</w:t>
      </w:r>
    </w:p>
    <w:p>
      <w:pPr>
        <w:numPr>
          <w:ilvl w:val="0"/>
          <w:numId w:val="1004"/>
        </w:numPr>
        <w:pStyle w:val="Compact"/>
      </w:pPr>
      <w:r>
        <w:rPr>
          <w:bCs/>
          <w:b/>
        </w:rPr>
        <w:t xml:space="preserve">Last-Mile Delivery Emission Factor (Heavy Goods Vehicle / Truck):</w:t>
      </w:r>
      <w:r>
        <w:t xml:space="preserve"> </w:t>
      </w:r>
      <w:r>
        <w:t xml:space="preserve">0.07392 kgCO2e/tonne-km (based on general industry averages for freight trucks).</w:t>
      </w:r>
    </w:p>
    <w:p>
      <w:pPr>
        <w:numPr>
          <w:ilvl w:val="0"/>
          <w:numId w:val="1004"/>
        </w:numPr>
        <w:pStyle w:val="Compact"/>
      </w:pPr>
      <w:r>
        <w:rPr>
          <w:bCs/>
          <w:b/>
        </w:rPr>
        <w:t xml:space="preserve">Product Unit Weight:</w:t>
      </w:r>
      <w:r>
        <w:t xml:space="preserve"> </w:t>
      </w:r>
      <w:r>
        <w:t xml:space="preserve">1.0 kg (assuming the final product weight is approximately the total BOM mass for transport calculations).</w:t>
      </w:r>
    </w:p>
    <w:bookmarkEnd w:id="30"/>
    <w:bookmarkStart w:id="31" w:name="use-phase-scope-3-category-11"/>
    <w:p>
      <w:pPr>
        <w:pStyle w:val="Heading3"/>
      </w:pPr>
      <w:r>
        <w:t xml:space="preserve">2.4. Use Phase (Scope 3, Category 11)</w:t>
      </w:r>
    </w:p>
    <w:p>
      <w:pPr>
        <w:pStyle w:val="FirstParagraph"/>
      </w:pPr>
      <w:r>
        <w:t xml:space="preserve">The \'Use Phase\' calculation utilizes specific durability and consumption data.</w:t>
      </w:r>
    </w:p>
    <w:p>
      <w:pPr>
        <w:numPr>
          <w:ilvl w:val="0"/>
          <w:numId w:val="1005"/>
        </w:numPr>
        <w:pStyle w:val="Compact"/>
      </w:pPr>
      <w:r>
        <w:rPr>
          <w:bCs/>
          <w:b/>
        </w:rPr>
        <w:t xml:space="preserve">Product Lifespan (Illustrative for</w:t>
      </w:r>
      <w:r>
        <w:rPr>
          <w:bCs/>
          <w:b/>
        </w:rPr>
        <w:t xml:space="preserve"> </w:t>
      </w:r>
      <w:r>
        <w:rPr>
          <w:rStyle w:val="VerbatimChar"/>
          <w:bCs/>
          <w:b/>
        </w:rPr>
        <w:t xml:space="preserve">gihsefmdeg</w:t>
      </w:r>
      <w:r>
        <w:rPr>
          <w:bCs/>
          <w:b/>
        </w:rPr>
        <w:t xml:space="preserve">):</w:t>
      </w:r>
      <w:r>
        <w:t xml:space="preserve"> </w:t>
      </w:r>
      <w:r>
        <w:t xml:space="preserve">7 years</w:t>
      </w:r>
    </w:p>
    <w:p>
      <w:pPr>
        <w:numPr>
          <w:ilvl w:val="0"/>
          <w:numId w:val="1005"/>
        </w:numPr>
        <w:pStyle w:val="Compact"/>
      </w:pPr>
      <w:r>
        <w:rPr>
          <w:bCs/>
          <w:b/>
        </w:rPr>
        <w:t xml:space="preserve">Energy Consumption in Use (Illustrative for</w:t>
      </w:r>
      <w:r>
        <w:rPr>
          <w:bCs/>
          <w:b/>
        </w:rPr>
        <w:t xml:space="preserve"> </w:t>
      </w:r>
      <w:r>
        <w:rPr>
          <w:rStyle w:val="VerbatimChar"/>
          <w:bCs/>
          <w:b/>
        </w:rPr>
        <w:t xml:space="preserve">qkzezoirrr</w:t>
      </w:r>
      <w:r>
        <w:rPr>
          <w:bCs/>
          <w:b/>
        </w:rPr>
        <w:t xml:space="preserve">):</w:t>
      </w:r>
      <w:r>
        <w:t xml:space="preserve"> </w:t>
      </w:r>
      <w:r>
        <w:t xml:space="preserve">20 kWh/year</w:t>
      </w:r>
    </w:p>
    <w:p>
      <w:pPr>
        <w:numPr>
          <w:ilvl w:val="0"/>
          <w:numId w:val="1005"/>
        </w:numPr>
        <w:pStyle w:val="Compact"/>
      </w:pPr>
      <w:r>
        <w:rPr>
          <w:bCs/>
          <w:b/>
        </w:rPr>
        <w:t xml:space="preserve">Emission Factor for User\'s Grid Electricity (Europe Focused):</w:t>
      </w:r>
      <w:r>
        <w:t xml:space="preserve"> </w:t>
      </w:r>
      <w:r>
        <w:t xml:space="preserve">0.25 kg CO2e/kWh (Illustrative average for Europe).</w:t>
      </w:r>
    </w:p>
    <w:bookmarkEnd w:id="31"/>
    <w:bookmarkStart w:id="32" w:name="X3261202975bfccb1283f2bd5fabef2dfdbe9c90"/>
    <w:p>
      <w:pPr>
        <w:pStyle w:val="Heading3"/>
      </w:pPr>
      <w:r>
        <w:t xml:space="preserve">2.5. End-of-Life (EoL) Scenarios (Scope 3, Category 12)</w:t>
      </w:r>
    </w:p>
    <w:p>
      <w:pPr>
        <w:pStyle w:val="FirstParagraph"/>
      </w:pPr>
      <w:r>
        <w:t xml:space="preserve">End-of-Life scenarios reflect circular economy impacts.</w:t>
      </w:r>
    </w:p>
    <w:p>
      <w:pPr>
        <w:numPr>
          <w:ilvl w:val="0"/>
          <w:numId w:val="1006"/>
        </w:numPr>
        <w:pStyle w:val="Compact"/>
      </w:pPr>
      <w:r>
        <w:rPr>
          <w:bCs/>
          <w:b/>
        </w:rPr>
        <w:t xml:space="preserve">Recyclability Percentage (Illustrative for</w:t>
      </w:r>
      <w:r>
        <w:rPr>
          <w:bCs/>
          <w:b/>
        </w:rPr>
        <w:t xml:space="preserve"> </w:t>
      </w:r>
      <w:r>
        <w:rPr>
          <w:rStyle w:val="VerbatimChar"/>
          <w:bCs/>
          <w:b/>
        </w:rPr>
        <w:t xml:space="preserve">pkpttpkgem</w:t>
      </w:r>
      <w:r>
        <w:rPr>
          <w:bCs/>
          <w:b/>
        </w:rPr>
        <w:t xml:space="preserve">):</w:t>
      </w:r>
      <w:r>
        <w:t xml:space="preserve"> </w:t>
      </w:r>
      <w:r>
        <w:t xml:space="preserve">75%</w:t>
      </w:r>
    </w:p>
    <w:p>
      <w:pPr>
        <w:numPr>
          <w:ilvl w:val="0"/>
          <w:numId w:val="1006"/>
        </w:numPr>
        <w:pStyle w:val="Compact"/>
      </w:pPr>
      <w:r>
        <w:rPr>
          <w:bCs/>
          <w:b/>
        </w:rPr>
        <w:t xml:space="preserve">Circular/Take-back Programs (Illustrative for</w:t>
      </w:r>
      <w:r>
        <w:rPr>
          <w:bCs/>
          <w:b/>
        </w:rPr>
        <w:t xml:space="preserve"> </w:t>
      </w:r>
      <w:r>
        <w:rPr>
          <w:rStyle w:val="VerbatimChar"/>
          <w:bCs/>
          <w:b/>
        </w:rPr>
        <w:t xml:space="preserve">jqvjtoiujw</w:t>
      </w:r>
      <w:r>
        <w:rPr>
          <w:bCs/>
          <w:b/>
        </w:rPr>
        <w:t xml:space="preserve">):</w:t>
      </w:r>
      <w:r>
        <w:t xml:space="preserve"> </w:t>
      </w:r>
      <w:r>
        <w:t xml:space="preserve">Yes, Product Take-back Program. This program aims to maximize recycling and responsible disposal.</w:t>
      </w:r>
    </w:p>
    <w:p>
      <w:pPr>
        <w:numPr>
          <w:ilvl w:val="0"/>
          <w:numId w:val="1006"/>
        </w:numPr>
        <w:pStyle w:val="Compact"/>
      </w:pPr>
      <w:r>
        <w:rPr>
          <w:bCs/>
          <w:b/>
        </w:rPr>
        <w:t xml:space="preserve">Emission Factor for Recycling Credit (Illustrative, e.g., for metals/plastics avoided virgin production):</w:t>
      </w:r>
      <w:r>
        <w:t xml:space="preserve"> </w:t>
      </w:r>
      <w:r>
        <w:t xml:space="preserve">-1.5 kg CO2e/kg</w:t>
      </w:r>
    </w:p>
    <w:p>
      <w:pPr>
        <w:numPr>
          <w:ilvl w:val="0"/>
          <w:numId w:val="1006"/>
        </w:numPr>
        <w:pStyle w:val="Compact"/>
      </w:pPr>
      <w:r>
        <w:rPr>
          <w:bCs/>
          <w:b/>
        </w:rPr>
        <w:t xml:space="preserve">Emission Factor for Landfilling (for non-recycled waste):</w:t>
      </w:r>
      <w:r>
        <w:t xml:space="preserve"> </w:t>
      </w:r>
      <w:r>
        <w:t xml:space="preserve">0.5 kg CO2e/kg</w:t>
      </w:r>
    </w:p>
    <w:bookmarkEnd w:id="32"/>
    <w:bookmarkEnd w:id="33"/>
    <w:p>
      <w:r>
        <w:pict>
          <v:rect style="width:0;height:1.5pt" o:hralign="center" o:hrstd="t" o:hr="t"/>
        </w:pict>
      </w:r>
    </w:p>
    <w:bookmarkStart w:id="42" w:name="calculation-of-emissions"/>
    <w:p>
      <w:pPr>
        <w:pStyle w:val="Heading2"/>
      </w:pPr>
      <w:r>
        <w:t xml:space="preserve">3. Calculation of Emissions</w:t>
      </w:r>
    </w:p>
    <w:p>
      <w:pPr>
        <w:pStyle w:val="FirstParagraph"/>
      </w:pPr>
      <w:r>
        <w:t xml:space="preserve">Emissions are calculated for each lifecycle stage using the formula: Activity Data × Emission Factor = CO2e. All calculations are in kilograms of CO2 equivalent (kgCO2e).</w:t>
      </w:r>
    </w:p>
    <w:bookmarkStart w:id="34" w:name="X1ad9a0c33edfd883cba8e7eb5d0853356860b8a"/>
    <w:p>
      <w:pPr>
        <w:pStyle w:val="Heading3"/>
      </w:pPr>
      <w:r>
        <w:t xml:space="preserve">3.1. Material Acquisition &amp; Pre-processing (Scope 3, Category 1)</w:t>
      </w:r>
    </w:p>
    <w:p>
      <w:pPr>
        <w:pStyle w:val="FirstParagraph"/>
      </w:pPr>
      <w:r>
        <w:t xml:space="preserve">Based on the illustrative BOM:</w:t>
      </w:r>
    </w:p>
    <w:p>
      <w:pPr>
        <w:pStyle w:val="BodyText"/>
      </w:pPr>
      <w:r>
        <w:t xml:space="preserve">Total Carbon from Materials = 8.20 kgCO2e</w:t>
      </w:r>
    </w:p>
    <w:bookmarkEnd w:id="34"/>
    <w:bookmarkStart w:id="35" w:name="X18e00605f13bd88d8c8397258b8ae2b7fc1f768"/>
    <w:p>
      <w:pPr>
        <w:pStyle w:val="Heading3"/>
      </w:pPr>
      <w:r>
        <w:t xml:space="preserve">3.2. Manufacturing (Scope 3, Category 1 - Energy Consumption)</w:t>
      </w:r>
    </w:p>
    <w:p>
      <w:pPr>
        <w:numPr>
          <w:ilvl w:val="0"/>
          <w:numId w:val="1007"/>
        </w:numPr>
        <w:pStyle w:val="Compact"/>
      </w:pPr>
      <w:r>
        <w:t xml:space="preserve">Total Energy for Production: 15 kWh/unit</w:t>
      </w:r>
    </w:p>
    <w:p>
      <w:pPr>
        <w:numPr>
          <w:ilvl w:val="0"/>
          <w:numId w:val="1007"/>
        </w:numPr>
        <w:pStyle w:val="Compact"/>
      </w:pPr>
      <w:r>
        <w:t xml:space="preserve">Renewable Energy Portion: 15 kWh * 50% = 7.5 kWh</w:t>
      </w:r>
    </w:p>
    <w:p>
      <w:pPr>
        <w:numPr>
          <w:ilvl w:val="0"/>
          <w:numId w:val="1007"/>
        </w:numPr>
        <w:pStyle w:val="Compact"/>
      </w:pPr>
      <w:r>
        <w:t xml:space="preserve">Non-Renewable Energy Portion: 15 kWh * 50% = 7.5 kWh</w:t>
      </w:r>
    </w:p>
    <w:p>
      <w:pPr>
        <w:numPr>
          <w:ilvl w:val="0"/>
          <w:numId w:val="1007"/>
        </w:numPr>
        <w:pStyle w:val="Compact"/>
      </w:pPr>
      <w:r>
        <w:t xml:space="preserve">Emissions from Non-Renewable Energy: 7.5 kWh * 0.577 kgCO2e/kWh = 4.3275 kgCO2e</w:t>
      </w:r>
    </w:p>
    <w:p>
      <w:pPr>
        <w:numPr>
          <w:ilvl w:val="0"/>
          <w:numId w:val="1007"/>
        </w:numPr>
        <w:pStyle w:val="Compact"/>
      </w:pPr>
      <w:r>
        <w:t xml:space="preserve">Emissions from Renewable Energy: 7.5 kWh * 0.05 kgCO2e/kWh = 0.375 kgCO2e</w:t>
      </w:r>
    </w:p>
    <w:p>
      <w:pPr>
        <w:numPr>
          <w:ilvl w:val="0"/>
          <w:numId w:val="1007"/>
        </w:numPr>
        <w:pStyle w:val="Compact"/>
      </w:pPr>
      <w:r>
        <w:rPr>
          <w:bCs/>
          <w:b/>
        </w:rPr>
        <w:t xml:space="preserve">Total Manufacturing Energy Emissions:</w:t>
      </w:r>
      <w:r>
        <w:t xml:space="preserve"> </w:t>
      </w:r>
      <w:r>
        <w:t xml:space="preserve">4.3275 + 0.375 =</w:t>
      </w:r>
      <w:r>
        <w:t xml:space="preserve"> </w:t>
      </w:r>
      <w:r>
        <w:rPr>
          <w:bCs/>
          <w:b/>
        </w:rPr>
        <w:t xml:space="preserve">4.7025 kgCO2e</w:t>
      </w:r>
    </w:p>
    <w:bookmarkEnd w:id="35"/>
    <w:bookmarkStart w:id="38" w:name="Xc8c56395ff76fbafc222fe9ed9d237ddeed738a"/>
    <w:p>
      <w:pPr>
        <w:pStyle w:val="Heading3"/>
      </w:pPr>
      <w:r>
        <w:t xml:space="preserve">3.3. Transport and Distribution (Scope 3, Category 4 &amp; 9)</w:t>
      </w:r>
    </w:p>
    <w:bookmarkStart w:id="36" w:name="primary-transport-upstream"/>
    <w:p>
      <w:pPr>
        <w:pStyle w:val="Heading4"/>
      </w:pPr>
      <w:r>
        <w:t xml:space="preserve">3.3.1. Primary Transport (Upstream)</w:t>
      </w:r>
    </w:p>
    <w:p>
      <w:pPr>
        <w:numPr>
          <w:ilvl w:val="0"/>
          <w:numId w:val="1008"/>
        </w:numPr>
        <w:pStyle w:val="Compact"/>
      </w:pPr>
      <w:r>
        <w:t xml:space="preserve">Total Material Weight: 0.85 kg</w:t>
      </w:r>
    </w:p>
    <w:p>
      <w:pPr>
        <w:numPr>
          <w:ilvl w:val="0"/>
          <w:numId w:val="1008"/>
        </w:numPr>
        <w:pStyle w:val="Compact"/>
      </w:pPr>
      <w:r>
        <w:t xml:space="preserve">Primary Transport Distance: 15,000 km</w:t>
      </w:r>
    </w:p>
    <w:p>
      <w:pPr>
        <w:numPr>
          <w:ilvl w:val="0"/>
          <w:numId w:val="1008"/>
        </w:numPr>
        <w:pStyle w:val="Compact"/>
      </w:pPr>
      <w:r>
        <w:t xml:space="preserve">Emission Factor (Ocean Freight): 0.016142 kgCO2e/tonne-km</w:t>
      </w:r>
    </w:p>
    <w:p>
      <w:pPr>
        <w:numPr>
          <w:ilvl w:val="0"/>
          <w:numId w:val="1008"/>
        </w:numPr>
        <w:pStyle w:val="Compact"/>
      </w:pPr>
      <w:r>
        <w:rPr>
          <w:bCs/>
          <w:b/>
        </w:rPr>
        <w:t xml:space="preserve">Emissions:</w:t>
      </w:r>
      <w:r>
        <w:t xml:space="preserve"> </w:t>
      </w:r>
      <w:r>
        <w:t xml:space="preserve">(0.85 kg / 1000) tonne * 15,000 km * 0.016142 kgCO2e/tonne-km =</w:t>
      </w:r>
      <w:r>
        <w:t xml:space="preserve"> </w:t>
      </w:r>
      <w:r>
        <w:rPr>
          <w:bCs/>
          <w:b/>
        </w:rPr>
        <w:t xml:space="preserve">0.2058 kgCO2e</w:t>
      </w:r>
    </w:p>
    <w:bookmarkEnd w:id="36"/>
    <w:bookmarkStart w:id="37" w:name="last-mile-delivery-downstream"/>
    <w:p>
      <w:pPr>
        <w:pStyle w:val="Heading4"/>
      </w:pPr>
      <w:r>
        <w:t xml:space="preserve">3.3.2. Last-Mile Delivery (Downstream)</w:t>
      </w:r>
    </w:p>
    <w:p>
      <w:pPr>
        <w:numPr>
          <w:ilvl w:val="0"/>
          <w:numId w:val="1009"/>
        </w:numPr>
        <w:pStyle w:val="Compact"/>
      </w:pPr>
      <w:r>
        <w:t xml:space="preserve">Product Unit Weight: 1.0 kg</w:t>
      </w:r>
    </w:p>
    <w:p>
      <w:pPr>
        <w:numPr>
          <w:ilvl w:val="0"/>
          <w:numId w:val="1009"/>
        </w:numPr>
        <w:pStyle w:val="Compact"/>
      </w:pPr>
      <w:r>
        <w:t xml:space="preserve">Last-Mile Delivery Distance: 500 km</w:t>
      </w:r>
    </w:p>
    <w:p>
      <w:pPr>
        <w:numPr>
          <w:ilvl w:val="0"/>
          <w:numId w:val="1009"/>
        </w:numPr>
        <w:pStyle w:val="Compact"/>
      </w:pPr>
      <w:r>
        <w:t xml:space="preserve">Emission Factor (Heavy Goods Vehicle / Truck): 0.07392 kgCO2e/tonne-km</w:t>
      </w:r>
    </w:p>
    <w:p>
      <w:pPr>
        <w:numPr>
          <w:ilvl w:val="0"/>
          <w:numId w:val="1009"/>
        </w:numPr>
        <w:pStyle w:val="Compact"/>
      </w:pPr>
      <w:r>
        <w:rPr>
          <w:bCs/>
          <w:b/>
        </w:rPr>
        <w:t xml:space="preserve">Emissions:</w:t>
      </w:r>
      <w:r>
        <w:t xml:space="preserve"> </w:t>
      </w:r>
      <w:r>
        <w:t xml:space="preserve">(1.0 kg / 1000) tonne * 500 km * 0.07392 kgCO2e/tonne-km =</w:t>
      </w:r>
      <w:r>
        <w:t xml:space="preserve"> </w:t>
      </w:r>
      <w:r>
        <w:rPr>
          <w:bCs/>
          <w:b/>
        </w:rPr>
        <w:t xml:space="preserve">0.0370 kgCO2e</w:t>
      </w:r>
    </w:p>
    <w:p>
      <w:pPr>
        <w:pStyle w:val="FirstParagraph"/>
      </w:pPr>
      <w:r>
        <w:rPr>
          <w:bCs/>
          <w:b/>
        </w:rPr>
        <w:t xml:space="preserve">Total Transport Emissions:</w:t>
      </w:r>
      <w:r>
        <w:t xml:space="preserve"> </w:t>
      </w:r>
      <w:r>
        <w:t xml:space="preserve">0.2058 + 0.0370 =</w:t>
      </w:r>
      <w:r>
        <w:t xml:space="preserve"> </w:t>
      </w:r>
      <w:r>
        <w:rPr>
          <w:bCs/>
          <w:b/>
        </w:rPr>
        <w:t xml:space="preserve">0.2428 kgCO2e</w:t>
      </w:r>
    </w:p>
    <w:bookmarkEnd w:id="37"/>
    <w:bookmarkEnd w:id="38"/>
    <w:bookmarkStart w:id="39" w:name="use-phase-scope-3-category-11-1"/>
    <w:p>
      <w:pPr>
        <w:pStyle w:val="Heading3"/>
      </w:pPr>
      <w:r>
        <w:t xml:space="preserve">3.4. Use Phase (Scope 3, Category 11)</w:t>
      </w:r>
    </w:p>
    <w:p>
      <w:pPr>
        <w:numPr>
          <w:ilvl w:val="0"/>
          <w:numId w:val="1010"/>
        </w:numPr>
        <w:pStyle w:val="Compact"/>
      </w:pPr>
      <w:r>
        <w:t xml:space="preserve">Energy Consumption in Use: 20 kWh/year</w:t>
      </w:r>
    </w:p>
    <w:p>
      <w:pPr>
        <w:numPr>
          <w:ilvl w:val="0"/>
          <w:numId w:val="1010"/>
        </w:numPr>
        <w:pStyle w:val="Compact"/>
      </w:pPr>
      <w:r>
        <w:t xml:space="preserve">Product Lifespan: 7 years</w:t>
      </w:r>
    </w:p>
    <w:p>
      <w:pPr>
        <w:numPr>
          <w:ilvl w:val="0"/>
          <w:numId w:val="1010"/>
        </w:numPr>
        <w:pStyle w:val="Compact"/>
      </w:pPr>
      <w:r>
        <w:t xml:space="preserve">User Grid Emission Factor (Europe Focused): 0.25 kg CO2e/kWh</w:t>
      </w:r>
    </w:p>
    <w:p>
      <w:pPr>
        <w:numPr>
          <w:ilvl w:val="0"/>
          <w:numId w:val="1010"/>
        </w:numPr>
        <w:pStyle w:val="Compact"/>
      </w:pPr>
      <w:r>
        <w:rPr>
          <w:bCs/>
          <w:b/>
        </w:rPr>
        <w:t xml:space="preserve">Emissions:</w:t>
      </w:r>
      <w:r>
        <w:t xml:space="preserve"> </w:t>
      </w:r>
      <w:r>
        <w:t xml:space="preserve">20 kWh/year * 7 years * 0.25 kgCO2e/kWh =</w:t>
      </w:r>
      <w:r>
        <w:t xml:space="preserve"> </w:t>
      </w:r>
      <w:r>
        <w:rPr>
          <w:bCs/>
          <w:b/>
        </w:rPr>
        <w:t xml:space="preserve">35.00 kgCO2e</w:t>
      </w:r>
    </w:p>
    <w:bookmarkEnd w:id="39"/>
    <w:bookmarkStart w:id="40" w:name="end-of-life-eol-scope-3-category-12"/>
    <w:p>
      <w:pPr>
        <w:pStyle w:val="Heading3"/>
      </w:pPr>
      <w:r>
        <w:t xml:space="preserve">3.5. End-of-Life (EoL) (Scope 3, Category 12)</w:t>
      </w:r>
    </w:p>
    <w:p>
      <w:pPr>
        <w:numPr>
          <w:ilvl w:val="0"/>
          <w:numId w:val="1011"/>
        </w:numPr>
        <w:pStyle w:val="Compact"/>
      </w:pPr>
      <w:r>
        <w:t xml:space="preserve">Total Material Weight: 0.85 kg</w:t>
      </w:r>
    </w:p>
    <w:p>
      <w:pPr>
        <w:numPr>
          <w:ilvl w:val="0"/>
          <w:numId w:val="1011"/>
        </w:numPr>
        <w:pStyle w:val="Compact"/>
      </w:pPr>
      <w:r>
        <w:t xml:space="preserve">Recyclability Percentage: 75%</w:t>
      </w:r>
    </w:p>
    <w:p>
      <w:pPr>
        <w:numPr>
          <w:ilvl w:val="0"/>
          <w:numId w:val="1011"/>
        </w:numPr>
        <w:pStyle w:val="Compact"/>
      </w:pPr>
      <w:r>
        <w:t xml:space="preserve">Material Recycled: 0.85 kg * 75% = 0.6375 kg</w:t>
      </w:r>
    </w:p>
    <w:p>
      <w:pPr>
        <w:numPr>
          <w:ilvl w:val="0"/>
          <w:numId w:val="1011"/>
        </w:numPr>
        <w:pStyle w:val="Compact"/>
      </w:pPr>
      <w:r>
        <w:t xml:space="preserve">Material Landfilled: 0.85 kg * 25% = 0.2125 kg</w:t>
      </w:r>
    </w:p>
    <w:p>
      <w:pPr>
        <w:numPr>
          <w:ilvl w:val="0"/>
          <w:numId w:val="1011"/>
        </w:numPr>
        <w:pStyle w:val="Compact"/>
      </w:pPr>
      <w:r>
        <w:t xml:space="preserve">Recycling Credit: 0.6375 kg * -1.5 kgCO2e/kg = -0.9563 kgCO2e</w:t>
      </w:r>
    </w:p>
    <w:p>
      <w:pPr>
        <w:numPr>
          <w:ilvl w:val="0"/>
          <w:numId w:val="1011"/>
        </w:numPr>
        <w:pStyle w:val="Compact"/>
      </w:pPr>
      <w:r>
        <w:t xml:space="preserve">Landfill Emissions: 0.2125 kg * 0.5 kgCO2e/kg = 0.1063 kgCO2e</w:t>
      </w:r>
    </w:p>
    <w:p>
      <w:pPr>
        <w:numPr>
          <w:ilvl w:val="0"/>
          <w:numId w:val="1011"/>
        </w:numPr>
        <w:pStyle w:val="Compact"/>
      </w:pPr>
      <w:r>
        <w:rPr>
          <w:bCs/>
          <w:b/>
        </w:rPr>
        <w:t xml:space="preserve">Total EoL Emissions:</w:t>
      </w:r>
      <w:r>
        <w:t xml:space="preserve"> </w:t>
      </w:r>
      <w:r>
        <w:t xml:space="preserve">-0.9563 + 0.1063 =</w:t>
      </w:r>
      <w:r>
        <w:t xml:space="preserve"> </w:t>
      </w:r>
      <w:r>
        <w:rPr>
          <w:bCs/>
          <w:b/>
        </w:rPr>
        <w:t xml:space="preserve">-0.85 kgCO2e</w:t>
      </w:r>
      <w:r>
        <w:t xml:space="preserve"> </w:t>
      </w:r>
      <w:r>
        <w:t xml:space="preserve">(Net Removal/Benefit)</w:t>
      </w:r>
    </w:p>
    <w:bookmarkEnd w:id="40"/>
    <w:bookmarkStart w:id="41" w:name="summary-of-emissions-by-lifecycle-stage"/>
    <w:p>
      <w:pPr>
        <w:pStyle w:val="Heading3"/>
      </w:pPr>
      <w:r>
        <w:t xml:space="preserve">3.6. Summary of Emissions by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Scope/Category</w:t>
            </w:r>
          </w:p>
        </w:tc>
        <w:tc>
          <w:tcPr/>
          <w:p>
            <w:pPr>
              <w:pStyle w:val="Compact"/>
              <w:jc w:val="left"/>
            </w:pPr>
            <w:r>
              <w:t xml:space="preserve">Emissions (kgCO2e per functional unit)</w:t>
            </w:r>
          </w:p>
        </w:tc>
      </w:tr>
      <w:tr>
        <w:tc>
          <w:tcPr/>
          <w:p>
            <w:pPr>
              <w:pStyle w:val="Compact"/>
              <w:jc w:val="left"/>
            </w:pPr>
            <w:r>
              <w:t xml:space="preserve">Material Acquisition &amp; Pre-processing</w:t>
            </w:r>
          </w:p>
        </w:tc>
        <w:tc>
          <w:tcPr/>
          <w:p>
            <w:pPr>
              <w:pStyle w:val="Compact"/>
              <w:jc w:val="left"/>
            </w:pPr>
            <w:r>
              <w:t xml:space="preserve">Scope 3, Category 1 (Purchased Goods and Services)</w:t>
            </w:r>
          </w:p>
        </w:tc>
        <w:tc>
          <w:tcPr/>
          <w:p>
            <w:pPr>
              <w:pStyle w:val="Compact"/>
              <w:jc w:val="left"/>
            </w:pPr>
            <w:r>
              <w:t xml:space="preserve">8.20</w:t>
            </w:r>
          </w:p>
        </w:tc>
      </w:tr>
      <w:tr>
        <w:tc>
          <w:tcPr/>
          <w:p>
            <w:pPr>
              <w:pStyle w:val="Compact"/>
              <w:jc w:val="left"/>
            </w:pPr>
            <w:r>
              <w:t xml:space="preserve">Manufacturing (Energy)</w:t>
            </w:r>
          </w:p>
        </w:tc>
        <w:tc>
          <w:tcPr/>
          <w:p>
            <w:pPr>
              <w:pStyle w:val="Compact"/>
              <w:jc w:val="left"/>
            </w:pPr>
            <w:r>
              <w:t xml:space="preserve">Scope 3, Category 1 (Purchased Goods and Services)</w:t>
            </w:r>
          </w:p>
        </w:tc>
        <w:tc>
          <w:tcPr/>
          <w:p>
            <w:pPr>
              <w:pStyle w:val="Compact"/>
              <w:jc w:val="left"/>
            </w:pPr>
            <w:r>
              <w:t xml:space="preserve">4.70</w:t>
            </w:r>
          </w:p>
        </w:tc>
      </w:tr>
      <w:tr>
        <w:tc>
          <w:tcPr/>
          <w:p>
            <w:pPr>
              <w:pStyle w:val="Compact"/>
              <w:jc w:val="left"/>
            </w:pPr>
            <w:r>
              <w:t xml:space="preserve">Primary Transport (Upstream)</w:t>
            </w:r>
          </w:p>
        </w:tc>
        <w:tc>
          <w:tcPr/>
          <w:p>
            <w:pPr>
              <w:pStyle w:val="Compact"/>
              <w:jc w:val="left"/>
            </w:pPr>
            <w:r>
              <w:t xml:space="preserve">Scope 3, Category 4 (Upstream Transportation)</w:t>
            </w:r>
          </w:p>
        </w:tc>
        <w:tc>
          <w:tcPr/>
          <w:p>
            <w:pPr>
              <w:pStyle w:val="Compact"/>
              <w:jc w:val="left"/>
            </w:pPr>
            <w:r>
              <w:t xml:space="preserve">0.21</w:t>
            </w:r>
          </w:p>
        </w:tc>
      </w:tr>
      <w:tr>
        <w:tc>
          <w:tcPr/>
          <w:p>
            <w:pPr>
              <w:pStyle w:val="Compact"/>
              <w:jc w:val="left"/>
            </w:pPr>
            <w:r>
              <w:t xml:space="preserve">Last-Mile Delivery (Downstream)</w:t>
            </w:r>
          </w:p>
        </w:tc>
        <w:tc>
          <w:tcPr/>
          <w:p>
            <w:pPr>
              <w:pStyle w:val="Compact"/>
              <w:jc w:val="left"/>
            </w:pPr>
            <w:r>
              <w:t xml:space="preserve">Scope 3, Category 9 (Downstream Transportation)</w:t>
            </w:r>
          </w:p>
        </w:tc>
        <w:tc>
          <w:tcPr/>
          <w:p>
            <w:pPr>
              <w:pStyle w:val="Compact"/>
              <w:jc w:val="left"/>
            </w:pPr>
            <w:r>
              <w:t xml:space="preserve">0.04</w:t>
            </w:r>
          </w:p>
        </w:tc>
      </w:tr>
      <w:tr>
        <w:tc>
          <w:tcPr/>
          <w:p>
            <w:pPr>
              <w:pStyle w:val="Compact"/>
              <w:jc w:val="left"/>
            </w:pPr>
            <w:r>
              <w:t xml:space="preserve">Use Phase</w:t>
            </w:r>
          </w:p>
        </w:tc>
        <w:tc>
          <w:tcPr/>
          <w:p>
            <w:pPr>
              <w:pStyle w:val="Compact"/>
              <w:jc w:val="left"/>
            </w:pPr>
            <w:r>
              <w:t xml:space="preserve">Scope 3, Category 11 (Use of Sold Products)</w:t>
            </w:r>
          </w:p>
        </w:tc>
        <w:tc>
          <w:tcPr/>
          <w:p>
            <w:pPr>
              <w:pStyle w:val="Compact"/>
              <w:jc w:val="left"/>
            </w:pPr>
            <w:r>
              <w:t xml:space="preserve">35.00</w:t>
            </w:r>
          </w:p>
        </w:tc>
      </w:tr>
      <w:tr>
        <w:tc>
          <w:tcPr/>
          <w:p>
            <w:pPr>
              <w:pStyle w:val="Compact"/>
              <w:jc w:val="left"/>
            </w:pPr>
            <w:r>
              <w:t xml:space="preserve">End-of-Life (Net)</w:t>
            </w:r>
          </w:p>
        </w:tc>
        <w:tc>
          <w:tcPr/>
          <w:p>
            <w:pPr>
              <w:pStyle w:val="Compact"/>
              <w:jc w:val="left"/>
            </w:pPr>
            <w:r>
              <w:t xml:space="preserve">Scope 3, Category 12 (End-of-Life Treatment of Sold Products)</w:t>
            </w:r>
          </w:p>
        </w:tc>
        <w:tc>
          <w:tcPr/>
          <w:p>
            <w:pPr>
              <w:pStyle w:val="Compact"/>
              <w:jc w:val="left"/>
            </w:pPr>
            <w:r>
              <w:t xml:space="preserve">-0.85</w:t>
            </w:r>
          </w:p>
        </w:tc>
      </w:tr>
      <w:tr>
        <w:tc>
          <w:tcPr>
            <w:gridSpan w:val="2"/>
          </w:tcPr>
          <w:p>
            <w:pPr>
              <w:pStyle w:val="Compact"/>
              <w:jc w:val="left"/>
            </w:pPr>
            <w:r>
              <w:rPr>
                <w:bCs/>
                <w:b/>
              </w:rPr>
              <w:t xml:space="preserve">Total Product Carbon Footprint for yvgijlwjfs:</w:t>
            </w:r>
          </w:p>
        </w:tc>
        <w:tc>
          <w:tcPr/>
          <w:p>
            <w:pPr>
              <w:pStyle w:val="Compact"/>
              <w:jc w:val="left"/>
            </w:pPr>
            <w:r>
              <w:rPr>
                <w:bCs/>
                <w:b/>
              </w:rPr>
              <w:t xml:space="preserve">47.30 kgCO2e</w:t>
            </w:r>
          </w:p>
        </w:tc>
      </w:tr>
    </w:tbl>
    <w:bookmarkEnd w:id="41"/>
    <w:bookmarkEnd w:id="42"/>
    <w:p>
      <w:r>
        <w:pict>
          <v:rect style="width:0;height:1.5pt" o:hralign="center" o:hrstd="t" o:hr="t"/>
        </w:pict>
      </w:r>
    </w:p>
    <w:bookmarkStart w:id="46" w:name="review-and-reporting"/>
    <w:p>
      <w:pPr>
        <w:pStyle w:val="Heading2"/>
      </w:pPr>
      <w:r>
        <w:t xml:space="preserve">4. Review and Reporting</w:t>
      </w:r>
    </w:p>
    <w:bookmarkStart w:id="43" w:name="emission-hotspots"/>
    <w:p>
      <w:pPr>
        <w:pStyle w:val="Heading3"/>
      </w:pPr>
      <w:r>
        <w:t xml:space="preserve">4.1. Emission Hotspots</w:t>
      </w:r>
    </w:p>
    <w:p>
      <w:pPr>
        <w:pStyle w:val="FirstParagraph"/>
      </w:pPr>
      <w:r>
        <w:t xml:space="preserve">The analysis reveals the following significant emission hotspots for yvgijlwjfs:</w:t>
      </w:r>
    </w:p>
    <w:p>
      <w:pPr>
        <w:numPr>
          <w:ilvl w:val="0"/>
          <w:numId w:val="1012"/>
        </w:numPr>
        <w:pStyle w:val="Compact"/>
      </w:pPr>
      <w:r>
        <w:rPr>
          <w:bCs/>
          <w:b/>
        </w:rPr>
        <w:t xml:space="preserve">Use Phase:</w:t>
      </w:r>
      <w:r>
        <w:t xml:space="preserve"> </w:t>
      </w:r>
      <w:r>
        <w:t xml:space="preserve">With 35.00 kgCO2e, the energy consumption during the product\'s 7-year lifespan is by far the largest contributor to its PCF. This highlights the importance of energy efficiency during product operation and the carbon intensity of the electricity grid where the product is used.</w:t>
      </w:r>
    </w:p>
    <w:p>
      <w:pPr>
        <w:numPr>
          <w:ilvl w:val="0"/>
          <w:numId w:val="1012"/>
        </w:numPr>
        <w:pStyle w:val="Compact"/>
      </w:pPr>
      <w:r>
        <w:rPr>
          <w:bCs/>
          <w:b/>
        </w:rPr>
        <w:t xml:space="preserve">Material Acquisition &amp; Pre-processing:</w:t>
      </w:r>
      <w:r>
        <w:t xml:space="preserve"> </w:t>
      </w:r>
      <w:r>
        <w:t xml:space="preserve">Materials contribute significantly with 8.20 kgCO2e. Specific materials like Aluminum and Electronic PCB are notable contributors due to their inherently high emission factors.</w:t>
      </w:r>
    </w:p>
    <w:p>
      <w:pPr>
        <w:numPr>
          <w:ilvl w:val="0"/>
          <w:numId w:val="1012"/>
        </w:numPr>
        <w:pStyle w:val="Compact"/>
      </w:pPr>
      <w:r>
        <w:rPr>
          <w:bCs/>
          <w:b/>
        </w:rPr>
        <w:t xml:space="preserve">Manufacturing (Energy):</w:t>
      </w:r>
      <w:r>
        <w:t xml:space="preserve"> </w:t>
      </w:r>
      <w:r>
        <w:t xml:space="preserve">The energy consumed during manufacturing in China adds 4.70 kgCO2e. The reliance on grid electricity, despite 50% renewable energy usage, still presents an area for improvement.</w:t>
      </w:r>
    </w:p>
    <w:bookmarkEnd w:id="43"/>
    <w:bookmarkStart w:id="44" w:name="reliability-and-data-quality"/>
    <w:p>
      <w:pPr>
        <w:pStyle w:val="Heading3"/>
      </w:pPr>
      <w:r>
        <w:t xml:space="preserve">4.2. Reliability and Data Quality</w:t>
      </w:r>
    </w:p>
    <w:p>
      <w:pPr>
        <w:pStyle w:val="FirstParagraph"/>
      </w:pPr>
      <w:r>
        <w:t xml:space="preserve">The reliability of this PCF is good for the illustrative data used. However, it is important to note that the accuracy of future calculations for sltrisxsst would depend on:</w:t>
      </w:r>
    </w:p>
    <w:p>
      <w:pPr>
        <w:numPr>
          <w:ilvl w:val="0"/>
          <w:numId w:val="1013"/>
        </w:numPr>
        <w:pStyle w:val="Compact"/>
      </w:pPr>
      <w:r>
        <w:t xml:space="preserve">The precise, disaggregated data within</w:t>
      </w:r>
      <w:r>
        <w:t xml:space="preserve"> </w:t>
      </w:r>
      <w:r>
        <w:rPr>
          <w:rStyle w:val="VerbatimChar"/>
        </w:rPr>
        <w:t xml:space="preserve">gyplmlfv</w:t>
      </w:r>
      <w:r>
        <w:t xml:space="preserve"> </w:t>
      </w:r>
      <w:r>
        <w:t xml:space="preserve">for materials and their specific processes.</w:t>
      </w:r>
    </w:p>
    <w:p>
      <w:pPr>
        <w:numPr>
          <w:ilvl w:val="0"/>
          <w:numId w:val="1013"/>
        </w:numPr>
        <w:pStyle w:val="Compact"/>
      </w:pPr>
      <w:r>
        <w:t xml:space="preserve">Actual transport modes, distances, and last-mile delivery channels rather than generic illustrative values.</w:t>
      </w:r>
    </w:p>
    <w:p>
      <w:pPr>
        <w:numPr>
          <w:ilvl w:val="0"/>
          <w:numId w:val="1013"/>
        </w:numPr>
        <w:pStyle w:val="Compact"/>
      </w:pPr>
      <w:r>
        <w:t xml:space="preserve">Specific regional grid mix data for the use phase (Europe Focused) and production country (China).</w:t>
      </w:r>
    </w:p>
    <w:p>
      <w:pPr>
        <w:numPr>
          <w:ilvl w:val="0"/>
          <w:numId w:val="1013"/>
        </w:numPr>
        <w:pStyle w:val="Compact"/>
      </w:pPr>
      <w:r>
        <w:t xml:space="preserve">Detailed information on the effectiveness and reach of circular/take-back programs.</w:t>
      </w:r>
    </w:p>
    <w:p>
      <w:pPr>
        <w:pStyle w:val="FirstParagraph"/>
      </w:pPr>
      <w:r>
        <w:t xml:space="preserve">Industry-standard emission factors from Ecoinvent and DEFRA have been referenced to ensure credibility where primary data was not available in parseable format.</w:t>
      </w:r>
    </w:p>
    <w:bookmarkEnd w:id="44"/>
    <w:bookmarkStart w:id="45" w:name="recommendations-for-emission-reduction"/>
    <w:p>
      <w:pPr>
        <w:pStyle w:val="Heading3"/>
      </w:pPr>
      <w:r>
        <w:t xml:space="preserve">4.3. Recommendations for Emission Reduction</w:t>
      </w:r>
    </w:p>
    <w:p>
      <w:pPr>
        <w:pStyle w:val="FirstParagraph"/>
      </w:pPr>
      <w:r>
        <w:t xml:space="preserve">Based on the identified hotspots, sltrisxsst should focus on:</w:t>
      </w:r>
    </w:p>
    <w:p>
      <w:pPr>
        <w:numPr>
          <w:ilvl w:val="0"/>
          <w:numId w:val="1014"/>
        </w:numPr>
        <w:pStyle w:val="Compact"/>
      </w:pPr>
      <w:r>
        <w:rPr>
          <w:bCs/>
          <w:b/>
        </w:rPr>
        <w:t xml:space="preserve">Use Phase Optimization:</w:t>
      </w:r>
      <w:r>
        <w:t xml:space="preserve"> </w:t>
      </w:r>
      <w:r>
        <w:t xml:space="preserve">Prioritize improving the energy efficiency of yvgijlwjfs to reduce energy consumption during its lifespan. Education campaigns for end-users on responsible energy use and the benefits of renewable energy sources can also be beneficial.</w:t>
      </w:r>
    </w:p>
    <w:p>
      <w:pPr>
        <w:numPr>
          <w:ilvl w:val="0"/>
          <w:numId w:val="1014"/>
        </w:numPr>
        <w:pStyle w:val="Compact"/>
      </w:pPr>
      <w:r>
        <w:rPr>
          <w:bCs/>
          <w:b/>
        </w:rPr>
        <w:t xml:space="preserve">Material Optimization:</w:t>
      </w:r>
      <w:r>
        <w:t xml:space="preserve"> </w:t>
      </w:r>
      <w:r>
        <w:t xml:space="preserve">Explore alternative, lower-carbon materials for components like the aluminum casing and electronic PCB. Engage with suppliers to understand and encourage their decarbonization efforts, or seek suppliers with lower-carbon production processes.</w:t>
      </w:r>
    </w:p>
    <w:p>
      <w:pPr>
        <w:numPr>
          <w:ilvl w:val="0"/>
          <w:numId w:val="1014"/>
        </w:numPr>
        <w:pStyle w:val="Compact"/>
      </w:pPr>
      <w:r>
        <w:rPr>
          <w:bCs/>
          <w:b/>
        </w:rPr>
        <w:t xml:space="preserve">Manufacturing Decarbonization:</w:t>
      </w:r>
      <w:r>
        <w:t xml:space="preserve"> </w:t>
      </w:r>
      <w:r>
        <w:t xml:space="preserve">Increase the percentage of renewable energy used in production facilities in China beyond</w:t>
      </w:r>
      <w:r>
        <w:t xml:space="preserve"> </w:t>
      </w:r>
      <w:r>
        <w:rPr>
          <w:rStyle w:val="VerbatimChar"/>
        </w:rPr>
        <w:t xml:space="preserve">dxprmowuue</w:t>
      </w:r>
      <w:r>
        <w:t xml:space="preserve">. Invest in on-site renewable energy generation or procure high-quality renewable energy credits.</w:t>
      </w:r>
    </w:p>
    <w:p>
      <w:pPr>
        <w:numPr>
          <w:ilvl w:val="0"/>
          <w:numId w:val="1014"/>
        </w:numPr>
        <w:pStyle w:val="Compact"/>
      </w:pPr>
      <w:r>
        <w:rPr>
          <w:bCs/>
          <w:b/>
        </w:rPr>
        <w:t xml:space="preserve">Enhance Circularity:</w:t>
      </w:r>
      <w:r>
        <w:t xml:space="preserve"> </w:t>
      </w:r>
      <w:r>
        <w:t xml:space="preserve">Leverage the "Product Take-back Program" (</w:t>
      </w:r>
      <w:r>
        <w:rPr>
          <w:rStyle w:val="VerbatimChar"/>
        </w:rPr>
        <w:t xml:space="preserve">jqvjtoiujw</w:t>
      </w:r>
      <w:r>
        <w:t xml:space="preserve">) to its full potential, aiming for higher recyclability rates and exploring opportunities for product refurbishment or reuse to maximize end-of-life benefits.</w:t>
      </w:r>
    </w:p>
    <w:bookmarkEnd w:id="45"/>
    <w:bookmarkEnd w:id="46"/>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yvgijlwjfs</dc:title>
  <dc:creator/>
  <dc:description>Detailed Product Carbon Footprint (PCF) analysis report for yvgijlwjfs by sltrisxsst, adhering to GHG Protocol standards and 2026 updates, conducted by Senior Sustainability Consultant tvtsixxdhr.</dc:description>
  <dc:language>en</dc:language>
  <cp:keywords/>
  <dcterms:created xsi:type="dcterms:W3CDTF">2026-05-30T10:37:01Z</dcterms:created>
  <dcterms:modified xsi:type="dcterms:W3CDTF">2026-05-30T10:37:01Z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