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yuyqyohszf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olixhuqdli</w:t>
      </w:r>
    </w:p>
    <w:p>
      <w:pPr>
        <w:pStyle w:val="BodyText"/>
      </w:pPr>
      <w:r>
        <w:rPr>
          <w:bCs/>
          <w:b/>
        </w:rPr>
        <w:t xml:space="preserve">Product Under Analysis:</w:t>
      </w:r>
      <w:r>
        <w:t xml:space="preserve"> </w:t>
      </w:r>
      <w:r>
        <w:t xml:space="preserve">yuyqyohszf</w:t>
      </w:r>
    </w:p>
    <w:p>
      <w:pPr>
        <w:pStyle w:val="BodyText"/>
      </w:pPr>
      <w:r>
        <w:rPr>
          <w:bCs/>
          <w:b/>
        </w:rPr>
        <w:t xml:space="preserve">Senior Sustainability Consultant:</w:t>
      </w:r>
      <w:r>
        <w:t xml:space="preserve"> </w:t>
      </w:r>
      <w:r>
        <w:t xml:space="preserve">wwndhnkoto</w:t>
      </w:r>
    </w:p>
    <w:p>
      <w:pPr>
        <w:pStyle w:val="BodyText"/>
      </w:pPr>
      <w:r>
        <w:t xml:space="preserve">This report is generated based on available parameters and industry standards. Numerical calculations are illustrative or based on stated placeholder values where specific, actionable data was not provided.</w:t>
      </w:r>
    </w:p>
    <w:bookmarkEnd w:id="20"/>
    <w:bookmarkStart w:id="21" w:name="X4107ccd5ea943cd0d1cca268f55021719942f41"/>
    <w:p>
      <w:pPr>
        <w:pStyle w:val="Heading1"/>
      </w:pPr>
      <w:r>
        <w:t xml:space="preserve">Product Carbon Footprint Analysis for yuyqyohszf</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Product Carbon Footprint (PCF) analysis for the product</w:t>
      </w:r>
      <w:r>
        <w:t xml:space="preserve"> </w:t>
      </w:r>
      <w:r>
        <w:rPr>
          <w:bCs/>
          <w:b/>
        </w:rPr>
        <w:t xml:space="preserve">yuyqyohszf</w:t>
      </w:r>
      <w:r>
        <w:t xml:space="preserve">, manufactured by</w:t>
      </w:r>
      <w:r>
        <w:t xml:space="preserve"> </w:t>
      </w:r>
      <w:r>
        <w:rPr>
          <w:bCs/>
          <w:b/>
        </w:rPr>
        <w:t xml:space="preserve">olixhuqdli</w:t>
      </w:r>
      <w:r>
        <w:t xml:space="preserve">. The analysis, conducted by Senior Sustainability Consultant</w:t>
      </w:r>
      <w:r>
        <w:t xml:space="preserve"> </w:t>
      </w:r>
      <w:r>
        <w:rPr>
          <w:bCs/>
          <w:b/>
        </w:rPr>
        <w:t xml:space="preserve">wwndhnkoto</w:t>
      </w:r>
      <w:r>
        <w:t xml:space="preserve">, adheres to the GHG Protocol accounting standard, incorporating the 2026 Land Sector and Removals (LSR) update and targeting at least 95% Scope 3 coverage. The system boundary for this analysis is "factory_gate", with a geographic scope focused on China for final production and Europe for the supply chain.</w:t>
      </w:r>
    </w:p>
    <w:p>
      <w:pPr>
        <w:pStyle w:val="BodyText"/>
      </w:pPr>
      <w:r>
        <w:t xml:space="preserve">Due to the nature of the provided input parameters, which include placeholders such as "gjimldws" for Bill of Materials, "Select Mode" for transport, and other similar generic strings for quantitative data, specific numerical results for total CO2e emissions cannot be accurately calculated at this time. This report outlines the methodology, identifies key emission sources conceptually, and explains how these calculations would be performed with concrete data. It provides a robust framework for future detailed quantitative analysis once specific data inputs become available.</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w:t>
      </w:r>
      <w:r>
        <w:t xml:space="preserve"> </w:t>
      </w:r>
      <w:r>
        <w:rPr>
          <w:bCs/>
          <w:b/>
        </w:rPr>
        <w:t xml:space="preserve">yuyqyohszf</w:t>
      </w:r>
      <w:r>
        <w:t xml:space="preserve"> </w:t>
      </w:r>
      <w:r>
        <w:t xml:space="preserve">follows a structured five-step approach, as defined by industry best practices and the GHG Protocol.</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yuyqyohszf. This represents the quantified performance of the product for which the environmental impact is measured.</w:t>
      </w:r>
    </w:p>
    <w:p>
      <w:pPr>
        <w:numPr>
          <w:ilvl w:val="0"/>
          <w:numId w:val="1001"/>
        </w:numPr>
        <w:pStyle w:val="Compact"/>
      </w:pPr>
      <w:r>
        <w:rPr>
          <w:bCs/>
          <w:b/>
        </w:rPr>
        <w:t xml:space="preserve">System Boundary:</w:t>
      </w:r>
      <w:r>
        <w:t xml:space="preserve"> </w:t>
      </w:r>
      <w:r>
        <w:t xml:space="preserve">factory_gate. This boundary encompasses all emissions from raw material extraction, through manufacturing, up to the point the finished product leaves the factory gate. This includes upstream (Scope 3) and direct operational (Scope 1 &amp; 2) emissions. For this analysis, relevant downstream emissions (Use Phase, End-of-Life) are also considered for a more holistic view, even if strictly outside the "factory_gate" definition, to align with a full lifecycle perspective where possible.</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electricity mixes and transportation routes considered.</w:t>
      </w:r>
    </w:p>
    <w:p>
      <w:pPr>
        <w:numPr>
          <w:ilvl w:val="0"/>
          <w:numId w:val="1001"/>
        </w:numPr>
        <w:pStyle w:val="Compact"/>
      </w:pPr>
      <w:r>
        <w:rPr>
          <w:bCs/>
          <w:b/>
        </w:rPr>
        <w:t xml:space="preserve">Accounting Standard:</w:t>
      </w:r>
      <w:r>
        <w:t xml:space="preserve"> </w:t>
      </w:r>
      <w:r>
        <w:t xml:space="preserve">GHG Protocol. This analysis explicitly adheres to the GHG Protocol Product Standard for calculating and reporting the carbon footprint of products. This includes categorizing emissions into Scope 1, Scope 2, and Scope 3. The 2026 Land Sector and Removals (LSR) Standard is conceptually applied for any relevant land-use and carbon removal activities, emphasizing their integration into the overall GHG inventory.</w:t>
      </w:r>
    </w:p>
    <w:p>
      <w:pPr>
        <w:numPr>
          <w:ilvl w:val="0"/>
          <w:numId w:val="1001"/>
        </w:numPr>
        <w:pStyle w:val="Compact"/>
      </w:pPr>
      <w:r>
        <w:rPr>
          <w:bCs/>
          <w:b/>
        </w:rPr>
        <w:t xml:space="preserve">Allocation:</w:t>
      </w:r>
      <w:r>
        <w:t xml:space="preserve"> </w:t>
      </w:r>
      <w:r>
        <w:t xml:space="preserve">Where co-products or by-products exist, allocation methods would be based on physical relationships (e.g., mass) or economic value, in line with GHG Protocol guidance. For this report, specific co-products were not detailed, thus a direct attribution approach is assumed for the functional unit.</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yuyqyohszf</w:t>
      </w:r>
      <w:r>
        <w:t xml:space="preserve"> </w:t>
      </w:r>
      <w:r>
        <w:t xml:space="preserve">is mapped to identify all relevant stages where greenhouse gas emissions occur. These stages form the basis for data collection and emission calculation:</w:t>
      </w:r>
    </w:p>
    <w:p>
      <w:pPr>
        <w:numPr>
          <w:ilvl w:val="0"/>
          <w:numId w:val="1002"/>
        </w:numPr>
        <w:pStyle w:val="Compact"/>
      </w:pPr>
      <w:r>
        <w:rPr>
          <w:bCs/>
          <w:b/>
        </w:rPr>
        <w:t xml:space="preserve">Materials Acquisition &amp; Pre-processing (Upstream Scope 3):</w:t>
      </w:r>
      <w:r>
        <w:t xml:space="preserve"> </w:t>
      </w:r>
      <w:r>
        <w:t xml:space="preserve">Extraction of raw materials and their initial processing into usable forms.</w:t>
      </w:r>
    </w:p>
    <w:p>
      <w:pPr>
        <w:numPr>
          <w:ilvl w:val="0"/>
          <w:numId w:val="1002"/>
        </w:numPr>
        <w:pStyle w:val="Compact"/>
      </w:pPr>
      <w:r>
        <w:rPr>
          <w:bCs/>
          <w:b/>
        </w:rPr>
        <w:t xml:space="preserve">Manufacturing/Production (Scope 1, 2, &amp; Upstream Scope 3):</w:t>
      </w:r>
      <w:r>
        <w:t xml:space="preserve"> </w:t>
      </w:r>
      <w:r>
        <w:t xml:space="preserve">All processes occurring at the</w:t>
      </w:r>
      <w:r>
        <w:t xml:space="preserve"> </w:t>
      </w:r>
      <w:r>
        <w:rPr>
          <w:bCs/>
          <w:b/>
        </w:rPr>
        <w:t xml:space="preserve">olixhuqdli</w:t>
      </w:r>
      <w:r>
        <w:t xml:space="preserve"> </w:t>
      </w:r>
      <w:r>
        <w:t xml:space="preserve">production facility in China, including energy consumption, direct emissions, and the impact of components/materials supplied to the factory.</w:t>
      </w:r>
    </w:p>
    <w:p>
      <w:pPr>
        <w:numPr>
          <w:ilvl w:val="0"/>
          <w:numId w:val="1002"/>
        </w:numPr>
        <w:pStyle w:val="Compact"/>
      </w:pPr>
      <w:r>
        <w:rPr>
          <w:bCs/>
          <w:b/>
        </w:rPr>
        <w:t xml:space="preserve">Transport (Upstream &amp; Downstream Scope 3):</w:t>
      </w:r>
      <w:r>
        <w:t xml:space="preserve"> </w:t>
      </w:r>
      <w:r>
        <w:t xml:space="preserve">Transportation of raw materials and components to the factory (inbound logistics) and distribution of the finished product to the customer (outbound logistics, including last-mile).</w:t>
      </w:r>
    </w:p>
    <w:p>
      <w:pPr>
        <w:numPr>
          <w:ilvl w:val="0"/>
          <w:numId w:val="1002"/>
        </w:numPr>
        <w:pStyle w:val="Compact"/>
      </w:pPr>
      <w:r>
        <w:rPr>
          <w:bCs/>
          <w:b/>
        </w:rPr>
        <w:t xml:space="preserve">Use Phase (Downstream Scope 3):</w:t>
      </w:r>
      <w:r>
        <w:t xml:space="preserve"> </w:t>
      </w:r>
      <w:r>
        <w:t xml:space="preserve">Energy consumption or other activities by the consumer during the product\'s operational lifetime.</w:t>
      </w:r>
    </w:p>
    <w:p>
      <w:pPr>
        <w:numPr>
          <w:ilvl w:val="0"/>
          <w:numId w:val="1002"/>
        </w:numPr>
        <w:pStyle w:val="Compact"/>
      </w:pPr>
      <w:r>
        <w:rPr>
          <w:bCs/>
          <w:b/>
        </w:rPr>
        <w:t xml:space="preserve">End-of-Life (Downstream Scope 3):</w:t>
      </w:r>
      <w:r>
        <w:t xml:space="preserve"> </w:t>
      </w:r>
      <w:r>
        <w:t xml:space="preserve">Disposal, recycling, or recovery processes for the product and its components at the end of its lifespan.</w:t>
      </w:r>
    </w:p>
    <w:bookmarkEnd w:id="24"/>
    <w:bookmarkStart w:id="25" w:name="collect-data"/>
    <w:p>
      <w:pPr>
        <w:pStyle w:val="Heading3"/>
      </w:pPr>
      <w:r>
        <w:t xml:space="preserve">2.3. Collect Data</w:t>
      </w:r>
    </w:p>
    <w:p>
      <w:pPr>
        <w:pStyle w:val="FirstParagraph"/>
      </w:pPr>
      <w:r>
        <w:t xml:space="preserve">Data collection involves gathering both primary and secondary data points:</w:t>
      </w:r>
    </w:p>
    <w:p>
      <w:pPr>
        <w:numPr>
          <w:ilvl w:val="0"/>
          <w:numId w:val="1003"/>
        </w:numPr>
        <w:pStyle w:val="Compact"/>
      </w:pPr>
      <w:r>
        <w:rPr>
          <w:bCs/>
          <w:b/>
        </w:rPr>
        <w:t xml:space="preserve">Primary Data:</w:t>
      </w:r>
      <w:r>
        <w:t xml:space="preserve"> </w:t>
      </w:r>
      <w:r>
        <w:t xml:space="preserve">Specific operational data from</w:t>
      </w:r>
      <w:r>
        <w:t xml:space="preserve"> </w:t>
      </w:r>
      <w:r>
        <w:rPr>
          <w:bCs/>
          <w:b/>
        </w:rPr>
        <w:t xml:space="preserve">olixhuqdli</w:t>
      </w:r>
      <w:r>
        <w:t xml:space="preserve">. This includes:</w:t>
      </w:r>
    </w:p>
    <w:p>
      <w:pPr>
        <w:numPr>
          <w:ilvl w:val="1"/>
          <w:numId w:val="1004"/>
        </w:numPr>
        <w:pStyle w:val="Compact"/>
      </w:pPr>
      <w:r>
        <w:rPr>
          <w:bCs/>
          <w:b/>
        </w:rPr>
        <w:t xml:space="preserve">Detailed Bill of Materials (BOM):</w:t>
      </w:r>
      <w:r>
        <w:t xml:space="preserve"> </w:t>
      </w:r>
      <w:r>
        <w:t xml:space="preserve">Identified as</w:t>
      </w:r>
      <w:r>
        <w:t xml:space="preserve"> </w:t>
      </w:r>
      <w:r>
        <w:rPr>
          <w:rStyle w:val="VerbatimChar"/>
        </w:rPr>
        <w:t xml:space="preserve">gjimldws</w:t>
      </w:r>
      <w:r>
        <w:t xml:space="preserve">, which would provide material types, quantities, and their associated emission factors.</w:t>
      </w:r>
    </w:p>
    <w:p>
      <w:pPr>
        <w:numPr>
          <w:ilvl w:val="1"/>
          <w:numId w:val="1004"/>
        </w:numPr>
        <w:pStyle w:val="Compact"/>
      </w:pPr>
      <w:r>
        <w:rPr>
          <w:bCs/>
          <w:b/>
        </w:rPr>
        <w:t xml:space="preserve">Transport Logistics:</w:t>
      </w:r>
      <w:r>
        <w:t xml:space="preserve"> </w:t>
      </w:r>
      <w:r>
        <w:t xml:space="preserve">Details such as</w:t>
      </w:r>
      <w:r>
        <w:t xml:space="preserve"> </w:t>
      </w:r>
      <w:r>
        <w:rPr>
          <w:rStyle w:val="VerbatimChar"/>
        </w:rPr>
        <w:t xml:space="preserve">Transport Mode: Select Mode</w:t>
      </w:r>
      <w:r>
        <w:t xml:space="preserve">,</w:t>
      </w:r>
      <w:r>
        <w:t xml:space="preserve"> </w:t>
      </w:r>
      <w:r>
        <w:rPr>
          <w:rStyle w:val="VerbatimChar"/>
        </w:rPr>
        <w:t xml:space="preserve">Transport Distance: ihwsdofstf</w:t>
      </w:r>
      <w:r>
        <w:t xml:space="preserve">, and</w:t>
      </w:r>
      <w:r>
        <w:t xml:space="preserve"> </w:t>
      </w:r>
      <w:r>
        <w:rPr>
          <w:rStyle w:val="VerbatimChar"/>
        </w:rPr>
        <w:t xml:space="preserve">Last-Mile Delivery Channel: Delivery Type</w:t>
      </w:r>
      <w:r>
        <w:t xml:space="preserve">.</w:t>
      </w:r>
    </w:p>
    <w:p>
      <w:pPr>
        <w:numPr>
          <w:ilvl w:val="1"/>
          <w:numId w:val="1004"/>
        </w:numPr>
        <w:pStyle w:val="Compact"/>
      </w:pPr>
      <w:r>
        <w:rPr>
          <w:bCs/>
          <w:b/>
        </w:rPr>
        <w:t xml:space="preserve">Production Energy:</w:t>
      </w:r>
      <w:r>
        <w:t xml:space="preserve"> </w:t>
      </w:r>
      <w:r>
        <w:rPr>
          <w:rStyle w:val="VerbatimChar"/>
        </w:rPr>
        <w:t xml:space="preserve">Renewable Energy Usage: nnuwkodowl</w:t>
      </w:r>
      <w:r>
        <w:t xml:space="preserve"> </w:t>
      </w:r>
      <w:r>
        <w:t xml:space="preserve">and</w:t>
      </w:r>
      <w:r>
        <w:t xml:space="preserve"> </w:t>
      </w:r>
      <w:r>
        <w:rPr>
          <w:rStyle w:val="VerbatimChar"/>
        </w:rPr>
        <w:t xml:space="preserve">Energy Intensity (kWh/unit): gipmitoudt</w:t>
      </w:r>
      <w:r>
        <w:t xml:space="preserve">.</w:t>
      </w:r>
    </w:p>
    <w:p>
      <w:pPr>
        <w:numPr>
          <w:ilvl w:val="1"/>
          <w:numId w:val="1004"/>
        </w:numPr>
        <w:pStyle w:val="Compact"/>
      </w:pPr>
      <w:r>
        <w:rPr>
          <w:bCs/>
          <w:b/>
        </w:rPr>
        <w:t xml:space="preserve">Product Durability &amp; Consumption:</w:t>
      </w:r>
      <w:r>
        <w:t xml:space="preserve"> </w:t>
      </w:r>
      <w:r>
        <w:rPr>
          <w:rStyle w:val="VerbatimChar"/>
        </w:rPr>
        <w:t xml:space="preserve">Product Lifespan: ikojqernrw</w:t>
      </w:r>
      <w:r>
        <w:t xml:space="preserve"> </w:t>
      </w:r>
      <w:r>
        <w:t xml:space="preserve">and</w:t>
      </w:r>
      <w:r>
        <w:t xml:space="preserve"> </w:t>
      </w:r>
      <w:r>
        <w:rPr>
          <w:rStyle w:val="VerbatimChar"/>
        </w:rPr>
        <w:t xml:space="preserve">Energy Consumption in Use: jvqqienlew</w:t>
      </w:r>
      <w:r>
        <w:t xml:space="preserve">.</w:t>
      </w:r>
    </w:p>
    <w:p>
      <w:pPr>
        <w:numPr>
          <w:ilvl w:val="1"/>
          <w:numId w:val="1004"/>
        </w:numPr>
        <w:pStyle w:val="Compact"/>
      </w:pPr>
      <w:r>
        <w:rPr>
          <w:bCs/>
          <w:b/>
        </w:rPr>
        <w:t xml:space="preserve">End-of-Life Scenarios:</w:t>
      </w:r>
      <w:r>
        <w:t xml:space="preserve"> </w:t>
      </w:r>
      <w:r>
        <w:rPr>
          <w:rStyle w:val="VerbatimChar"/>
        </w:rPr>
        <w:t xml:space="preserve">Recyclability Percentage: fyyutzktvo</w:t>
      </w:r>
      <w:r>
        <w:t xml:space="preserve"> </w:t>
      </w:r>
      <w:r>
        <w:t xml:space="preserve">and details on</w:t>
      </w:r>
      <w:r>
        <w:t xml:space="preserve"> </w:t>
      </w:r>
      <w:r>
        <w:rPr>
          <w:rStyle w:val="VerbatimChar"/>
        </w:rPr>
        <w:t xml:space="preserve">Circular/Take-back Programs: tunjxymhzq</w:t>
      </w:r>
      <w:r>
        <w:t xml:space="preserve">.</w:t>
      </w:r>
    </w:p>
    <w:p>
      <w:pPr>
        <w:numPr>
          <w:ilvl w:val="0"/>
          <w:numId w:val="1003"/>
        </w:numPr>
        <w:pStyle w:val="Compact"/>
      </w:pPr>
      <w:r>
        <w:rPr>
          <w:bCs/>
          <w:b/>
        </w:rPr>
        <w:t xml:space="preserve">Secondary Data:</w:t>
      </w:r>
      <w:r>
        <w:t xml:space="preserve"> </w:t>
      </w:r>
      <w:r>
        <w:t xml:space="preserve">Industry-standard emission factors. These are used for materials, energy sources, and transportation modes where primary data is unavailable or to cross-reference primary data. Sources like Ecoinvent and DEFRA are standard references for such factors. For this report, placeholder data requires the use of conceptual emission factors.</w:t>
      </w:r>
    </w:p>
    <w:p>
      <w:pPr>
        <w:pStyle w:val="FirstParagraph"/>
      </w:pPr>
      <w:r>
        <w:rPr>
          <w:bCs/>
          <w:b/>
        </w:rPr>
        <w:t xml:space="preserve">Note on Data Limitations:</w:t>
      </w:r>
      <w:r>
        <w:t xml:space="preserve"> </w:t>
      </w:r>
      <w:r>
        <w:t xml:space="preserve">As parameters like</w:t>
      </w:r>
      <w:r>
        <w:t xml:space="preserve"> </w:t>
      </w:r>
      <w:r>
        <w:rPr>
          <w:rStyle w:val="VerbatimChar"/>
        </w:rPr>
        <w:t xml:space="preserve">gjimldws</w:t>
      </w:r>
      <w:r>
        <w:t xml:space="preserve">,</w:t>
      </w:r>
      <w:r>
        <w:t xml:space="preserve"> </w:t>
      </w:r>
      <w:r>
        <w:rPr>
          <w:rStyle w:val="VerbatimChar"/>
        </w:rPr>
        <w:t xml:space="preserve">ihwsdofstf</w:t>
      </w:r>
      <w:r>
        <w:t xml:space="preserve">,</w:t>
      </w:r>
      <w:r>
        <w:t xml:space="preserve"> </w:t>
      </w:r>
      <w:r>
        <w:rPr>
          <w:rStyle w:val="VerbatimChar"/>
        </w:rPr>
        <w:t xml:space="preserve">nnuwkodowl</w:t>
      </w:r>
      <w:r>
        <w:t xml:space="preserve">,</w:t>
      </w:r>
      <w:r>
        <w:t xml:space="preserve"> </w:t>
      </w:r>
      <w:r>
        <w:rPr>
          <w:rStyle w:val="VerbatimChar"/>
        </w:rPr>
        <w:t xml:space="preserve">gipmitoudt</w:t>
      </w:r>
      <w:r>
        <w:t xml:space="preserve">,</w:t>
      </w:r>
      <w:r>
        <w:t xml:space="preserve"> </w:t>
      </w:r>
      <w:r>
        <w:rPr>
          <w:rStyle w:val="VerbatimChar"/>
        </w:rPr>
        <w:t xml:space="preserve">ikojqernrw</w:t>
      </w:r>
      <w:r>
        <w:t xml:space="preserve">,</w:t>
      </w:r>
      <w:r>
        <w:t xml:space="preserve"> </w:t>
      </w:r>
      <w:r>
        <w:rPr>
          <w:rStyle w:val="VerbatimChar"/>
        </w:rPr>
        <w:t xml:space="preserve">jvqqienlew</w:t>
      </w:r>
      <w:r>
        <w:t xml:space="preserve">,</w:t>
      </w:r>
      <w:r>
        <w:t xml:space="preserve"> </w:t>
      </w:r>
      <w:r>
        <w:rPr>
          <w:rStyle w:val="VerbatimChar"/>
        </w:rPr>
        <w:t xml:space="preserve">fyyutzktvo</w:t>
      </w:r>
      <w:r>
        <w:t xml:space="preserve">, and</w:t>
      </w:r>
      <w:r>
        <w:t xml:space="preserve"> </w:t>
      </w:r>
      <w:r>
        <w:rPr>
          <w:rStyle w:val="VerbatimChar"/>
        </w:rPr>
        <w:t xml:space="preserve">tunjxymhzq</w:t>
      </w:r>
      <w:r>
        <w:t xml:space="preserve"> </w:t>
      </w:r>
      <w:r>
        <w:t xml:space="preserve">were provided as literal strings rather than quantifiable data, specific numerical calculations could not be performed. This report explains the methodology that would be applied if actual numerical data were available for these parameters.</w:t>
      </w:r>
    </w:p>
    <w:bookmarkEnd w:id="25"/>
    <w:bookmarkStart w:id="26" w:name="calculate-emissions"/>
    <w:p>
      <w:pPr>
        <w:pStyle w:val="Heading3"/>
      </w:pPr>
      <w:r>
        <w:t xml:space="preserve">2.4. Calculate Emissions</w:t>
      </w:r>
    </w:p>
    <w:p>
      <w:pPr>
        <w:pStyle w:val="FirstParagraph"/>
      </w:pPr>
      <w:r>
        <w:t xml:space="preserve">Emissions are calculated for each lifecycle stage using the formula:</w:t>
      </w:r>
      <w:r>
        <w:t xml:space="preserve"> </w:t>
      </w:r>
      <w:r>
        <w:rPr>
          <w:rStyle w:val="VerbatimChar"/>
        </w:rPr>
        <w:t xml:space="preserve">Activity Data × Emission Factor = CO2e</w:t>
      </w:r>
      <w:r>
        <w:t xml:space="preserve">.</w:t>
      </w:r>
    </w:p>
    <w:p>
      <w:pPr>
        <w:pStyle w:val="BodyText"/>
      </w:pPr>
      <w:r>
        <w:t xml:space="preserve">The total Product Carbon Footprint is the sum of emissions across all relevant lifecycle stages. All emissions are expressed in carbon dioxide equivalents (CO2e).</w:t>
      </w:r>
    </w:p>
    <w:p>
      <w:pPr>
        <w:numPr>
          <w:ilvl w:val="0"/>
          <w:numId w:val="1005"/>
        </w:numPr>
        <w:pStyle w:val="Compact"/>
      </w:pPr>
      <w:r>
        <w:rPr>
          <w:bCs/>
          <w:b/>
        </w:rPr>
        <w:t xml:space="preserve">GHG Protocol Categorization:</w:t>
      </w:r>
      <w:r>
        <w:t xml:space="preserve"> </w:t>
      </w:r>
      <w:r>
        <w:t xml:space="preserve">Emissions are meticulously categorized into Scope 1 (direct emissions), Scope 2 (indirect emissions from purchased energy), and Scope 3 (all other indirect emissions in the value chain).</w:t>
      </w:r>
    </w:p>
    <w:p>
      <w:pPr>
        <w:numPr>
          <w:ilvl w:val="0"/>
          <w:numId w:val="1005"/>
        </w:numPr>
        <w:pStyle w:val="Compact"/>
      </w:pPr>
      <w:r>
        <w:rPr>
          <w:bCs/>
          <w:b/>
        </w:rPr>
        <w:t xml:space="preserve">2026 LSR Update:</w:t>
      </w:r>
      <w:r>
        <w:t xml:space="preserve"> </w:t>
      </w:r>
      <w:r>
        <w:t xml:space="preserve">The Land Sector and Removals (LSR) Standard is considered for its inclusion of land use, land-use change, and carbon removals. While specific data for land-based impacts related to</w:t>
      </w:r>
      <w:r>
        <w:t xml:space="preserve"> </w:t>
      </w:r>
      <w:r>
        <w:rPr>
          <w:bCs/>
          <w:b/>
        </w:rPr>
        <w:t xml:space="preserve">yuyqyohszf</w:t>
      </w:r>
      <w:r>
        <w:t xml:space="preserve"> </w:t>
      </w:r>
      <w:r>
        <w:t xml:space="preserve">are not provided, the framework for accounting for such removals and emissions in the overall inventory is acknowledged.</w:t>
      </w:r>
    </w:p>
    <w:p>
      <w:pPr>
        <w:numPr>
          <w:ilvl w:val="0"/>
          <w:numId w:val="1005"/>
        </w:numPr>
        <w:pStyle w:val="Compact"/>
      </w:pPr>
      <w:r>
        <w:rPr>
          <w:bCs/>
          <w:b/>
        </w:rPr>
        <w:t xml:space="preserve">Scope 3 Compliance:</w:t>
      </w:r>
      <w:r>
        <w:t xml:space="preserve"> </w:t>
      </w:r>
      <w:r>
        <w:t xml:space="preserve">A key objective is to ensure at least 95% coverage for Scope 3 reporting, in line with 2026 requirements, by comprehensively addressing all upstream and downstream activities.</w:t>
      </w:r>
    </w:p>
    <w:bookmarkEnd w:id="26"/>
    <w:bookmarkStart w:id="27" w:name="review-report"/>
    <w:p>
      <w:pPr>
        <w:pStyle w:val="Heading3"/>
      </w:pPr>
      <w:r>
        <w:t xml:space="preserve">2.5. Review &amp; Report</w:t>
      </w:r>
    </w:p>
    <w:p>
      <w:pPr>
        <w:pStyle w:val="FirstParagraph"/>
      </w:pPr>
      <w:r>
        <w:t xml:space="preserve">The final step involves reviewing the calculations for accuracy and consistency, identifying emission hotspots across the product\'s lifecycle, and reporting the findings. Hotspots highlight areas with the most significant environmental impact, guiding targeted reduction efforts.</w:t>
      </w:r>
    </w:p>
    <w:p>
      <w:r>
        <w:pict>
          <v:rect style="width:0;height:1.5pt" o:hralign="center" o:hrstd="t" o:hr="t"/>
        </w:pict>
      </w:r>
    </w:p>
    <w:bookmarkEnd w:id="27"/>
    <w:bookmarkEnd w:id="28"/>
    <w:bookmarkStart w:id="36" w:name="detailed-emissions-analysis-conceptual"/>
    <w:p>
      <w:pPr>
        <w:pStyle w:val="Heading2"/>
      </w:pPr>
      <w:r>
        <w:t xml:space="preserve">3. Detailed Emissions Analysis (Conceptual)</w:t>
      </w:r>
    </w:p>
    <w:p>
      <w:pPr>
        <w:pStyle w:val="FirstParagraph"/>
      </w:pPr>
      <w:r>
        <w:t xml:space="preserve">This section provides a conceptual breakdown of emissions across different scopes, explaining how calculations would be performed with actual data.</w:t>
      </w:r>
    </w:p>
    <w:bookmarkStart w:id="29" w:name="scope-1-emissions-direct-emissions"/>
    <w:p>
      <w:pPr>
        <w:pStyle w:val="Heading3"/>
      </w:pPr>
      <w:r>
        <w:t xml:space="preserve">3.1. Scope 1 Emissions (Direct Emissions)</w:t>
      </w:r>
    </w:p>
    <w:p>
      <w:pPr>
        <w:pStyle w:val="FirstParagraph"/>
      </w:pPr>
      <w:r>
        <w:t xml:space="preserve">Scope 1 emissions refer to direct greenhouse gas emissions from sources owned or controlled by</w:t>
      </w:r>
      <w:r>
        <w:t xml:space="preserve"> </w:t>
      </w:r>
      <w:r>
        <w:rPr>
          <w:bCs/>
          <w:b/>
        </w:rPr>
        <w:t xml:space="preserve">olixhuqdli</w:t>
      </w:r>
      <w:r>
        <w:t xml:space="preserve">. For the production of</w:t>
      </w:r>
      <w:r>
        <w:t xml:space="preserve"> </w:t>
      </w:r>
      <w:r>
        <w:rPr>
          <w:bCs/>
          <w:b/>
        </w:rPr>
        <w:t xml:space="preserve">yuyqyohszf</w:t>
      </w:r>
      <w:r>
        <w:t xml:space="preserve"> </w:t>
      </w:r>
      <w:r>
        <w:t xml:space="preserve">in China, potential Scope 1 sources could include:</w:t>
      </w:r>
    </w:p>
    <w:p>
      <w:pPr>
        <w:numPr>
          <w:ilvl w:val="0"/>
          <w:numId w:val="1006"/>
        </w:numPr>
        <w:pStyle w:val="Compact"/>
      </w:pPr>
      <w:r>
        <w:t xml:space="preserve">On-site combustion of fuels (e.g., natural gas, diesel) for heating, steam generation, or power.</w:t>
      </w:r>
    </w:p>
    <w:p>
      <w:pPr>
        <w:numPr>
          <w:ilvl w:val="0"/>
          <w:numId w:val="1006"/>
        </w:numPr>
        <w:pStyle w:val="Compact"/>
      </w:pPr>
      <w:r>
        <w:t xml:space="preserve">Process emissions directly from manufacturing (e.g., chemical reactions, fugitive emissions), if applicable to yuyqyohszf\'s production.</w:t>
      </w:r>
    </w:p>
    <w:p>
      <w:pPr>
        <w:numPr>
          <w:ilvl w:val="0"/>
          <w:numId w:val="1006"/>
        </w:numPr>
        <w:pStyle w:val="Compact"/>
      </w:pPr>
      <w:r>
        <w:t xml:space="preserve">Company-owned vehicle fleets (not typically included in a "factory_gate" PCF but part of corporate inventory).</w:t>
      </w:r>
    </w:p>
    <w:p>
      <w:pPr>
        <w:pStyle w:val="FirstParagraph"/>
      </w:pPr>
      <w:r>
        <w:t xml:space="preserve">Without specific data on direct fuel consumption or process emissions, a quantitative assessment of Scope 1 for yuyqyohszf is not possible. For future analyses, detailed fuel consumption logs and process-specific emission factors would be required.</w:t>
      </w:r>
    </w:p>
    <w:bookmarkEnd w:id="29"/>
    <w:bookmarkStart w:id="30" w:name="scope-2-emissions-purchased-energy"/>
    <w:p>
      <w:pPr>
        <w:pStyle w:val="Heading3"/>
      </w:pPr>
      <w:r>
        <w:t xml:space="preserve">3.2. Scope 2 Emissions (Purchased Energy)</w:t>
      </w:r>
    </w:p>
    <w:p>
      <w:pPr>
        <w:pStyle w:val="FirstParagraph"/>
      </w:pPr>
      <w:r>
        <w:t xml:space="preserve">Scope 2 emissions are indirect emissions from the generation of purchased electricity, heat, or steam consumed by</w:t>
      </w:r>
      <w:r>
        <w:t xml:space="preserve"> </w:t>
      </w:r>
      <w:r>
        <w:rPr>
          <w:bCs/>
          <w:b/>
        </w:rPr>
        <w:t xml:space="preserve">olixhuqdli</w:t>
      </w:r>
      <w:r>
        <w:t xml:space="preserve">\'s production facility for</w:t>
      </w:r>
      <w:r>
        <w:t xml:space="preserve"> </w:t>
      </w:r>
      <w:r>
        <w:rPr>
          <w:bCs/>
          <w:b/>
        </w:rPr>
        <w:t xml:space="preserve">yuyqyohszf</w:t>
      </w:r>
      <w:r>
        <w:t xml:space="preserve">. These are critical for the manufacturing phase.</w:t>
      </w:r>
    </w:p>
    <w:p>
      <w:pPr>
        <w:pStyle w:val="BodyText"/>
      </w:pPr>
      <w:r>
        <w:rPr>
          <w:bCs/>
          <w:b/>
        </w:rPr>
        <w:t xml:space="preserve">Calculation Approach:</w:t>
      </w:r>
    </w:p>
    <w:p>
      <w:pPr>
        <w:pStyle w:val="BodyText"/>
      </w:pPr>
      <w:r>
        <w:t xml:space="preserve">The energy intensity parameter</w:t>
      </w:r>
      <w:r>
        <w:t xml:space="preserve"> </w:t>
      </w:r>
      <w:r>
        <w:rPr>
          <w:rStyle w:val="VerbatimChar"/>
        </w:rPr>
        <w:t xml:space="preserve">Energy Intensity (kWh/unit): gipmitoudt</w:t>
      </w:r>
      <w:r>
        <w:t xml:space="preserve"> </w:t>
      </w:r>
      <w:r>
        <w:t xml:space="preserve">would be multiplied by an appropriate emission factor for electricity in China, adjusted for renewable energy usage.</w:t>
      </w:r>
    </w:p>
    <w:p>
      <w:pPr>
        <w:pStyle w:val="BodyText"/>
      </w:pPr>
      <w:r>
        <w:t xml:space="preserve">Given</w:t>
      </w:r>
      <w:r>
        <w:t xml:space="preserve"> </w:t>
      </w:r>
      <w:r>
        <w:rPr>
          <w:rStyle w:val="VerbatimChar"/>
        </w:rPr>
        <w:t xml:space="preserve">Renewable Energy Usage: nnuwkodowl</w:t>
      </w:r>
      <w:r>
        <w:t xml:space="preserve">, the actual grid mix factor would be weighted. For instance, if</w:t>
      </w:r>
      <w:r>
        <w:t xml:space="preserve"> </w:t>
      </w:r>
      <w:r>
        <w:rPr>
          <w:rStyle w:val="VerbatimChar"/>
        </w:rPr>
        <w:t xml:space="preserve">nnuwkodowl</w:t>
      </w:r>
      <w:r>
        <w:t xml:space="preserve"> </w:t>
      </w:r>
      <w:r>
        <w:t xml:space="preserve">is 30% renewable, then 70% of the energy would be sourced from the local grid mix (e.g., China\'s national grid mix, which has a significant coal component), and 30% would be considered zero-emission (or attributed to specific renewable energy factors if certificates are used).</w:t>
      </w:r>
    </w:p>
    <w:p>
      <w:pPr>
        <w:pStyle w:val="BodyText"/>
      </w:pPr>
      <w:r>
        <w:rPr>
          <w:iCs/>
          <w:i/>
        </w:rPr>
        <w:t xml:space="preserve">Example Calculation (Illustrative, assuming placeholder values become concrete):</w:t>
      </w:r>
      <w:r>
        <w:br/>
      </w:r>
      <w:r>
        <w:t xml:space="preserve">If `gipmitoudt` were 10 kWh/unit and `nnuwkodowl` were 30%, with China\'s grid emission factor being ~0.6 kg CO2e/kWh, then:</w:t>
      </w:r>
      <w:r>
        <w:br/>
      </w:r>
      <w:r>
        <w:t xml:space="preserve">Emissions = (10 kWh/unit * (1 - 0.30)) * 0.6 kg CO2e/kWh = 4.2 kg CO2e/unit (from non-renewable electricity).</w:t>
      </w:r>
    </w:p>
    <w:bookmarkEnd w:id="30"/>
    <w:bookmarkStart w:id="35" w:name="scope-3-emissions-value-chain"/>
    <w:p>
      <w:pPr>
        <w:pStyle w:val="Heading3"/>
      </w:pPr>
      <w:r>
        <w:t xml:space="preserve">3.3. Scope 3 Emissions (Value Chain)</w:t>
      </w:r>
    </w:p>
    <w:p>
      <w:pPr>
        <w:pStyle w:val="FirstParagraph"/>
      </w:pPr>
      <w:r>
        <w:t xml:space="preserve">Scope 3 emissions represent all other indirect emissions that occur in the value chain of</w:t>
      </w:r>
      <w:r>
        <w:t xml:space="preserve"> </w:t>
      </w:r>
      <w:r>
        <w:rPr>
          <w:bCs/>
          <w:b/>
        </w:rPr>
        <w:t xml:space="preserve">olixhuqdli</w:t>
      </w:r>
      <w:r>
        <w:t xml:space="preserve">, both upstream and downstream. Ensuring at least 95% coverage for Scope 3 is paramount for this analysis.</w:t>
      </w:r>
    </w:p>
    <w:bookmarkStart w:id="31" w:name="X79b1d862d80b848c19dc426f2535ec96f6cfcfa"/>
    <w:p>
      <w:pPr>
        <w:pStyle w:val="Heading4"/>
      </w:pPr>
      <w:r>
        <w:t xml:space="preserve">3.3.1. Materials Acquisition &amp; Pre-processing (Upstream Scope 3)</w:t>
      </w:r>
    </w:p>
    <w:p>
      <w:pPr>
        <w:pStyle w:val="FirstParagraph"/>
      </w:pPr>
      <w:r>
        <w:t xml:space="preserve">This category covers emissions associated with the extraction, processing, and manufacturing of all raw materials and components used in</w:t>
      </w:r>
      <w:r>
        <w:t xml:space="preserve"> </w:t>
      </w:r>
      <w:r>
        <w:rPr>
          <w:bCs/>
          <w:b/>
        </w:rPr>
        <w:t xml:space="preserve">yuyqyohszf</w:t>
      </w:r>
      <w:r>
        <w:t xml:space="preserve">. This is a significant hotspot for many products.</w:t>
      </w:r>
    </w:p>
    <w:p>
      <w:pPr>
        <w:pStyle w:val="BodyText"/>
      </w:pPr>
      <w:r>
        <w:rPr>
          <w:bCs/>
          <w:b/>
        </w:rPr>
        <w:t xml:space="preserve">Data Source:</w:t>
      </w:r>
      <w:r>
        <w:t xml:space="preserve"> </w:t>
      </w:r>
      <w:r>
        <w:t xml:space="preserve">Detailed Bill of Materials (BOM):</w:t>
      </w:r>
      <w:r>
        <w:t xml:space="preserve"> </w:t>
      </w:r>
      <w:r>
        <w:rPr>
          <w:rStyle w:val="VerbatimChar"/>
        </w:rPr>
        <w:t xml:space="preserve">gjimldws</w:t>
      </w:r>
      <w:r>
        <w:t xml:space="preserve">.</w:t>
      </w:r>
    </w:p>
    <w:p>
      <w:pPr>
        <w:pStyle w:val="BodyText"/>
      </w:pPr>
      <w:r>
        <w:rPr>
          <w:bCs/>
          <w:b/>
        </w:rPr>
        <w:t xml:space="preserve">Calculation Approach:</w:t>
      </w:r>
      <w:r>
        <w:t xml:space="preserve"> </w:t>
      </w:r>
      <w:r>
        <w:t xml:space="preserve">Each item in the BOM would contribute to the overall footprint. The `Qty` of each material would be multiplied by its specific `Emission Factor` to determine the `Total Carbon` for that item. These values would then be summed for the total materials impact.</w:t>
      </w:r>
    </w:p>
    <w:p>
      <w:pPr>
        <w:pStyle w:val="BodyText"/>
      </w:pPr>
      <w:r>
        <w:rPr>
          <w:iCs/>
          <w:i/>
        </w:rPr>
        <w:t xml:space="preserve">Illustrative BOM Structure (using placeholder</w:t>
      </w:r>
      <w:r>
        <w:rPr>
          <w:iCs/>
          <w:i/>
        </w:rPr>
        <w:t xml:space="preserve"> </w:t>
      </w:r>
      <w:r>
        <w:rPr>
          <w:rStyle w:val="VerbatimChar"/>
          <w:iCs/>
          <w:i/>
        </w:rPr>
        <w:t xml:space="preserve">gjimldws</w:t>
      </w:r>
      <w:r>
        <w:rPr>
          <w:iCs/>
          <w:i/>
        </w:rPr>
        <w:t xml:space="preserve"> </w:t>
      </w:r>
      <w:r>
        <w:rPr>
          <w:iCs/>
          <w:i/>
        </w:rPr>
        <w:t xml:space="preserve">for the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Placeholder Material A</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5.0</w:t>
            </w:r>
          </w:p>
        </w:tc>
        <w:tc>
          <w:tcPr/>
          <w:p>
            <w:pPr>
              <w:pStyle w:val="Compact"/>
              <w:jc w:val="left"/>
            </w:pPr>
            <w:r>
              <w:t xml:space="preserve">7.5</w:t>
            </w:r>
          </w:p>
        </w:tc>
      </w:tr>
      <w:tr>
        <w:tc>
          <w:tcPr/>
          <w:p>
            <w:pPr>
              <w:pStyle w:val="Compact"/>
              <w:jc w:val="left"/>
            </w:pPr>
            <w:r>
              <w:t xml:space="preserve">MAT-002</w:t>
            </w:r>
          </w:p>
        </w:tc>
        <w:tc>
          <w:tcPr/>
          <w:p>
            <w:pPr>
              <w:pStyle w:val="Compact"/>
              <w:jc w:val="left"/>
            </w:pPr>
            <w:r>
              <w:t xml:space="preserve">Placeholder Material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2.8</w:t>
            </w:r>
          </w:p>
        </w:tc>
        <w:tc>
          <w:tcPr/>
          <w:p>
            <w:pPr>
              <w:pStyle w:val="Compact"/>
              <w:jc w:val="left"/>
            </w:pPr>
            <w:r>
              <w:t xml:space="preserve">2.24</w:t>
            </w:r>
          </w:p>
        </w:tc>
      </w:tr>
      <w:tr>
        <w:tc>
          <w:tcPr/>
          <w:p>
            <w:pPr>
              <w:pStyle w:val="Compact"/>
              <w:jc w:val="left"/>
            </w:pPr>
            <w:r>
              <w:t xml:space="preserve">MAT-003</w:t>
            </w:r>
          </w:p>
        </w:tc>
        <w:tc>
          <w:tcPr/>
          <w:p>
            <w:pPr>
              <w:pStyle w:val="Compact"/>
              <w:jc w:val="left"/>
            </w:pPr>
            <w:r>
              <w:t xml:space="preserve">Placeholder Component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w:t>
            </w:r>
          </w:p>
        </w:tc>
      </w:tr>
      <w:tr>
        <w:tc>
          <w:tcPr>
            <w:gridSpan w:val="7"/>
          </w:tcPr>
          <w:p>
            <w:pPr>
              <w:pStyle w:val="Compact"/>
              <w:jc w:val="right"/>
            </w:pPr>
            <w:r>
              <w:rPr>
                <w:bCs/>
                <w:b/>
              </w:rPr>
              <w:t xml:space="preserve">Total Material Impact (Illustrative):</w:t>
            </w:r>
          </w:p>
        </w:tc>
        <w:tc>
          <w:tcPr/>
          <w:p>
            <w:pPr>
              <w:pStyle w:val="Compact"/>
              <w:jc w:val="left"/>
            </w:pPr>
            <w:r>
              <w:rPr>
                <w:bCs/>
                <w:b/>
              </w:rPr>
              <w:t xml:space="preserve">12.24</w:t>
            </w:r>
          </w:p>
        </w:tc>
      </w:tr>
    </w:tbl>
    <w:p>
      <w:pPr>
        <w:pStyle w:val="BodyText"/>
      </w:pPr>
      <w:r>
        <w:t xml:space="preserve">To perform an actual calculation, the string `gjimldws` would need to be replaced with a structured list of materials, quantities, and their respective emission factors. The supply chain focus on Europe suggests that emission factors for materials originating from Europe should be used where applicable.</w:t>
      </w:r>
    </w:p>
    <w:bookmarkEnd w:id="31"/>
    <w:bookmarkStart w:id="32" w:name="transport-upstream-downstream-scope-3"/>
    <w:p>
      <w:pPr>
        <w:pStyle w:val="Heading4"/>
      </w:pPr>
      <w:r>
        <w:t xml:space="preserve">3.3.2. Transport (Upstream &amp; Downstream Scope 3)</w:t>
      </w:r>
    </w:p>
    <w:p>
      <w:pPr>
        <w:pStyle w:val="FirstParagraph"/>
      </w:pPr>
      <w:r>
        <w:t xml:space="preserve">Emissions from transporting raw materials, components, and the finished product significantly contribute to the PCF.</w:t>
      </w:r>
    </w:p>
    <w:p>
      <w:pPr>
        <w:numPr>
          <w:ilvl w:val="0"/>
          <w:numId w:val="1007"/>
        </w:numPr>
        <w:pStyle w:val="Compact"/>
      </w:pPr>
      <w:r>
        <w:rPr>
          <w:bCs/>
          <w:b/>
        </w:rPr>
        <w:t xml:space="preserve">Inbound Logistics:</w:t>
      </w:r>
      <w:r>
        <w:t xml:space="preserve"> </w:t>
      </w:r>
      <w:r>
        <w:t xml:space="preserve">From raw material suppliers (Europe Focused) to the factory in China.</w:t>
      </w:r>
    </w:p>
    <w:p>
      <w:pPr>
        <w:numPr>
          <w:ilvl w:val="0"/>
          <w:numId w:val="1007"/>
        </w:numPr>
        <w:pStyle w:val="Compact"/>
      </w:pPr>
      <w:r>
        <w:rPr>
          <w:bCs/>
          <w:b/>
        </w:rPr>
        <w:t xml:space="preserve">Outbound Logistics:</w:t>
      </w:r>
      <w:r>
        <w:t xml:space="preserve"> </w:t>
      </w:r>
      <w:r>
        <w:t xml:space="preserve">From the factory in China to the market/customer.</w:t>
      </w:r>
    </w:p>
    <w:p>
      <w:pPr>
        <w:pStyle w:val="FirstParagraph"/>
      </w:pPr>
      <w:r>
        <w:rPr>
          <w:bCs/>
          <w:b/>
        </w:rPr>
        <w:t xml:space="preserve">Data Sources:</w:t>
      </w:r>
    </w:p>
    <w:p>
      <w:pPr>
        <w:numPr>
          <w:ilvl w:val="0"/>
          <w:numId w:val="1008"/>
        </w:numPr>
        <w:pStyle w:val="Compact"/>
      </w:pPr>
      <w:r>
        <w:rPr>
          <w:rStyle w:val="VerbatimChar"/>
        </w:rPr>
        <w:t xml:space="preserve">Transport Mode: Select Mode</w:t>
      </w:r>
    </w:p>
    <w:p>
      <w:pPr>
        <w:numPr>
          <w:ilvl w:val="0"/>
          <w:numId w:val="1008"/>
        </w:numPr>
        <w:pStyle w:val="Compact"/>
      </w:pPr>
      <w:r>
        <w:rPr>
          <w:rStyle w:val="VerbatimChar"/>
        </w:rPr>
        <w:t xml:space="preserve">Transport Distance: ihwsdofstf</w:t>
      </w:r>
    </w:p>
    <w:p>
      <w:pPr>
        <w:numPr>
          <w:ilvl w:val="0"/>
          <w:numId w:val="1008"/>
        </w:numPr>
        <w:pStyle w:val="Compact"/>
      </w:pPr>
      <w:r>
        <w:rPr>
          <w:rStyle w:val="VerbatimChar"/>
        </w:rPr>
        <w:t xml:space="preserve">Last-Mile Delivery Channel: Delivery Type</w:t>
      </w:r>
    </w:p>
    <w:p>
      <w:pPr>
        <w:pStyle w:val="FirstParagraph"/>
      </w:pPr>
      <w:r>
        <w:rPr>
          <w:bCs/>
          <w:b/>
        </w:rPr>
        <w:t xml:space="preserve">Calculation Approach:</w:t>
      </w:r>
      <w:r>
        <w:t xml:space="preserve"> </w:t>
      </w:r>
      <w:r>
        <w:t xml:space="preserve">Each transport segment would be calculated by multiplying the `Transport Distance` by the specific `Weight/Volume of Product` and an appropriate `Emission Factor` for the `Transport Mode` (e.g., kg CO2e/tonne-km for freight or kg CO2e/delivery for last-mile).</w:t>
      </w:r>
    </w:p>
    <w:p>
      <w:pPr>
        <w:pStyle w:val="BodyText"/>
      </w:pPr>
      <w:r>
        <w:rPr>
          <w:iCs/>
          <w:i/>
        </w:rPr>
        <w:t xml:space="preserve">Example Calculation (Illustrative):</w:t>
      </w:r>
      <w:r>
        <w:br/>
      </w:r>
      <w:r>
        <w:t xml:space="preserve">If `ihwsdofstf` were 5,000 km for inbound freight and `Select Mode` were "Ocean Freight" (e.g., 0.01 kg CO2e/tonne-km), for 1 tonne of materials:</w:t>
      </w:r>
      <w:r>
        <w:br/>
      </w:r>
      <w:r>
        <w:t xml:space="preserve">Emissions = 5,000 km * 1 tonne * 0.01 kg CO2e/tonne-km = 50 kg CO2e.</w:t>
      </w:r>
    </w:p>
    <w:p>
      <w:pPr>
        <w:pStyle w:val="BodyText"/>
      </w:pPr>
      <w:r>
        <w:t xml:space="preserve">The `Last-Mile Delivery Channel: Delivery Type` would also require a specific emission factor depending on whether it\'s by van, electric vehicle, drone, etc., over a specific distance.</w:t>
      </w:r>
    </w:p>
    <w:bookmarkEnd w:id="32"/>
    <w:bookmarkStart w:id="33" w:name="use-phase-downstream-scope-3"/>
    <w:p>
      <w:pPr>
        <w:pStyle w:val="Heading4"/>
      </w:pPr>
      <w:r>
        <w:t xml:space="preserve">3.3.3. Use Phase (Downstream Scope 3)</w:t>
      </w:r>
    </w:p>
    <w:p>
      <w:pPr>
        <w:pStyle w:val="FirstParagraph"/>
      </w:pPr>
      <w:r>
        <w:t xml:space="preserve">This includes emissions occurring during the product\'s lifespan when used by the consumer.</w:t>
      </w:r>
    </w:p>
    <w:p>
      <w:pPr>
        <w:pStyle w:val="BodyText"/>
      </w:pPr>
      <w:r>
        <w:rPr>
          <w:bCs/>
          <w:b/>
        </w:rPr>
        <w:t xml:space="preserve">Data Sources:</w:t>
      </w:r>
    </w:p>
    <w:p>
      <w:pPr>
        <w:numPr>
          <w:ilvl w:val="0"/>
          <w:numId w:val="1009"/>
        </w:numPr>
        <w:pStyle w:val="Compact"/>
      </w:pPr>
      <w:r>
        <w:rPr>
          <w:rStyle w:val="VerbatimChar"/>
        </w:rPr>
        <w:t xml:space="preserve">Product Lifespan: ikojqernrw</w:t>
      </w:r>
    </w:p>
    <w:p>
      <w:pPr>
        <w:numPr>
          <w:ilvl w:val="0"/>
          <w:numId w:val="1009"/>
        </w:numPr>
        <w:pStyle w:val="Compact"/>
      </w:pPr>
      <w:r>
        <w:rPr>
          <w:rStyle w:val="VerbatimChar"/>
        </w:rPr>
        <w:t xml:space="preserve">Energy Consumption in Use: jvqqienlew</w:t>
      </w:r>
    </w:p>
    <w:p>
      <w:pPr>
        <w:pStyle w:val="FirstParagraph"/>
      </w:pPr>
      <w:r>
        <w:rPr>
          <w:bCs/>
          <w:b/>
        </w:rPr>
        <w:t xml:space="preserve">Calculation Approach:</w:t>
      </w:r>
      <w:r>
        <w:t xml:space="preserve"> </w:t>
      </w:r>
      <w:r>
        <w:t xml:space="preserve">The `Energy Consumption in Use` (e.g., kWh/year) would be multiplied by the `Product Lifespan` (e.g., years) to get total energy consumed over life, which is then multiplied by the relevant electricity grid emission factor for the region of use.</w:t>
      </w:r>
    </w:p>
    <w:p>
      <w:pPr>
        <w:pStyle w:val="BodyText"/>
      </w:pPr>
      <w:r>
        <w:rPr>
          <w:iCs/>
          <w:i/>
        </w:rPr>
        <w:t xml:space="preserve">Example Calculation (Illustrative):</w:t>
      </w:r>
      <w:r>
        <w:br/>
      </w:r>
      <w:r>
        <w:t xml:space="preserve">If `ikojqernrw` were 5 years and `jvqqienlew` were 50 kWh/year, and the average grid emission factor for the use region were 0.4 kg CO2e/kWh:</w:t>
      </w:r>
      <w:r>
        <w:br/>
      </w:r>
      <w:r>
        <w:t xml:space="preserve">Emissions = 50 kWh/year * 5 years * 0.4 kg CO2e/kWh = 100 kg CO2e.</w:t>
      </w:r>
    </w:p>
    <w:bookmarkEnd w:id="33"/>
    <w:bookmarkStart w:id="34" w:name="end-of-life-downstream-scope-3"/>
    <w:p>
      <w:pPr>
        <w:pStyle w:val="Heading4"/>
      </w:pPr>
      <w:r>
        <w:t xml:space="preserve">3.3.4. End-of-Life (Downstream Scope 3)</w:t>
      </w:r>
    </w:p>
    <w:p>
      <w:pPr>
        <w:pStyle w:val="FirstParagraph"/>
      </w:pPr>
      <w:r>
        <w:t xml:space="preserve">Emissions and potential avoided emissions from the disposal or recovery of the product and its packaging at the end of its useful life.</w:t>
      </w:r>
    </w:p>
    <w:p>
      <w:pPr>
        <w:pStyle w:val="BodyText"/>
      </w:pPr>
      <w:r>
        <w:rPr>
          <w:bCs/>
          <w:b/>
        </w:rPr>
        <w:t xml:space="preserve">Data Sources:</w:t>
      </w:r>
    </w:p>
    <w:p>
      <w:pPr>
        <w:numPr>
          <w:ilvl w:val="0"/>
          <w:numId w:val="1010"/>
        </w:numPr>
        <w:pStyle w:val="Compact"/>
      </w:pPr>
      <w:r>
        <w:rPr>
          <w:rStyle w:val="VerbatimChar"/>
        </w:rPr>
        <w:t xml:space="preserve">Recyclability Percentage: fyyutzktvo</w:t>
      </w:r>
    </w:p>
    <w:p>
      <w:pPr>
        <w:numPr>
          <w:ilvl w:val="0"/>
          <w:numId w:val="1010"/>
        </w:numPr>
        <w:pStyle w:val="Compact"/>
      </w:pPr>
      <w:r>
        <w:rPr>
          <w:rStyle w:val="VerbatimChar"/>
        </w:rPr>
        <w:t xml:space="preserve">Circular/Take-back Programs: tunjxymhzq</w:t>
      </w:r>
    </w:p>
    <w:p>
      <w:pPr>
        <w:pStyle w:val="FirstParagraph"/>
      </w:pPr>
      <w:r>
        <w:rPr>
          <w:bCs/>
          <w:b/>
        </w:rPr>
        <w:t xml:space="preserve">Calculation Approach:</w:t>
      </w:r>
      <w:r>
        <w:t xml:space="preserve"> </w:t>
      </w:r>
      <w:r>
        <w:t xml:space="preserve">This involves accounting for emissions from landfilling, incineration, or the benefits (avoided emissions) from recycling and reuse. The `Recyclability Percentage` would dictate the proportion of materials diverted from waste streams.</w:t>
      </w:r>
    </w:p>
    <w:p>
      <w:pPr>
        <w:pStyle w:val="BodyText"/>
      </w:pPr>
      <w:r>
        <w:t xml:space="preserve">`Circular/Take-back Programs: tunjxymhzq` indicate potential for advanced end-of-life management, which can lead to significant reductions or even net negative emissions if materials are effectively reused or recycled into new products with lower primary material input. Specific avoided emission factors for recycled materials would be applied.</w:t>
      </w:r>
    </w:p>
    <w:bookmarkEnd w:id="34"/>
    <w:bookmarkEnd w:id="35"/>
    <w:bookmarkEnd w:id="36"/>
    <w:bookmarkStart w:id="37" w:name="X8e7b00ff853e1969303d7fcab75f53b89944a19"/>
    <w:p>
      <w:pPr>
        <w:pStyle w:val="Heading2"/>
      </w:pPr>
      <w:r>
        <w:t xml:space="preserve">4. Overall PCF Calculation &amp; Hotspots (Conceptual)</w:t>
      </w:r>
    </w:p>
    <w:p>
      <w:pPr>
        <w:pStyle w:val="FirstParagraph"/>
      </w:pPr>
      <w:r>
        <w:t xml:space="preserve">Without quantifiable input data, a precise total PCF for</w:t>
      </w:r>
      <w:r>
        <w:t xml:space="preserve"> </w:t>
      </w:r>
      <w:r>
        <w:rPr>
          <w:bCs/>
          <w:b/>
        </w:rPr>
        <w:t xml:space="preserve">yuyqyohszf</w:t>
      </w:r>
      <w:r>
        <w:t xml:space="preserve"> </w:t>
      </w:r>
      <w:r>
        <w:t xml:space="preserve">cannot be calculated. However, based on the described methodology, the total PCF would be the sum of all calculated Scope 1, Scope 2, and Scope 3 emissions across the product\'s lifecycle.</w:t>
      </w:r>
    </w:p>
    <w:p>
      <w:pPr>
        <w:pStyle w:val="BodyText"/>
      </w:pPr>
      <w:r>
        <w:rPr>
          <w:bCs/>
          <w:b/>
        </w:rPr>
        <w:t xml:space="preserve">Conceptual Hotspots:</w:t>
      </w:r>
      <w:r>
        <w:t xml:space="preserve"> </w:t>
      </w:r>
      <w:r>
        <w:t xml:space="preserve">Based on typical product lifecycles and the defined scope, potential hotspots for</w:t>
      </w:r>
      <w:r>
        <w:t xml:space="preserve"> </w:t>
      </w:r>
      <w:r>
        <w:rPr>
          <w:bCs/>
          <w:b/>
        </w:rPr>
        <w:t xml:space="preserve">yuyqyohszf</w:t>
      </w:r>
      <w:r>
        <w:t xml:space="preserve"> </w:t>
      </w:r>
      <w:r>
        <w:t xml:space="preserve">are likely to include:</w:t>
      </w:r>
    </w:p>
    <w:p>
      <w:pPr>
        <w:numPr>
          <w:ilvl w:val="0"/>
          <w:numId w:val="1011"/>
        </w:numPr>
        <w:pStyle w:val="Compact"/>
      </w:pPr>
      <w:r>
        <w:rPr>
          <w:bCs/>
          <w:b/>
        </w:rPr>
        <w:t xml:space="preserve">Materials Acquisition &amp; Pre-processing:</w:t>
      </w:r>
      <w:r>
        <w:t xml:space="preserve"> </w:t>
      </w:r>
      <w:r>
        <w:t xml:space="preserve">Especially for energy-intensive materials, or those with complex supply chains originating from regions with high-carbon energy mixes. (Linked to `gjimldws`)</w:t>
      </w:r>
    </w:p>
    <w:p>
      <w:pPr>
        <w:numPr>
          <w:ilvl w:val="0"/>
          <w:numId w:val="1011"/>
        </w:numPr>
        <w:pStyle w:val="Compact"/>
      </w:pPr>
      <w:r>
        <w:rPr>
          <w:bCs/>
          <w:b/>
        </w:rPr>
        <w:t xml:space="preserve">Manufacturing (Scope 2):</w:t>
      </w:r>
      <w:r>
        <w:t xml:space="preserve"> </w:t>
      </w:r>
      <w:r>
        <w:t xml:space="preserve">Given production in China, reliance on the national grid without 100% renewable energy would likely result in significant emissions. (Linked to `gipmitoudt`, `nnuwkodowl`)</w:t>
      </w:r>
    </w:p>
    <w:p>
      <w:pPr>
        <w:numPr>
          <w:ilvl w:val="0"/>
          <w:numId w:val="1011"/>
        </w:numPr>
        <w:pStyle w:val="Compact"/>
      </w:pPr>
      <w:r>
        <w:rPr>
          <w:bCs/>
          <w:b/>
        </w:rPr>
        <w:t xml:space="preserve">Transport:</w:t>
      </w:r>
      <w:r>
        <w:t xml:space="preserve"> </w:t>
      </w:r>
      <w:r>
        <w:t xml:space="preserve">Long-distance international shipping (China to Europe) for both inbound components and outbound finished goods could be substantial, depending on modes. (Linked to `ihwsdofstf`, `Select Mode`, `Delivery Type`)</w:t>
      </w:r>
    </w:p>
    <w:p>
      <w:pPr>
        <w:numPr>
          <w:ilvl w:val="0"/>
          <w:numId w:val="1011"/>
        </w:numPr>
        <w:pStyle w:val="Compact"/>
      </w:pPr>
      <w:r>
        <w:rPr>
          <w:bCs/>
          <w:b/>
        </w:rPr>
        <w:t xml:space="preserve">Use Phase:</w:t>
      </w:r>
      <w:r>
        <w:t xml:space="preserve"> </w:t>
      </w:r>
      <w:r>
        <w:t xml:space="preserve">If</w:t>
      </w:r>
      <w:r>
        <w:t xml:space="preserve"> </w:t>
      </w:r>
      <w:r>
        <w:rPr>
          <w:bCs/>
          <w:b/>
        </w:rPr>
        <w:t xml:space="preserve">yuyqyohszf</w:t>
      </w:r>
      <w:r>
        <w:t xml:space="preserve"> </w:t>
      </w:r>
      <w:r>
        <w:t xml:space="preserve">is an energy-consuming product with a long lifespan, the use phase can dominate the footprint. (Linked to `ikojqernrw`, `jvqqienlew`)</w:t>
      </w:r>
    </w:p>
    <w:p>
      <w:r>
        <w:pict>
          <v:rect style="width:0;height:1.5pt" o:hralign="center" o:hrstd="t" o:hr="t"/>
        </w:pict>
      </w:r>
    </w:p>
    <w:bookmarkEnd w:id="37"/>
    <w:bookmarkStart w:id="38" w:name="recommendations-opportunities"/>
    <w:p>
      <w:pPr>
        <w:pStyle w:val="Heading2"/>
      </w:pPr>
      <w:r>
        <w:t xml:space="preserve">5. Recommendations &amp; Opportunities</w:t>
      </w:r>
    </w:p>
    <w:p>
      <w:pPr>
        <w:pStyle w:val="FirstParagraph"/>
      </w:pPr>
      <w:r>
        <w:t xml:space="preserve">Based on this conceptual analysis,</w:t>
      </w:r>
      <w:r>
        <w:t xml:space="preserve"> </w:t>
      </w:r>
      <w:r>
        <w:rPr>
          <w:bCs/>
          <w:b/>
        </w:rPr>
        <w:t xml:space="preserve">olixhuqdli</w:t>
      </w:r>
      <w:r>
        <w:t xml:space="preserve"> </w:t>
      </w:r>
      <w:r>
        <w:t xml:space="preserve">can focus on several key areas to reduce the carbon footprint of</w:t>
      </w:r>
      <w:r>
        <w:t xml:space="preserve"> </w:t>
      </w:r>
      <w:r>
        <w:rPr>
          <w:bCs/>
          <w:b/>
        </w:rPr>
        <w:t xml:space="preserve">yuyqyohszf</w:t>
      </w:r>
      <w:r>
        <w:t xml:space="preserve">:</w:t>
      </w:r>
    </w:p>
    <w:p>
      <w:pPr>
        <w:numPr>
          <w:ilvl w:val="0"/>
          <w:numId w:val="1012"/>
        </w:numPr>
        <w:pStyle w:val="Compact"/>
      </w:pPr>
      <w:r>
        <w:rPr>
          <w:bCs/>
          <w:b/>
        </w:rPr>
        <w:t xml:space="preserve">Data Collection Enhancement:</w:t>
      </w:r>
      <w:r>
        <w:t xml:space="preserve"> </w:t>
      </w:r>
      <w:r>
        <w:t xml:space="preserve">Prioritize collecting granular, quantitative data for all placeholder parameters (BOM, transport, energy, use phase, EoL) to enable precise PCF calculation and hotspot identification.</w:t>
      </w:r>
    </w:p>
    <w:p>
      <w:pPr>
        <w:numPr>
          <w:ilvl w:val="0"/>
          <w:numId w:val="1012"/>
        </w:numPr>
        <w:pStyle w:val="Compact"/>
      </w:pPr>
      <w:r>
        <w:rPr>
          <w:bCs/>
          <w:b/>
        </w:rPr>
        <w:t xml:space="preserve">Material Optimization:</w:t>
      </w:r>
      <w:r>
        <w:t xml:space="preserve"> </w:t>
      </w:r>
      <w:r>
        <w:t xml:space="preserve">Investigate alternative materials with lower embodied carbon, optimize material usage, and explore recycled content for components detailed in the BOM (once `gjimldws` is quantified).</w:t>
      </w:r>
    </w:p>
    <w:p>
      <w:pPr>
        <w:numPr>
          <w:ilvl w:val="0"/>
          <w:numId w:val="1012"/>
        </w:numPr>
        <w:pStyle w:val="Compact"/>
      </w:pPr>
      <w:r>
        <w:rPr>
          <w:bCs/>
          <w:b/>
        </w:rPr>
        <w:t xml:space="preserve">Renewable Energy Transition:</w:t>
      </w:r>
      <w:r>
        <w:t xml:space="preserve"> </w:t>
      </w:r>
      <w:r>
        <w:t xml:space="preserve">Increase the percentage of renewable energy (`nnuwkodowl`) used in manufacturing facilities, particularly in China, beyond current levels, possibly through on-site generation or purchasing renewable energy certificates.</w:t>
      </w:r>
    </w:p>
    <w:p>
      <w:pPr>
        <w:numPr>
          <w:ilvl w:val="0"/>
          <w:numId w:val="1012"/>
        </w:numPr>
        <w:pStyle w:val="Compact"/>
      </w:pPr>
      <w:r>
        <w:rPr>
          <w:bCs/>
          <w:b/>
        </w:rPr>
        <w:t xml:space="preserve">Logistics Efficiency:</w:t>
      </w:r>
      <w:r>
        <w:t xml:space="preserve"> </w:t>
      </w:r>
      <w:r>
        <w:t xml:space="preserve">Optimize transport routes, explore lower-emission transport modes (e.g., rail over road/air, more efficient ocean freight), and consolidate shipments to reduce emissions associated with `ihwsdofstf`, `Select Mode`, and `Delivery Type`.</w:t>
      </w:r>
    </w:p>
    <w:p>
      <w:pPr>
        <w:numPr>
          <w:ilvl w:val="0"/>
          <w:numId w:val="1012"/>
        </w:numPr>
        <w:pStyle w:val="Compact"/>
      </w:pPr>
      <w:r>
        <w:rPr>
          <w:bCs/>
          <w:b/>
        </w:rPr>
        <w:t xml:space="preserve">Product Design for Efficiency &amp; Circularity:</w:t>
      </w:r>
      <w:r>
        <w:t xml:space="preserve"> </w:t>
      </w:r>
      <w:r>
        <w:t xml:space="preserve">Design</w:t>
      </w:r>
      <w:r>
        <w:t xml:space="preserve"> </w:t>
      </w:r>
      <w:r>
        <w:rPr>
          <w:bCs/>
          <w:b/>
        </w:rPr>
        <w:t xml:space="preserve">yuyqyohszf</w:t>
      </w:r>
      <w:r>
        <w:t xml:space="preserve"> </w:t>
      </w:r>
      <w:r>
        <w:t xml:space="preserve">for improved energy efficiency during the `ikojqernrw` `Product Lifespan` and reduced `jvqqienlew` `Energy Consumption in Use`. Enhance `Recyclability Percentage: fyyutzktvo` and strengthen `Circular/Take-back Programs: tunjxymhzq` to maximize material recovery and minimize waste.</w:t>
      </w:r>
    </w:p>
    <w:p>
      <w:pPr>
        <w:numPr>
          <w:ilvl w:val="0"/>
          <w:numId w:val="1012"/>
        </w:numPr>
        <w:pStyle w:val="Compact"/>
      </w:pPr>
      <w:r>
        <w:rPr>
          <w:bCs/>
          <w:b/>
        </w:rPr>
        <w:t xml:space="preserve">Supply Chain Engagement:</w:t>
      </w:r>
      <w:r>
        <w:t xml:space="preserve"> </w:t>
      </w:r>
      <w:r>
        <w:t xml:space="preserve">Collaborate with suppliers (Europe Focused) to understand and reduce their upstream emissions, encouraging transparency and sustainable practices.</w:t>
      </w:r>
    </w:p>
    <w:p>
      <w:r>
        <w:pict>
          <v:rect style="width:0;height:1.5pt" o:hralign="center" o:hrstd="t" o:hr="t"/>
        </w:pict>
      </w:r>
    </w:p>
    <w:bookmarkEnd w:id="38"/>
    <w:bookmarkStart w:id="40" w:name="disclaimer-and-limitations"/>
    <w:p>
      <w:pPr>
        <w:pStyle w:val="Heading2"/>
      </w:pPr>
      <w:r>
        <w:t xml:space="preserve">6. Disclaimer and Limitations</w:t>
      </w:r>
    </w:p>
    <w:p>
      <w:pPr>
        <w:pStyle w:val="FirstParagraph"/>
      </w:pPr>
      <w:r>
        <w:t xml:space="preserve">This Product Carbon Footprint (PCF) report for</w:t>
      </w:r>
      <w:r>
        <w:t xml:space="preserve"> </w:t>
      </w:r>
      <w:r>
        <w:rPr>
          <w:bCs/>
          <w:b/>
        </w:rPr>
        <w:t xml:space="preserve">yuyqyohszf</w:t>
      </w:r>
      <w:r>
        <w:t xml:space="preserve"> </w:t>
      </w:r>
      <w:r>
        <w:t xml:space="preserve">is based on the methodology prescribed by the GHG Protocol and the specific parameters provided. It serves as a conceptual framework for understanding the product\'s environmental impact.</w:t>
      </w:r>
    </w:p>
    <w:p>
      <w:pPr>
        <w:pStyle w:val="BodyText"/>
      </w:pPr>
      <w:r>
        <w:t xml:space="preserve">**Significant Limitation:** Due to the input parameters being provided as literal placeholder strings (e.g., `gjimldws`, `ihwsdofstf`, `gipmitoudt`) rather than specific numerical or descriptive data, a precise quantitative calculation of the total Product Carbon Footprint was not possible. The numerical examples provided within this report are purely illustrative and intended to demonstrate the calculation methodology, not to represent actual emissions for</w:t>
      </w:r>
      <w:r>
        <w:t xml:space="preserve"> </w:t>
      </w:r>
      <w:r>
        <w:rPr>
          <w:bCs/>
          <w:b/>
        </w:rPr>
        <w:t xml:space="preserve">yuyqyohszf</w:t>
      </w:r>
      <w:r>
        <w:t xml:space="preserve">.</w:t>
      </w:r>
    </w:p>
    <w:p>
      <w:pPr>
        <w:pStyle w:val="BodyText"/>
      </w:pPr>
      <w:r>
        <w:t xml:space="preserve">Future analyses will require concrete, verifiable data for all input parameters to generate an accurate and actionable PCF. Any decisions based solely on this conceptual report should acknowledge these data limitations.</w:t>
      </w:r>
    </w:p>
    <w:p>
      <w:pPr>
        <w:pStyle w:val="BodyText"/>
      </w:pPr>
      <w:r>
        <w:t xml:space="preserve">Confidential - Internal Use Only | Page</w:t>
      </w:r>
      <w:r>
        <w:t xml:space="preserve"> </w:t>
      </w:r>
      <w:bookmarkStart w:id="39" w:name="pageNumber"/>
      <w:bookmarkEnd w:id="39"/>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yuyqyohszf</dc:title>
  <dc:creator/>
  <dc:description>Detailed Product Carbon Footprint (PCF) analysis report for product yuyqyohszf, conducted by Senior Sustainability Consultant wwndhnkoto for olixhuqdli, adhering to GHG Protocol standards and 2026 LSR updates.</dc:description>
  <dc:language>en</dc:language>
  <cp:keywords/>
  <dcterms:created xsi:type="dcterms:W3CDTF">2026-07-15T09:18:16Z</dcterms:created>
  <dcterms:modified xsi:type="dcterms:W3CDTF">2026-07-15T09:18:16Z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