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yuiwjudnfs</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yuiwjudnfs"/>
    <w:p>
      <w:pPr>
        <w:pStyle w:val="Heading2"/>
      </w:pPr>
      <w:r>
        <w:t xml:space="preserve">Product: yuiwjudnfs</w:t>
      </w:r>
    </w:p>
    <w:p>
      <w:pPr>
        <w:pStyle w:val="FirstParagraph"/>
      </w:pPr>
      <w:r>
        <w:rPr>
          <w:bCs/>
          <w:b/>
        </w:rPr>
        <w:t xml:space="preserve">Company Name:</w:t>
      </w:r>
      <w:r>
        <w:t xml:space="preserve"> </w:t>
      </w:r>
      <w:r>
        <w:t xml:space="preserve">juljjqqrel</w:t>
      </w:r>
    </w:p>
    <w:p>
      <w:pPr>
        <w:pStyle w:val="BodyText"/>
      </w:pPr>
      <w:r>
        <w:rPr>
          <w:bCs/>
          <w:b/>
        </w:rPr>
        <w:t xml:space="preserve">Senior Sustainability Consultant:</w:t>
      </w:r>
      <w:r>
        <w:t xml:space="preserve"> </w:t>
      </w:r>
      <w:r>
        <w:t xml:space="preserve">jjohulzpgx</w:t>
      </w:r>
    </w:p>
    <w:p>
      <w:pPr>
        <w:pStyle w:val="BodyText"/>
      </w:pPr>
      <w:r>
        <w:rPr>
          <w:bCs/>
          <w:b/>
        </w:rPr>
        <w:t xml:space="preserve">Accounting Standard:</w:t>
      </w:r>
      <w:r>
        <w:t xml:space="preserve"> </w:t>
      </w:r>
      <w:r>
        <w:t xml:space="preserve">GHG Protocol Product Standard</w:t>
      </w:r>
    </w:p>
    <w:p>
      <w:pPr>
        <w:pStyle w:val="BodyText"/>
      </w:pPr>
      <w:r>
        <w:t xml:space="preserve">Disclaimer: This report is generated based on available data and industry standards, including specific parameters provided. Assumptions have been made where explicit data was not provided for placeholders.</w:t>
      </w:r>
    </w:p>
    <w:bookmarkEnd w:id="20"/>
    <w:bookmarkEnd w:id="21"/>
    <w:p>
      <w:pPr>
        <w:pStyle w:val="BodyText"/>
      </w:pPr>
      <w:r>
        <w:t xml:space="preserve">Generated Date: May 20, 2026</w:t>
      </w:r>
    </w:p>
    <w:bookmarkStart w:id="50"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yuiwjudnfs</w:t>
      </w:r>
      <w:r>
        <w:t xml:space="preserve"> </w:t>
      </w:r>
      <w:r>
        <w:t xml:space="preserve">manufactured by</w:t>
      </w:r>
      <w:r>
        <w:t xml:space="preserve"> </w:t>
      </w:r>
      <w:r>
        <w:rPr>
          <w:bCs/>
          <w:b/>
        </w:rPr>
        <w:t xml:space="preserve">juljjqqrel</w:t>
      </w:r>
      <w:r>
        <w:t xml:space="preserve">. Conducted by Senior Sustainability Consultant</w:t>
      </w:r>
      <w:r>
        <w:t xml:space="preserve"> </w:t>
      </w:r>
      <w:r>
        <w:rPr>
          <w:bCs/>
          <w:b/>
        </w:rPr>
        <w:t xml:space="preserve">jjohulzpgx</w:t>
      </w:r>
      <w:r>
        <w:t xml:space="preserve">, this assessment adheres to the GHG Protocol Product Life Cycle Accounting and Reporting Standard. It incorporates the 2026 Land Sector and Removals (LSR) update and ensures at least 95% coverage for Scope 3 emissions. The analysis follows a cradle-to-gate system boundary for the primary PCF calculation, with additional considerations for the use phase and end-of-life to identify comprehensive lifecycle hotspots. The total carbon footprint up to the factory gate for one unit of yuiwjudnfs is calculated to be approximately</w:t>
      </w:r>
      <w:r>
        <w:t xml:space="preserve"> </w:t>
      </w:r>
      <w:r>
        <w:rPr>
          <w:bCs/>
          <w:b/>
        </w:rPr>
        <w:t xml:space="preserve">7.1 kg CO2e</w:t>
      </w:r>
      <w:r>
        <w:t xml:space="preserve">.</w:t>
      </w:r>
    </w:p>
    <w:p>
      <w:r>
        <w:pict>
          <v:rect style="width:0;height:1.5pt" o:hralign="center" o:hrstd="t" o:hr="t"/>
        </w:pict>
      </w:r>
    </w:p>
    <w:bookmarkStart w:id="22" w:name="scope-definition"/>
    <w:p>
      <w:pPr>
        <w:pStyle w:val="Heading2"/>
      </w:pPr>
      <w:r>
        <w:t xml:space="preserve">1. Scope Definition</w:t>
      </w:r>
    </w:p>
    <w:p>
      <w:pPr>
        <w:pStyle w:val="FirstParagraph"/>
      </w:pPr>
      <w:r>
        <w:t xml:space="preserve">The first step in this Product Carbon Footprint (PCF) analysis is to clearly define the parameters and boundaries of the assessment, in accordance with the GHG Protocol Product Life Cycle Accounting and Reporting Standard.</w:t>
      </w:r>
    </w:p>
    <w:p>
      <w:pPr>
        <w:numPr>
          <w:ilvl w:val="0"/>
          <w:numId w:val="1001"/>
        </w:numPr>
        <w:pStyle w:val="Compact"/>
      </w:pPr>
      <w:r>
        <w:rPr>
          <w:bCs/>
          <w:b/>
        </w:rPr>
        <w:t xml:space="preserve">Functional Unit:</w:t>
      </w:r>
      <w:r>
        <w:t xml:space="preserve"> </w:t>
      </w:r>
      <w:r>
        <w:t xml:space="preserve">1.0 unit of yuiwjudnfs. This unit serves as the reference flow for all input and output calculations throughout the product\'s lifecycle.</w:t>
      </w:r>
    </w:p>
    <w:p>
      <w:pPr>
        <w:numPr>
          <w:ilvl w:val="0"/>
          <w:numId w:val="1001"/>
        </w:numPr>
        <w:pStyle w:val="Compact"/>
      </w:pPr>
      <w:r>
        <w:rPr>
          <w:bCs/>
          <w:b/>
        </w:rPr>
        <w:t xml:space="preserve">System Boundary:</w:t>
      </w:r>
      <w:r>
        <w:t xml:space="preserve"> </w:t>
      </w:r>
      <w:r>
        <w:t xml:space="preserve">Cradle-to-gate (factory_gate). This boundary encompasses all emissions from raw material acquisition, through manufacturing and processing, up to the point where the finished product leaves the juljjqqrel factory in China. While the primary PCF calculation adheres to this boundary, a comprehensive lifecycle perspective, including the use phase and end-of-life, is considered for hotspot analysis and reporting, as per detailed analysis requirements.</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 and component sourcing. The product is assumed to be distributed and used primarily within Europe.</w:t>
      </w:r>
    </w:p>
    <w:p>
      <w:pPr>
        <w:numPr>
          <w:ilvl w:val="0"/>
          <w:numId w:val="1001"/>
        </w:numPr>
        <w:pStyle w:val="Compact"/>
      </w:pPr>
      <w:r>
        <w:rPr>
          <w:bCs/>
          <w:b/>
        </w:rPr>
        <w:t xml:space="preserve">Allocation:</w:t>
      </w:r>
      <w:r>
        <w:t xml:space="preserve"> </w:t>
      </w:r>
      <w:r>
        <w:t xml:space="preserve">All environmental burdens and credits are attributed directly to the functional unit. No co-product or recycling allocation is explicitly required within the factory-gate boundary for initial PCF calculation, but end-of-life recycling benefits are assessed separately.</w:t>
      </w:r>
    </w:p>
    <w:p>
      <w:pPr>
        <w:numPr>
          <w:ilvl w:val="0"/>
          <w:numId w:val="1001"/>
        </w:numPr>
        <w:pStyle w:val="Compact"/>
      </w:pPr>
      <w:r>
        <w:rPr>
          <w:bCs/>
          <w:b/>
        </w:rPr>
        <w:t xml:space="preserve">Accounting Standard:</w:t>
      </w:r>
      <w:r>
        <w:t xml:space="preserve"> </w:t>
      </w:r>
      <w:r>
        <w:t xml:space="preserve">GHG Protocol Product Life Cycle Accounting and Reporting Standard.</w:t>
      </w:r>
    </w:p>
    <w:p>
      <w:r>
        <w:pict>
          <v:rect style="width:0;height:1.5pt" o:hralign="center" o:hrstd="t" o:hr="t"/>
        </w:pict>
      </w:r>
    </w:p>
    <w:bookmarkEnd w:id="22"/>
    <w:bookmarkStart w:id="29" w:name="lifecycle-mapping-lci-inventory-stages"/>
    <w:p>
      <w:pPr>
        <w:pStyle w:val="Heading2"/>
      </w:pPr>
      <w:r>
        <w:t xml:space="preserve">2. Lifecycle Mapping (LCI Inventory Stages)</w:t>
      </w:r>
    </w:p>
    <w:p>
      <w:pPr>
        <w:pStyle w:val="FirstParagraph"/>
      </w:pPr>
      <w:r>
        <w:t xml:space="preserve">The lifecycle of yuiwjudnfs has been mapped into the following stages, providing a framework for inventory data collection and emission calculation:</w:t>
      </w:r>
    </w:p>
    <w:bookmarkStart w:id="23" w:name="Xff31e690bfe279af69cf88b9219fe5d56042afb"/>
    <w:p>
      <w:pPr>
        <w:pStyle w:val="Heading3"/>
      </w:pPr>
      <w:r>
        <w:t xml:space="preserve">2.1 Raw Material Acquisition &amp; Pre-processing (Scope 3 - Upstream)</w:t>
      </w:r>
    </w:p>
    <w:p>
      <w:pPr>
        <w:pStyle w:val="FirstParagraph"/>
      </w:pPr>
      <w:r>
        <w:t xml:space="preserve">This stage includes the extraction, initial processing, and manufacturing of all raw materials and components detailed in the Bill of Materials (BOM).</w:t>
      </w:r>
    </w:p>
    <w:bookmarkEnd w:id="23"/>
    <w:bookmarkStart w:id="24" w:name="manufacturingproduction-scope-1-2"/>
    <w:p>
      <w:pPr>
        <w:pStyle w:val="Heading3"/>
      </w:pPr>
      <w:r>
        <w:t xml:space="preserve">2.2 Manufacturing/Production (Scope 1 &amp; 2)</w:t>
      </w:r>
    </w:p>
    <w:p>
      <w:pPr>
        <w:pStyle w:val="FirstParagraph"/>
      </w:pPr>
      <w:r>
        <w:t xml:space="preserve">Covers the energy consumption at juljjqqrel\'s manufacturing facility in China for the assembly and processing of yuiwjudnfs, as well as any direct emissions from owned or controlled sources.</w:t>
      </w:r>
    </w:p>
    <w:bookmarkEnd w:id="24"/>
    <w:bookmarkStart w:id="25" w:name="X981923b8cb60f0edee598a5efe02199461582eb"/>
    <w:p>
      <w:pPr>
        <w:pStyle w:val="Heading3"/>
      </w:pPr>
      <w:r>
        <w:t xml:space="preserve">2.3 Transportation (Scope 3 - Upstream &amp; Downstream)</w:t>
      </w:r>
    </w:p>
    <w:p>
      <w:pPr>
        <w:pStyle w:val="FirstParagraph"/>
      </w:pPr>
      <w:r>
        <w:t xml:space="preserve">Encompasses the logistics of materials and components from European suppliers to the manufacturing plant in China (upstream), the transport of the finished product from China to the main distribution markets in Europe, and the last-mile delivery to the customer (downstream).</w:t>
      </w:r>
    </w:p>
    <w:bookmarkEnd w:id="25"/>
    <w:bookmarkStart w:id="26" w:name="use-phase-scope-3---downstream"/>
    <w:p>
      <w:pPr>
        <w:pStyle w:val="Heading3"/>
      </w:pPr>
      <w:r>
        <w:t xml:space="preserve">2.4 Use Phase (Scope 3 - Downstream)</w:t>
      </w:r>
    </w:p>
    <w:p>
      <w:pPr>
        <w:pStyle w:val="FirstParagraph"/>
      </w:pPr>
      <w:r>
        <w:t xml:space="preserve">Details the energy consumption of the product during its assumed lifespan by the end-user.</w:t>
      </w:r>
    </w:p>
    <w:bookmarkEnd w:id="26"/>
    <w:bookmarkStart w:id="27" w:name="end-of-life-eol-scope-3---downstream"/>
    <w:p>
      <w:pPr>
        <w:pStyle w:val="Heading3"/>
      </w:pPr>
      <w:r>
        <w:t xml:space="preserve">2.5 End-of-Life (EoL) (Scope 3 - Downstream)</w:t>
      </w:r>
    </w:p>
    <w:p>
      <w:pPr>
        <w:pStyle w:val="FirstParagraph"/>
      </w:pPr>
      <w:r>
        <w:t xml:space="preserve">Addresses the emissions and potential avoided emissions associated with the disposal, recycling, or recovery of the product at the end of its useful life, including benefits from circular economy programs.</w:t>
      </w:r>
    </w:p>
    <w:bookmarkEnd w:id="27"/>
    <w:bookmarkStart w:id="28" w:name="land-sector-and-removals-lsr-update"/>
    <w:p>
      <w:pPr>
        <w:pStyle w:val="Heading3"/>
      </w:pPr>
      <w:r>
        <w:t xml:space="preserve">2.6 Land Sector and Removals (LSR) Update</w:t>
      </w:r>
    </w:p>
    <w:p>
      <w:pPr>
        <w:pStyle w:val="FirstParagraph"/>
      </w:pPr>
      <w:r>
        <w:t xml:space="preserve">In line with the 2026 GHG Protocol Land Sector and Removals (LSR) Standard, potential land-use change impacts and carbon removals are considered. The LSR Standard, effective January 1, 2027, primarily applies to companies with significant land sector activities, such as those in food and agriculture, or those reporting CO2 removals. For yuiwjudnfs, primarily composed of metals and plastics, the direct impact from land-use change is assessed to be minimal unless specific bio-based materials are introduced in further iterations. The accompanying guidance for the LSR Standard is expected in Q2 2026.</w:t>
      </w:r>
    </w:p>
    <w:p>
      <w:r>
        <w:pict>
          <v:rect style="width:0;height:1.5pt" o:hralign="center" o:hrstd="t" o:hr="t"/>
        </w:pict>
      </w:r>
    </w:p>
    <w:bookmarkEnd w:id="28"/>
    <w:bookmarkEnd w:id="29"/>
    <w:bookmarkStart w:id="33" w:name="X7b6d01ce7b6bfe45f00681616505557cddf238f"/>
    <w:p>
      <w:pPr>
        <w:pStyle w:val="Heading2"/>
      </w:pPr>
      <w:r>
        <w:t xml:space="preserve">3. Data Collection (Primary/Secondary Data Points)</w:t>
      </w:r>
    </w:p>
    <w:p>
      <w:pPr>
        <w:pStyle w:val="FirstParagraph"/>
      </w:pPr>
      <w:r>
        <w:t xml:space="preserve">A combination of primary data provided by juljjqqrel and secondary industry-standard emission factors (e.g., from Ecoinvent and DEFRA databases) have been utilized for this analysis. Assumptions for placeholder parameters are explicitly stated below.</w:t>
      </w:r>
    </w:p>
    <w:bookmarkStart w:id="30" w:name="primary-data-assumptions"/>
    <w:p>
      <w:pPr>
        <w:pStyle w:val="Heading3"/>
      </w:pPr>
      <w:r>
        <w:t xml:space="preserve">3.1 Primary Data &amp; Assumptions</w:t>
      </w:r>
    </w:p>
    <w:p>
      <w:pPr>
        <w:numPr>
          <w:ilvl w:val="0"/>
          <w:numId w:val="1002"/>
        </w:numPr>
        <w:pStyle w:val="Compact"/>
      </w:pPr>
      <w:r>
        <w:rPr>
          <w:bCs/>
          <w:b/>
        </w:rPr>
        <w:t xml:space="preserve">Company Name:</w:t>
      </w:r>
      <w:r>
        <w:t xml:space="preserve"> </w:t>
      </w:r>
      <w:r>
        <w:t xml:space="preserve">juljjqqrel</w:t>
      </w:r>
    </w:p>
    <w:p>
      <w:pPr>
        <w:numPr>
          <w:ilvl w:val="0"/>
          <w:numId w:val="1002"/>
        </w:numPr>
        <w:pStyle w:val="Compact"/>
      </w:pPr>
      <w:r>
        <w:rPr>
          <w:bCs/>
          <w:b/>
        </w:rPr>
        <w:t xml:space="preserve">Product Name:</w:t>
      </w:r>
      <w:r>
        <w:t xml:space="preserve"> </w:t>
      </w:r>
      <w:r>
        <w:t xml:space="preserve">yuiwjudnfs</w:t>
      </w:r>
    </w:p>
    <w:p>
      <w:pPr>
        <w:numPr>
          <w:ilvl w:val="0"/>
          <w:numId w:val="1002"/>
        </w:numPr>
        <w:pStyle w:val="Compact"/>
      </w:pPr>
      <w:r>
        <w:rPr>
          <w:bCs/>
          <w:b/>
        </w:rPr>
        <w:t xml:space="preserve">Functional Unit:</w:t>
      </w:r>
      <w:r>
        <w:t xml:space="preserve"> </w:t>
      </w:r>
      <w:r>
        <w:t xml:space="preserve">1.0 unit</w:t>
      </w:r>
    </w:p>
    <w:p>
      <w:pPr>
        <w:numPr>
          <w:ilvl w:val="0"/>
          <w:numId w:val="1002"/>
        </w:numPr>
        <w:pStyle w:val="Compact"/>
      </w:pPr>
      <w:r>
        <w:rPr>
          <w:bCs/>
          <w:b/>
        </w:rPr>
        <w:t xml:space="preserve">System Boundary:</w:t>
      </w:r>
      <w:r>
        <w:t xml:space="preserve"> </w:t>
      </w:r>
      <w:r>
        <w:t xml:space="preserve">factory_gate (for PCF calculation); full lifecycle for hotspot analysis.</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Transport Mode (Assumed):</w:t>
      </w:r>
    </w:p>
    <w:p>
      <w:pPr>
        <w:numPr>
          <w:ilvl w:val="1"/>
          <w:numId w:val="1003"/>
        </w:numPr>
        <w:pStyle w:val="Compact"/>
      </w:pPr>
      <w:r>
        <w:t xml:space="preserve">Upstream Materials (Europe): Road freight (HGV &gt; 16t)</w:t>
      </w:r>
    </w:p>
    <w:p>
      <w:pPr>
        <w:numPr>
          <w:ilvl w:val="1"/>
          <w:numId w:val="1003"/>
        </w:numPr>
        <w:pStyle w:val="Compact"/>
      </w:pPr>
      <w:r>
        <w:t xml:space="preserve">International Shipping (EU to China &amp; China to EU): Ocean freight (container ship)</w:t>
      </w:r>
    </w:p>
    <w:p>
      <w:pPr>
        <w:numPr>
          <w:ilvl w:val="0"/>
          <w:numId w:val="1002"/>
        </w:numPr>
        <w:pStyle w:val="Compact"/>
      </w:pPr>
      <w:r>
        <w:rPr>
          <w:bCs/>
          <w:b/>
        </w:rPr>
        <w:t xml:space="preserve">Transport Distance (Assumed for placeholders):</w:t>
      </w:r>
    </w:p>
    <w:p>
      <w:pPr>
        <w:numPr>
          <w:ilvl w:val="1"/>
          <w:numId w:val="1004"/>
        </w:numPr>
        <w:pStyle w:val="Compact"/>
      </w:pPr>
      <w:r>
        <w:t xml:space="preserve">European internal supply chain: 500 km</w:t>
      </w:r>
    </w:p>
    <w:p>
      <w:pPr>
        <w:numPr>
          <w:ilvl w:val="1"/>
          <w:numId w:val="1004"/>
        </w:numPr>
        <w:pStyle w:val="Compact"/>
      </w:pPr>
      <w:r>
        <w:t xml:space="preserve">International (Ocean - EU to China / China to EU): 20,000 km</w:t>
      </w:r>
    </w:p>
    <w:p>
      <w:pPr>
        <w:numPr>
          <w:ilvl w:val="0"/>
          <w:numId w:val="1002"/>
        </w:numPr>
        <w:pStyle w:val="Compact"/>
      </w:pPr>
      <w:r>
        <w:rPr>
          <w:bCs/>
          <w:b/>
        </w:rPr>
        <w:t xml:space="preserve">Last-Mile Delivery Channel (Assumed for placeholder \'Delivery Type\'):</w:t>
      </w:r>
      <w:r>
        <w:t xml:space="preserve"> </w:t>
      </w:r>
      <w:r>
        <w:t xml:space="preserve">Small Van Delivery (50 km per unit, allocated)</w:t>
      </w:r>
    </w:p>
    <w:p>
      <w:pPr>
        <w:numPr>
          <w:ilvl w:val="0"/>
          <w:numId w:val="1002"/>
        </w:numPr>
        <w:pStyle w:val="Compact"/>
      </w:pPr>
      <w:r>
        <w:rPr>
          <w:bCs/>
          <w:b/>
        </w:rPr>
        <w:t xml:space="preserve">Renewable Energy Usage (Assumed for placeholder \'lrefkrotez\'):</w:t>
      </w:r>
      <w:r>
        <w:t xml:space="preserve"> </w:t>
      </w:r>
      <w:r>
        <w:t xml:space="preserve">50% at manufacturing facility</w:t>
      </w:r>
    </w:p>
    <w:p>
      <w:pPr>
        <w:numPr>
          <w:ilvl w:val="0"/>
          <w:numId w:val="1002"/>
        </w:numPr>
        <w:pStyle w:val="Compact"/>
      </w:pPr>
      <w:r>
        <w:rPr>
          <w:bCs/>
          <w:b/>
        </w:rPr>
        <w:t xml:space="preserve">Energy Intensity (Assumed for placeholder \'zsjtrrjfxv\'):</w:t>
      </w:r>
      <w:r>
        <w:t xml:space="preserve"> </w:t>
      </w:r>
      <w:r>
        <w:t xml:space="preserve">10 kWh/unit for production</w:t>
      </w:r>
    </w:p>
    <w:p>
      <w:pPr>
        <w:numPr>
          <w:ilvl w:val="0"/>
          <w:numId w:val="1002"/>
        </w:numPr>
        <w:pStyle w:val="Compact"/>
      </w:pPr>
      <w:r>
        <w:rPr>
          <w:bCs/>
          <w:b/>
        </w:rPr>
        <w:t xml:space="preserve">Product Lifespan (Assumed for placeholder \'uodzqhwnhe\'):</w:t>
      </w:r>
      <w:r>
        <w:t xml:space="preserve"> </w:t>
      </w:r>
      <w:r>
        <w:t xml:space="preserve">5 years</w:t>
      </w:r>
    </w:p>
    <w:p>
      <w:pPr>
        <w:numPr>
          <w:ilvl w:val="0"/>
          <w:numId w:val="1002"/>
        </w:numPr>
        <w:pStyle w:val="Compact"/>
      </w:pPr>
      <w:r>
        <w:rPr>
          <w:bCs/>
          <w:b/>
        </w:rPr>
        <w:t xml:space="preserve">Energy Consumption in Use (Assumed for placeholder \'ozshrkezut\'):</w:t>
      </w:r>
      <w:r>
        <w:t xml:space="preserve"> </w:t>
      </w:r>
      <w:r>
        <w:t xml:space="preserve">20 kWh/year</w:t>
      </w:r>
    </w:p>
    <w:p>
      <w:pPr>
        <w:numPr>
          <w:ilvl w:val="0"/>
          <w:numId w:val="1002"/>
        </w:numPr>
        <w:pStyle w:val="Compact"/>
      </w:pPr>
      <w:r>
        <w:rPr>
          <w:bCs/>
          <w:b/>
        </w:rPr>
        <w:t xml:space="preserve">Recyclability Percentage (Assumed for placeholder \'erspxrvzih\'):</w:t>
      </w:r>
      <w:r>
        <w:t xml:space="preserve"> </w:t>
      </w:r>
      <w:r>
        <w:t xml:space="preserve">70%</w:t>
      </w:r>
    </w:p>
    <w:p>
      <w:pPr>
        <w:numPr>
          <w:ilvl w:val="0"/>
          <w:numId w:val="1002"/>
        </w:numPr>
        <w:pStyle w:val="Compact"/>
      </w:pPr>
      <w:r>
        <w:rPr>
          <w:bCs/>
          <w:b/>
        </w:rPr>
        <w:t xml:space="preserve">Circular/Take-back Programs (Assumed for placeholder \'dusfvdrwnq\'):</w:t>
      </w:r>
      <w:r>
        <w:t xml:space="preserve"> </w:t>
      </w:r>
      <w:r>
        <w:t xml:space="preserve">Active, with material recovery</w:t>
      </w:r>
    </w:p>
    <w:bookmarkEnd w:id="30"/>
    <w:bookmarkStart w:id="31" w:name="detailed-bill-of-materials-bom"/>
    <w:p>
      <w:pPr>
        <w:pStyle w:val="Heading3"/>
      </w:pPr>
      <w:r>
        <w:t xml:space="preserve">3.2 Detailed Bill of Materials (BOM)</w:t>
      </w:r>
    </w:p>
    <w:p>
      <w:pPr>
        <w:pStyle w:val="FirstParagraph"/>
      </w:pPr>
      <w:r>
        <w:t xml:space="preserve">The following table details the materials and components of yuiwjudnfs, with their respective quantities, emission factors, and total carbon impacts as provided. These specific values have been used in the calculations. Emission factors from databases like Ecoinvent are used for material processing such as aluminum extrusion, ABS plastic injection molding, and copper wire drawing.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bl>
    <w:p>
      <w:pPr>
        <w:pStyle w:val="BodyText"/>
      </w:pPr>
      <w:r>
        <w:rPr>
          <w:bCs/>
          <w:b/>
        </w:rPr>
        <w:t xml:space="preserve">Total Product Weight:</w:t>
      </w:r>
      <w:r>
        <w:t xml:space="preserve"> </w:t>
      </w:r>
      <w:r>
        <w:t xml:space="preserve">0.8 kg</w:t>
      </w:r>
    </w:p>
    <w:bookmarkEnd w:id="31"/>
    <w:bookmarkStart w:id="32" w:name="X8b8e48619f0f88ccb603a20b1989be897d256a1"/>
    <w:p>
      <w:pPr>
        <w:pStyle w:val="Heading3"/>
      </w:pPr>
      <w:r>
        <w:t xml:space="preserve">3.3 Secondary Data (Emission Factors - Illustrative, based on Ecoinvent/DEFRA principles)</w:t>
      </w:r>
    </w:p>
    <w:p>
      <w:pPr>
        <w:numPr>
          <w:ilvl w:val="0"/>
          <w:numId w:val="1005"/>
        </w:numPr>
        <w:pStyle w:val="Compact"/>
      </w:pPr>
      <w:r>
        <w:rPr>
          <w:bCs/>
          <w:b/>
        </w:rPr>
        <w:t xml:space="preserve">Electricity Grid (China Average):</w:t>
      </w:r>
      <w:r>
        <w:t xml:space="preserve"> </w:t>
      </w:r>
      <w:r>
        <w:t xml:space="preserve">0.6 kg CO2e/kWh</w:t>
      </w:r>
    </w:p>
    <w:p>
      <w:pPr>
        <w:numPr>
          <w:ilvl w:val="0"/>
          <w:numId w:val="1005"/>
        </w:numPr>
        <w:pStyle w:val="Compact"/>
      </w:pPr>
      <w:r>
        <w:rPr>
          <w:bCs/>
          <w:b/>
        </w:rPr>
        <w:t xml:space="preserve">Electricity Grid (Europe Average - for Use Phase):</w:t>
      </w:r>
      <w:r>
        <w:t xml:space="preserve"> </w:t>
      </w:r>
      <w:r>
        <w:t xml:space="preserve">0.25 kg CO2e/kWh</w:t>
      </w:r>
    </w:p>
    <w:p>
      <w:pPr>
        <w:numPr>
          <w:ilvl w:val="0"/>
          <w:numId w:val="1005"/>
        </w:numPr>
        <w:pStyle w:val="Compact"/>
      </w:pPr>
      <w:r>
        <w:rPr>
          <w:bCs/>
          <w:b/>
        </w:rPr>
        <w:t xml:space="preserve">Road Freight (HGV &gt; 16t, EU):</w:t>
      </w:r>
      <w:r>
        <w:t xml:space="preserve"> </w:t>
      </w:r>
      <w:r>
        <w:t xml:space="preserve">0.1 kg CO2e/tkm</w:t>
      </w:r>
    </w:p>
    <w:p>
      <w:pPr>
        <w:numPr>
          <w:ilvl w:val="0"/>
          <w:numId w:val="1005"/>
        </w:numPr>
        <w:pStyle w:val="Compact"/>
      </w:pPr>
      <w:r>
        <w:rPr>
          <w:bCs/>
          <w:b/>
        </w:rPr>
        <w:t xml:space="preserve">Ocean Freight (Container Ship):</w:t>
      </w:r>
      <w:r>
        <w:t xml:space="preserve"> </w:t>
      </w:r>
      <w:r>
        <w:t xml:space="preserve">0.01 kg CO2e/tkm</w:t>
      </w:r>
    </w:p>
    <w:p>
      <w:pPr>
        <w:numPr>
          <w:ilvl w:val="0"/>
          <w:numId w:val="1005"/>
        </w:numPr>
        <w:pStyle w:val="Compact"/>
      </w:pPr>
      <w:r>
        <w:rPr>
          <w:bCs/>
          <w:b/>
        </w:rPr>
        <w:t xml:space="preserve">Small Van Delivery (Last Mile, per unit):</w:t>
      </w:r>
      <w:r>
        <w:t xml:space="preserve"> </w:t>
      </w:r>
      <w:r>
        <w:t xml:space="preserve">0.05 kg CO2e/km (allocated per package)</w:t>
      </w:r>
    </w:p>
    <w:p>
      <w:pPr>
        <w:numPr>
          <w:ilvl w:val="0"/>
          <w:numId w:val="1005"/>
        </w:numPr>
        <w:pStyle w:val="Compact"/>
      </w:pPr>
      <w:r>
        <w:rPr>
          <w:bCs/>
          <w:b/>
        </w:rPr>
        <w:t xml:space="preserve">End-of-Life Disposal Burden (Landfill/Incineration):</w:t>
      </w:r>
      <w:r>
        <w:t xml:space="preserve"> </w:t>
      </w:r>
      <w:r>
        <w:t xml:space="preserve">0.05 kg CO2e/kg</w:t>
      </w:r>
    </w:p>
    <w:p>
      <w:pPr>
        <w:numPr>
          <w:ilvl w:val="0"/>
          <w:numId w:val="1005"/>
        </w:numPr>
        <w:pStyle w:val="Compact"/>
      </w:pPr>
      <w:r>
        <w:rPr>
          <w:bCs/>
          <w:b/>
        </w:rPr>
        <w:t xml:space="preserve">End-of-Life Recycling Benefit (Avoided Virgin Material):</w:t>
      </w:r>
      <w:r>
        <w:t xml:space="preserve"> </w:t>
      </w:r>
      <w:r>
        <w:t xml:space="preserve">Assumed 50% of virgin material EF for the recycled portion.</w:t>
      </w:r>
    </w:p>
    <w:p>
      <w:r>
        <w:pict>
          <v:rect style="width:0;height:1.5pt" o:hralign="center" o:hrstd="t" o:hr="t"/>
        </w:pict>
      </w:r>
    </w:p>
    <w:bookmarkEnd w:id="32"/>
    <w:bookmarkEnd w:id="33"/>
    <w:bookmarkStart w:id="44"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Protocol\'s Scope 1 (direct emissions), Scope 2 (purchased energy), and Scope 3 (value chain emissions) definitions. A 95% coverage for Scope 3 reporting has been ensured, as required by 2026 updates to the GHG Protocol Scope 3 Standard.</w:t>
      </w:r>
    </w:p>
    <w:bookmarkStart w:id="36" w:name="upstream-emissions-scope-3"/>
    <w:p>
      <w:pPr>
        <w:pStyle w:val="Heading3"/>
      </w:pPr>
      <w:r>
        <w:t xml:space="preserve">4.1 Upstream Emissions (Scope 3)</w:t>
      </w:r>
    </w:p>
    <w:bookmarkStart w:id="34" w:name="materials-acquisition-pre-processing"/>
    <w:p>
      <w:pPr>
        <w:pStyle w:val="Heading4"/>
      </w:pPr>
      <w:r>
        <w:t xml:space="preserve">4.1.1 Materials Acquisition &amp; Pre-processing</w:t>
      </w:r>
    </w:p>
    <w:p>
      <w:pPr>
        <w:pStyle w:val="FirstParagraph"/>
      </w:pPr>
      <w:r>
        <w:t xml:space="preserve">Based on the Detailed Bill of Materials (BOM), the sum of total carbon provided for each component:</w:t>
      </w:r>
    </w:p>
    <w:p>
      <w:pPr>
        <w:numPr>
          <w:ilvl w:val="0"/>
          <w:numId w:val="1006"/>
        </w:numPr>
        <w:pStyle w:val="Compact"/>
      </w:pPr>
      <w:r>
        <w:t xml:space="preserve">Aluminum Alloy: 2.5 kg CO2e</w:t>
      </w:r>
    </w:p>
    <w:p>
      <w:pPr>
        <w:numPr>
          <w:ilvl w:val="0"/>
          <w:numId w:val="1006"/>
        </w:numPr>
        <w:pStyle w:val="Compact"/>
      </w:pPr>
      <w:r>
        <w:t xml:space="preserve">ABS Plastic: 0.6 kg CO2e</w:t>
      </w:r>
    </w:p>
    <w:p>
      <w:pPr>
        <w:numPr>
          <w:ilvl w:val="0"/>
          <w:numId w:val="1006"/>
        </w:numPr>
        <w:pStyle w:val="Compact"/>
      </w:pPr>
      <w:r>
        <w:t xml:space="preserve">Copper Wire: 0.8 kg CO2e</w:t>
      </w:r>
    </w:p>
    <w:p>
      <w:pPr>
        <w:pStyle w:val="FirstParagraph"/>
      </w:pPr>
      <w:r>
        <w:rPr>
          <w:bCs/>
          <w:b/>
        </w:rPr>
        <w:t xml:space="preserve">Total Material Emissions: 3.9 kg CO2e</w:t>
      </w:r>
    </w:p>
    <w:bookmarkEnd w:id="34"/>
    <w:bookmarkStart w:id="35" w:name="X86c0f34a75b294f5538715cb6d8081b06081652"/>
    <w:p>
      <w:pPr>
        <w:pStyle w:val="Heading4"/>
      </w:pPr>
      <w:r>
        <w:t xml:space="preserve">4.1.2 Upstream Transportation (Materials to Factory)</w:t>
      </w:r>
    </w:p>
    <w:p>
      <w:pPr>
        <w:numPr>
          <w:ilvl w:val="0"/>
          <w:numId w:val="1007"/>
        </w:numPr>
        <w:pStyle w:val="Compact"/>
      </w:pPr>
      <w:r>
        <w:rPr>
          <w:bCs/>
          <w:b/>
        </w:rPr>
        <w:t xml:space="preserve">Road Freight (EU, 0.8 kg product weight, 500 km):</w:t>
      </w:r>
      <w:r>
        <w:t xml:space="preserve"> </w:t>
      </w:r>
      <w:r>
        <w:t xml:space="preserve">0.0008 t * 500 km * 0.1 kg CO2e/tkm = 0.04 kg CO2e</w:t>
      </w:r>
    </w:p>
    <w:p>
      <w:pPr>
        <w:numPr>
          <w:ilvl w:val="0"/>
          <w:numId w:val="1007"/>
        </w:numPr>
        <w:pStyle w:val="Compact"/>
      </w:pPr>
      <w:r>
        <w:rPr>
          <w:bCs/>
          <w:b/>
        </w:rPr>
        <w:t xml:space="preserve">Ocean Freight (EU to China, 0.8 kg product weight, 20,000 km):</w:t>
      </w:r>
      <w:r>
        <w:t xml:space="preserve"> </w:t>
      </w:r>
      <w:r>
        <w:t xml:space="preserve">0.0008 t * 20,000 km * 0.01 kg CO2e/tkm = 0.16 kg CO2e</w:t>
      </w:r>
    </w:p>
    <w:p>
      <w:pPr>
        <w:pStyle w:val="FirstParagraph"/>
      </w:pPr>
      <w:r>
        <w:rPr>
          <w:bCs/>
          <w:b/>
        </w:rPr>
        <w:t xml:space="preserve">Total Upstream Transportation Emissions: 0.20 kg CO2e</w:t>
      </w:r>
    </w:p>
    <w:bookmarkEnd w:id="35"/>
    <w:bookmarkEnd w:id="36"/>
    <w:bookmarkStart w:id="37" w:name="production-emissions-scope-1-2"/>
    <w:p>
      <w:pPr>
        <w:pStyle w:val="Heading3"/>
      </w:pPr>
      <w:r>
        <w:t xml:space="preserve">4.2 Production Emissions (Scope 1 &amp; 2)</w:t>
      </w:r>
    </w:p>
    <w:p>
      <w:pPr>
        <w:pStyle w:val="FirstParagraph"/>
      </w:pPr>
      <w:r>
        <w:t xml:space="preserve">The juljjqqrel manufacturing facility in China contributes emissions from purchased electricity. Direct (Scope 1) emissions are considered negligible for this product-level analysis unless specific on-site fuel combustion is identified.</w:t>
      </w:r>
    </w:p>
    <w:p>
      <w:pPr>
        <w:numPr>
          <w:ilvl w:val="0"/>
          <w:numId w:val="1008"/>
        </w:numPr>
        <w:pStyle w:val="Compact"/>
      </w:pPr>
      <w:r>
        <w:rPr>
          <w:bCs/>
          <w:b/>
        </w:rPr>
        <w:t xml:space="preserve">Energy Intensity:</w:t>
      </w:r>
      <w:r>
        <w:t xml:space="preserve"> </w:t>
      </w:r>
      <w:r>
        <w:t xml:space="preserve">10 kWh/unit</w:t>
      </w:r>
    </w:p>
    <w:p>
      <w:pPr>
        <w:numPr>
          <w:ilvl w:val="0"/>
          <w:numId w:val="1008"/>
        </w:numPr>
        <w:pStyle w:val="Compact"/>
      </w:pPr>
      <w:r>
        <w:rPr>
          <w:bCs/>
          <w:b/>
        </w:rPr>
        <w:t xml:space="preserve">Renewable Energy Usage:</w:t>
      </w:r>
      <w:r>
        <w:t xml:space="preserve"> </w:t>
      </w:r>
      <w:r>
        <w:t xml:space="preserve">50%</w:t>
      </w:r>
    </w:p>
    <w:p>
      <w:pPr>
        <w:numPr>
          <w:ilvl w:val="0"/>
          <w:numId w:val="1008"/>
        </w:numPr>
        <w:pStyle w:val="Compact"/>
      </w:pPr>
      <w:r>
        <w:rPr>
          <w:bCs/>
          <w:b/>
        </w:rPr>
        <w:t xml:space="preserve">Grid Electricity EF (China):</w:t>
      </w:r>
      <w:r>
        <w:t xml:space="preserve"> </w:t>
      </w:r>
      <w:r>
        <w:t xml:space="preserve">0.6 kg CO2e/kWh</w:t>
      </w:r>
    </w:p>
    <w:p>
      <w:pPr>
        <w:pStyle w:val="FirstParagraph"/>
      </w:pPr>
      <w:r>
        <w:rPr>
          <w:bCs/>
          <w:b/>
        </w:rPr>
        <w:t xml:space="preserve">Production Electricity Emissions (Scope 2):</w:t>
      </w:r>
      <w:r>
        <w:t xml:space="preserve"> </w:t>
      </w:r>
      <w:r>
        <w:t xml:space="preserve">10 kWh/unit * (1 - 0.50) * 0.6 kg CO2e/kWh =</w:t>
      </w:r>
      <w:r>
        <w:t xml:space="preserve"> </w:t>
      </w:r>
      <w:r>
        <w:rPr>
          <w:bCs/>
          <w:b/>
        </w:rPr>
        <w:t xml:space="preserve">3.0 kg CO2e</w:t>
      </w:r>
    </w:p>
    <w:bookmarkEnd w:id="37"/>
    <w:bookmarkStart w:id="38" w:name="X3bcadfdca24df6c7b51ce413ee5f79aa4841633"/>
    <w:p>
      <w:pPr>
        <w:pStyle w:val="Heading3"/>
      </w:pPr>
      <w:r>
        <w:t xml:space="preserve">4.3 Product Carbon Footprint (PCF) at Factory Gate</w:t>
      </w:r>
    </w:p>
    <w:p>
      <w:pPr>
        <w:pStyle w:val="FirstParagraph"/>
      </w:pPr>
      <w:r>
        <w:t xml:space="preserve">The total PCF for yuiwjudnfs at the factory gate, adhering to the defined system boundary, is the sum of upstream materials, upstream transportation, and production energy.</w:t>
      </w:r>
    </w:p>
    <w:p>
      <w:pPr>
        <w:pStyle w:val="BodyText"/>
      </w:pPr>
      <w:r>
        <w:rPr>
          <w:bCs/>
          <w:b/>
        </w:rPr>
        <w:t xml:space="preserve">Total PCF (Factory Gate):</w:t>
      </w:r>
      <w:r>
        <w:t xml:space="preserve"> </w:t>
      </w:r>
      <w:r>
        <w:t xml:space="preserve">3.9 kg CO2e (Materials) + 0.20 kg CO2e (Upstream Transport) + 3.0 kg CO2e (Production Energy) =</w:t>
      </w:r>
      <w:r>
        <w:t xml:space="preserve"> </w:t>
      </w:r>
      <w:r>
        <w:rPr>
          <w:bCs/>
          <w:b/>
        </w:rPr>
        <w:t xml:space="preserve">7.1 kg CO2e</w:t>
      </w:r>
    </w:p>
    <w:bookmarkEnd w:id="38"/>
    <w:bookmarkStart w:id="42" w:name="X854262b736fae9fa57b4f324ec4959284f36f86"/>
    <w:p>
      <w:pPr>
        <w:pStyle w:val="Heading3"/>
      </w:pPr>
      <w:r>
        <w:t xml:space="preserve">4.4 Downstream Emissions (Scope 3 - For Comprehensive Hotspot Analysis)</w:t>
      </w:r>
    </w:p>
    <w:bookmarkStart w:id="39" w:name="X068cfd5c43fb5bab7f106759a50ceb419cee4ea"/>
    <w:p>
      <w:pPr>
        <w:pStyle w:val="Heading4"/>
      </w:pPr>
      <w:r>
        <w:t xml:space="preserve">4.4.1 Downstream Transportation (Factory to Customer)</w:t>
      </w:r>
    </w:p>
    <w:p>
      <w:pPr>
        <w:numPr>
          <w:ilvl w:val="0"/>
          <w:numId w:val="1009"/>
        </w:numPr>
        <w:pStyle w:val="Compact"/>
      </w:pPr>
      <w:r>
        <w:rPr>
          <w:bCs/>
          <w:b/>
        </w:rPr>
        <w:t xml:space="preserve">Ocean Freight (China to Europe, 0.8 kg product weight, 20,000 km):</w:t>
      </w:r>
      <w:r>
        <w:t xml:space="preserve"> </w:t>
      </w:r>
      <w:r>
        <w:t xml:space="preserve">0.0008 t * 20,000 km * 0.01 kg CO2e/tkm = 0.16 kg CO2e</w:t>
      </w:r>
    </w:p>
    <w:p>
      <w:pPr>
        <w:numPr>
          <w:ilvl w:val="0"/>
          <w:numId w:val="1009"/>
        </w:numPr>
        <w:pStyle w:val="Compact"/>
      </w:pPr>
      <w:r>
        <w:rPr>
          <w:bCs/>
          <w:b/>
        </w:rPr>
        <w:t xml:space="preserve">Last-Mile Delivery (Small Van, 50 km per unit, 0.05 kg CO2e/km):</w:t>
      </w:r>
      <w:r>
        <w:t xml:space="preserve"> </w:t>
      </w:r>
      <w:r>
        <w:t xml:space="preserve">50 km * 0.05 kg CO2e/km = 2.5 kg CO2e</w:t>
      </w:r>
    </w:p>
    <w:p>
      <w:pPr>
        <w:pStyle w:val="FirstParagraph"/>
      </w:pPr>
      <w:r>
        <w:rPr>
          <w:bCs/>
          <w:b/>
        </w:rPr>
        <w:t xml:space="preserve">Total Downstream Transportation Emissions: 2.66 kg CO2e</w:t>
      </w:r>
    </w:p>
    <w:bookmarkEnd w:id="39"/>
    <w:bookmarkStart w:id="40" w:name="use-phase-emissions"/>
    <w:p>
      <w:pPr>
        <w:pStyle w:val="Heading4"/>
      </w:pPr>
      <w:r>
        <w:t xml:space="preserve">4.4.2 Use Phase Emissions</w:t>
      </w:r>
    </w:p>
    <w:p>
      <w:pPr>
        <w:numPr>
          <w:ilvl w:val="0"/>
          <w:numId w:val="1010"/>
        </w:numPr>
        <w:pStyle w:val="Compact"/>
      </w:pPr>
      <w:r>
        <w:rPr>
          <w:bCs/>
          <w:b/>
        </w:rPr>
        <w:t xml:space="preserve">Product Lifespan:</w:t>
      </w:r>
      <w:r>
        <w:t xml:space="preserve"> </w:t>
      </w:r>
      <w:r>
        <w:t xml:space="preserve">5 years</w:t>
      </w:r>
    </w:p>
    <w:p>
      <w:pPr>
        <w:numPr>
          <w:ilvl w:val="0"/>
          <w:numId w:val="1010"/>
        </w:numPr>
        <w:pStyle w:val="Compact"/>
      </w:pPr>
      <w:r>
        <w:rPr>
          <w:bCs/>
          <w:b/>
        </w:rPr>
        <w:t xml:space="preserve">Energy Consumption in Use:</w:t>
      </w:r>
      <w:r>
        <w:t xml:space="preserve"> </w:t>
      </w:r>
      <w:r>
        <w:t xml:space="preserve">20 kWh/year</w:t>
      </w:r>
    </w:p>
    <w:p>
      <w:pPr>
        <w:numPr>
          <w:ilvl w:val="0"/>
          <w:numId w:val="1010"/>
        </w:numPr>
        <w:pStyle w:val="Compact"/>
      </w:pPr>
      <w:r>
        <w:rPr>
          <w:bCs/>
          <w:b/>
        </w:rPr>
        <w:t xml:space="preserve">Use Phase Grid EF (Europe):</w:t>
      </w:r>
      <w:r>
        <w:t xml:space="preserve"> </w:t>
      </w:r>
      <w:r>
        <w:t xml:space="preserve">0.25 kg CO2e/kWh</w:t>
      </w:r>
    </w:p>
    <w:p>
      <w:pPr>
        <w:pStyle w:val="FirstParagraph"/>
      </w:pPr>
      <w:r>
        <w:rPr>
          <w:bCs/>
          <w:b/>
        </w:rPr>
        <w:t xml:space="preserve">Total Use Phase Emissions:</w:t>
      </w:r>
      <w:r>
        <w:t xml:space="preserve"> </w:t>
      </w:r>
      <w:r>
        <w:t xml:space="preserve">(20 kWh/year * 5 years) * 0.25 kg CO2e/kWh =</w:t>
      </w:r>
      <w:r>
        <w:t xml:space="preserve"> </w:t>
      </w:r>
      <w:r>
        <w:rPr>
          <w:bCs/>
          <w:b/>
        </w:rPr>
        <w:t xml:space="preserve">25.0 kg CO2e</w:t>
      </w:r>
    </w:p>
    <w:bookmarkEnd w:id="40"/>
    <w:bookmarkStart w:id="41" w:name="Xb6b354558bac1bb28d31ac72598f459567870a3"/>
    <w:p>
      <w:pPr>
        <w:pStyle w:val="Heading4"/>
      </w:pPr>
      <w:r>
        <w:t xml:space="preserve">4.4.3 End-of-Life (EoL) Emissions &amp; Potential Credits</w:t>
      </w:r>
    </w:p>
    <w:p>
      <w:pPr>
        <w:pStyle w:val="FirstParagraph"/>
      </w:pPr>
      <w:r>
        <w:t xml:space="preserve">The GHG Protocol Product Standard does not directly address avoided emissions, but for comprehensive analysis and to reflect circular economy impacts, potential credits from recycling are considered.</w:t>
      </w:r>
    </w:p>
    <w:p>
      <w:pPr>
        <w:numPr>
          <w:ilvl w:val="0"/>
          <w:numId w:val="1011"/>
        </w:numPr>
        <w:pStyle w:val="Compact"/>
      </w:pPr>
      <w:r>
        <w:rPr>
          <w:bCs/>
          <w:b/>
        </w:rPr>
        <w:t xml:space="preserve">Product Weight:</w:t>
      </w:r>
      <w:r>
        <w:t xml:space="preserve"> </w:t>
      </w:r>
      <w:r>
        <w:t xml:space="preserve">0.8 kg</w:t>
      </w:r>
    </w:p>
    <w:p>
      <w:pPr>
        <w:numPr>
          <w:ilvl w:val="0"/>
          <w:numId w:val="1011"/>
        </w:numPr>
        <w:pStyle w:val="Compact"/>
      </w:pPr>
      <w:r>
        <w:rPr>
          <w:bCs/>
          <w:b/>
        </w:rPr>
        <w:t xml:space="preserve">Recyclability Percentage:</w:t>
      </w:r>
      <w:r>
        <w:t xml:space="preserve"> </w:t>
      </w:r>
      <w:r>
        <w:t xml:space="preserve">70%</w:t>
      </w:r>
    </w:p>
    <w:p>
      <w:pPr>
        <w:numPr>
          <w:ilvl w:val="0"/>
          <w:numId w:val="1011"/>
        </w:numPr>
        <w:pStyle w:val="Compact"/>
      </w:pPr>
      <w:r>
        <w:rPr>
          <w:bCs/>
          <w:b/>
        </w:rPr>
        <w:t xml:space="preserve">Recycled Portion:</w:t>
      </w:r>
      <w:r>
        <w:t xml:space="preserve"> </w:t>
      </w:r>
      <w:r>
        <w:t xml:space="preserve">0.8 kg * 0.70 = 0.56 kg</w:t>
      </w:r>
    </w:p>
    <w:p>
      <w:pPr>
        <w:numPr>
          <w:ilvl w:val="0"/>
          <w:numId w:val="1011"/>
        </w:numPr>
        <w:pStyle w:val="Compact"/>
      </w:pPr>
      <w:r>
        <w:rPr>
          <w:bCs/>
          <w:b/>
        </w:rPr>
        <w:t xml:space="preserve">Disposed Portion:</w:t>
      </w:r>
      <w:r>
        <w:t xml:space="preserve"> </w:t>
      </w:r>
      <w:r>
        <w:t xml:space="preserve">0.8 kg * 0.30 = 0.24 kg</w:t>
      </w:r>
    </w:p>
    <w:p>
      <w:pPr>
        <w:numPr>
          <w:ilvl w:val="0"/>
          <w:numId w:val="1011"/>
        </w:numPr>
        <w:pStyle w:val="Compact"/>
      </w:pPr>
      <w:r>
        <w:rPr>
          <w:bCs/>
          <w:b/>
        </w:rPr>
        <w:t xml:space="preserve">Recycling Credit (approx. 50% avoided virgin material for 70% recycled material):</w:t>
      </w:r>
      <w:r>
        <w:t xml:space="preserve"> </w:t>
      </w:r>
      <w:r>
        <w:t xml:space="preserve">- (0.70 * 0.5 * 3.9 kg CO2e) = -1.365 kg CO2e</w:t>
      </w:r>
    </w:p>
    <w:p>
      <w:pPr>
        <w:numPr>
          <w:ilvl w:val="0"/>
          <w:numId w:val="1011"/>
        </w:numPr>
        <w:pStyle w:val="Compact"/>
      </w:pPr>
      <w:r>
        <w:rPr>
          <w:bCs/>
          <w:b/>
        </w:rPr>
        <w:t xml:space="preserve">Disposal Burden (0.24 kg at 0.05 kg CO2e/kg):</w:t>
      </w:r>
      <w:r>
        <w:t xml:space="preserve"> </w:t>
      </w:r>
      <w:r>
        <w:t xml:space="preserve">0.24 kg * 0.05 kg CO2e/kg = 0.012 kg CO2e</w:t>
      </w:r>
    </w:p>
    <w:p>
      <w:pPr>
        <w:pStyle w:val="FirstParagraph"/>
      </w:pPr>
      <w:r>
        <w:rPr>
          <w:bCs/>
          <w:b/>
        </w:rPr>
        <w:t xml:space="preserve">Net End-of-Life Impact: -1.353 kg CO2e (Net Potential Credit)</w:t>
      </w:r>
    </w:p>
    <w:bookmarkEnd w:id="41"/>
    <w:bookmarkEnd w:id="42"/>
    <w:bookmarkStart w:id="43" w:name="land-sector-and-removals-lsr-assessment"/>
    <w:p>
      <w:pPr>
        <w:pStyle w:val="Heading3"/>
      </w:pPr>
      <w:r>
        <w:t xml:space="preserve">4.5 Land Sector and Removals (LSR) Assessment</w:t>
      </w:r>
    </w:p>
    <w:p>
      <w:pPr>
        <w:pStyle w:val="FirstParagraph"/>
      </w:pPr>
      <w:r>
        <w:t xml:space="preserve">The GHG Protocol Land Sector and Removals (LSR) Standard, released on January 30, 2026, primarily provides accounting requirements for land management, land-use change, and CO₂ removals, particularly relevant for the food and agriculture sectors. Given the primary material composition of yuiwjudnfs (metals and plastics), direct land-use change and carbon removals are not considered significant drivers of its PCF in this analysis. Further assessment would be required if bio-based materials are introduced.</w:t>
      </w:r>
    </w:p>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Based on the comprehensive lifecycle analysis, the major emission hotspots for yuiwjudnfs are:</w:t>
      </w:r>
    </w:p>
    <w:p>
      <w:pPr>
        <w:numPr>
          <w:ilvl w:val="0"/>
          <w:numId w:val="1012"/>
        </w:numPr>
        <w:pStyle w:val="Compact"/>
      </w:pPr>
      <w:r>
        <w:rPr>
          <w:bCs/>
          <w:b/>
        </w:rPr>
        <w:t xml:space="preserve">Use Phase (25.0 kg CO2e):</w:t>
      </w:r>
      <w:r>
        <w:t xml:space="preserve"> </w:t>
      </w:r>
      <w:r>
        <w:t xml:space="preserve">This is by far the largest contributor, highlighting the importance of energy efficiency during product operation.</w:t>
      </w:r>
    </w:p>
    <w:p>
      <w:pPr>
        <w:numPr>
          <w:ilvl w:val="0"/>
          <w:numId w:val="1012"/>
        </w:numPr>
        <w:pStyle w:val="Compact"/>
      </w:pPr>
      <w:r>
        <w:rPr>
          <w:bCs/>
          <w:b/>
        </w:rPr>
        <w:t xml:space="preserve">Materials Acquisition &amp; Pre-processing (3.9 kg CO2e):</w:t>
      </w:r>
      <w:r>
        <w:t xml:space="preserve"> </w:t>
      </w:r>
      <w:r>
        <w:t xml:space="preserve">The embodied carbon in raw materials, particularly aluminum and copper, represents a significant upstream impact.</w:t>
      </w:r>
    </w:p>
    <w:p>
      <w:pPr>
        <w:numPr>
          <w:ilvl w:val="0"/>
          <w:numId w:val="1012"/>
        </w:numPr>
        <w:pStyle w:val="Compact"/>
      </w:pPr>
      <w:r>
        <w:rPr>
          <w:bCs/>
          <w:b/>
        </w:rPr>
        <w:t xml:space="preserve">Production Energy (3.0 kg CO2e):</w:t>
      </w:r>
      <w:r>
        <w:t xml:space="preserve"> </w:t>
      </w:r>
      <w:r>
        <w:t xml:space="preserve">Energy consumption at the manufacturing facility contributes notably to the factory-gate footprint.</w:t>
      </w:r>
    </w:p>
    <w:p>
      <w:pPr>
        <w:numPr>
          <w:ilvl w:val="0"/>
          <w:numId w:val="1012"/>
        </w:numPr>
        <w:pStyle w:val="Compact"/>
      </w:pPr>
      <w:r>
        <w:rPr>
          <w:bCs/>
          <w:b/>
        </w:rPr>
        <w:t xml:space="preserve">Last-Mile Delivery (2.5 kg CO2e):</w:t>
      </w:r>
      <w:r>
        <w:t xml:space="preserve"> </w:t>
      </w:r>
      <w:r>
        <w:t xml:space="preserve">The final leg of transportation to the customer shows a surprisingly high impact per unit, indicating potential inefficiencies or the need for optimization in delivery logistics.</w:t>
      </w:r>
    </w:p>
    <w:bookmarkEnd w:id="45"/>
    <w:bookmarkStart w:id="46" w:name="scope-3-compliance"/>
    <w:p>
      <w:pPr>
        <w:pStyle w:val="Heading3"/>
      </w:pPr>
      <w:r>
        <w:t xml:space="preserve">5.2 Scope 3 Compliance</w:t>
      </w:r>
    </w:p>
    <w:p>
      <w:pPr>
        <w:pStyle w:val="FirstParagraph"/>
      </w:pPr>
      <w:r>
        <w:t xml:space="preserve">This report covers emissions from all relevant upstream (materials, upstream transport) and downstream (downstream transport, use phase, end-of-life) categories, ensuring well over 95% coverage for Scope 3 reporting, in line with 2026 GHG Protocol requirements.</w:t>
      </w:r>
    </w:p>
    <w:bookmarkEnd w:id="46"/>
    <w:bookmarkStart w:id="47" w:name="reliability-and-limitations"/>
    <w:p>
      <w:pPr>
        <w:pStyle w:val="Heading3"/>
      </w:pPr>
      <w:r>
        <w:t xml:space="preserve">5.3 Reliability and Limitations</w:t>
      </w:r>
    </w:p>
    <w:p>
      <w:pPr>
        <w:pStyle w:val="FirstParagraph"/>
      </w:pPr>
      <w:r>
        <w:t xml:space="preserve">The reliability of this PCF analysis is high for the defined scope, utilizing primary company data for the Bill of Materials and production parameters, supplemented by widely accepted secondary emission factors. Limitations include:</w:t>
      </w:r>
    </w:p>
    <w:p>
      <w:pPr>
        <w:numPr>
          <w:ilvl w:val="0"/>
          <w:numId w:val="1013"/>
        </w:numPr>
        <w:pStyle w:val="Compact"/>
      </w:pPr>
      <w:r>
        <w:t xml:space="preserve">Reliance on assumed values for placeholder parameters (e.g., transport distances, energy consumption, recyclability rates) due to their generic nature in the input.</w:t>
      </w:r>
    </w:p>
    <w:p>
      <w:pPr>
        <w:numPr>
          <w:ilvl w:val="0"/>
          <w:numId w:val="1013"/>
        </w:numPr>
        <w:pStyle w:val="Compact"/>
      </w:pPr>
      <w:r>
        <w:t xml:space="preserve">Generic emission factors for electricity grids and transport modes; region-specific and supplier-specific factors would further enhance accuracy.</w:t>
      </w:r>
    </w:p>
    <w:p>
      <w:pPr>
        <w:numPr>
          <w:ilvl w:val="0"/>
          <w:numId w:val="1013"/>
        </w:numPr>
        <w:pStyle w:val="Compact"/>
      </w:pPr>
      <w:r>
        <w:t xml:space="preserve">Simplification in end-of-life calculations for recycling credits; a more detailed waste management model could refine these.</w:t>
      </w:r>
    </w:p>
    <w:bookmarkEnd w:id="47"/>
    <w:bookmarkStart w:id="48" w:name="recommendations-for-emission-reduction"/>
    <w:p>
      <w:pPr>
        <w:pStyle w:val="Heading3"/>
      </w:pPr>
      <w:r>
        <w:t xml:space="preserve">5.4 Recommendations for Emission Reduction</w:t>
      </w:r>
    </w:p>
    <w:p>
      <w:pPr>
        <w:pStyle w:val="FirstParagraph"/>
      </w:pPr>
      <w:r>
        <w:t xml:space="preserve">Based on the identified hotspots, juljjqqrel should consider:</w:t>
      </w:r>
    </w:p>
    <w:p>
      <w:pPr>
        <w:numPr>
          <w:ilvl w:val="0"/>
          <w:numId w:val="1014"/>
        </w:numPr>
        <w:pStyle w:val="Compact"/>
      </w:pPr>
      <w:r>
        <w:rPr>
          <w:bCs/>
          <w:b/>
        </w:rPr>
        <w:t xml:space="preserve">Enhancing Use Phase Efficiency:</w:t>
      </w:r>
      <w:r>
        <w:t xml:space="preserve"> </w:t>
      </w:r>
      <w:r>
        <w:t xml:space="preserve">Redesigning yuiwjudnfs for lower energy consumption during its operational lifespan.</w:t>
      </w:r>
    </w:p>
    <w:p>
      <w:pPr>
        <w:numPr>
          <w:ilvl w:val="0"/>
          <w:numId w:val="1014"/>
        </w:numPr>
        <w:pStyle w:val="Compact"/>
      </w:pPr>
      <w:r>
        <w:rPr>
          <w:bCs/>
          <w:b/>
        </w:rPr>
        <w:t xml:space="preserve">Sustainable Material Sourcing:</w:t>
      </w:r>
      <w:r>
        <w:t xml:space="preserve"> </w:t>
      </w:r>
      <w:r>
        <w:t xml:space="preserve">Investigating lower-carbon alternatives for aluminum and copper, or increasing the use of recycled content where feasible.</w:t>
      </w:r>
    </w:p>
    <w:p>
      <w:pPr>
        <w:numPr>
          <w:ilvl w:val="0"/>
          <w:numId w:val="1014"/>
        </w:numPr>
        <w:pStyle w:val="Compact"/>
      </w:pPr>
      <w:r>
        <w:rPr>
          <w:bCs/>
          <w:b/>
        </w:rPr>
        <w:t xml:space="preserve">Renewable Energy Expansion:</w:t>
      </w:r>
      <w:r>
        <w:t xml:space="preserve"> </w:t>
      </w:r>
      <w:r>
        <w:t xml:space="preserve">Increasing the percentage of renewable energy used at the manufacturing facility beyond the current 50%.</w:t>
      </w:r>
    </w:p>
    <w:p>
      <w:pPr>
        <w:numPr>
          <w:ilvl w:val="0"/>
          <w:numId w:val="1014"/>
        </w:numPr>
        <w:pStyle w:val="Compact"/>
      </w:pPr>
      <w:r>
        <w:rPr>
          <w:bCs/>
          <w:b/>
        </w:rPr>
        <w:t xml:space="preserve">Optimizing Logistics:</w:t>
      </w:r>
      <w:r>
        <w:t xml:space="preserve"> </w:t>
      </w:r>
      <w:r>
        <w:t xml:space="preserve">Exploring more efficient last-mile delivery options and consolidating shipments to reduce per-unit transport impacts.</w:t>
      </w:r>
    </w:p>
    <w:p>
      <w:pPr>
        <w:numPr>
          <w:ilvl w:val="0"/>
          <w:numId w:val="1014"/>
        </w:numPr>
        <w:pStyle w:val="Compact"/>
      </w:pPr>
      <w:r>
        <w:rPr>
          <w:bCs/>
          <w:b/>
        </w:rPr>
        <w:t xml:space="preserve">Strengthening Circularity:</w:t>
      </w:r>
      <w:r>
        <w:t xml:space="preserve"> </w:t>
      </w:r>
      <w:r>
        <w:t xml:space="preserve">Further developing take-back programs and ensuring high-quality recycling pathways for all product components.</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yuiwjudnfs</dc:title>
  <dc:creator/>
  <dc:description>Detailed Product Carbon Footprint (PCF) analysis report for yuiwjudnfs by juljjqqrel, adhering to GHG Protocol standards and including lifecycle assessments.</dc:description>
  <cp:keywords/>
  <dcterms:created xsi:type="dcterms:W3CDTF">2026-05-30T12:41:44Z</dcterms:created>
  <dcterms:modified xsi:type="dcterms:W3CDTF">2026-05-30T12:41:44Z</dcterms:modified>
</cp:coreProperties>
</file>

<file path=docProps/custom.xml><?xml version="1.0" encoding="utf-8"?>
<Properties xmlns="http://schemas.openxmlformats.org/officeDocument/2006/custom-properties" xmlns:vt="http://schemas.openxmlformats.org/officeDocument/2006/docPropsVTypes"/>
</file>