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ytsouegzjy</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3" w:name="for-product-ytsouegzjy"/>
    <w:p>
      <w:pPr>
        <w:pStyle w:val="Heading2"/>
      </w:pPr>
      <w:r>
        <w:t xml:space="preserve">For Product: ytsouegzjy</w:t>
      </w:r>
    </w:p>
    <w:bookmarkStart w:id="20" w:name="company-fsgppnkfzx"/>
    <w:p>
      <w:pPr>
        <w:pStyle w:val="Heading3"/>
      </w:pPr>
      <w:r>
        <w:t xml:space="preserve">Company: fsgppnkfzx</w:t>
      </w:r>
    </w:p>
    <w:bookmarkEnd w:id="20"/>
    <w:bookmarkStart w:id="22" w:name="X5cc6a3a54f017389db349aa56c7df69c8e82654"/>
    <w:p>
      <w:pPr>
        <w:pStyle w:val="Heading3"/>
      </w:pPr>
      <w:r>
        <w:t xml:space="preserve">Senior Sustainability Consultant: dzdyvduztf</w:t>
      </w:r>
    </w:p>
    <w:bookmarkStart w:id="21" w:name="accounting-standard-ghg-protocol"/>
    <w:p>
      <w:pPr>
        <w:pStyle w:val="Heading4"/>
      </w:pPr>
      <w:r>
        <w:t xml:space="preserve">Accounting Standard: GHG Protocol</w:t>
      </w:r>
    </w:p>
    <w:p>
      <w:pPr>
        <w:pStyle w:val="FirstParagraph"/>
      </w:pPr>
      <w:r>
        <w:t xml:space="preserve">Disclaimer: This report is generated based on available data and industry standards. Due to the placeholder nature of some input parameters (e.g., xfignqkx, Select Mode, vxpymdifqq, trvkvetskh, vwtmspsydk, keelysqirz, onhwgvswku, yxzxhrpiqs, vlxssusqke), certain calculations and data points presented are illustrative examples to demonstrate the methodology. Actual values would require specific, quantifiable input data.</w:t>
      </w:r>
    </w:p>
    <w:bookmarkEnd w:id="21"/>
    <w:bookmarkEnd w:id="22"/>
    <w:bookmarkEnd w:id="23"/>
    <w:bookmarkEnd w:id="24"/>
    <w:bookmarkStart w:id="25" w:name="Xa87d010c1fd868336511b306fbd202996615f12"/>
    <w:p>
      <w:pPr>
        <w:pStyle w:val="Heading1"/>
      </w:pPr>
      <w:r>
        <w:t xml:space="preserve">Product Carbon Footprint Analysis Report</w:t>
      </w:r>
    </w:p>
    <w:p>
      <w:pPr>
        <w:pStyle w:val="FirstParagraph"/>
      </w:pPr>
      <w:r>
        <w:t xml:space="preserve">Generated Date: May 18, 2026</w:t>
      </w:r>
    </w:p>
    <w:p>
      <w:r>
        <w:pict>
          <v:rect style="width:0;height:1.5pt" o:hralign="center" o:hrstd="t" o:hr="t"/>
        </w:pict>
      </w:r>
    </w:p>
    <w:bookmarkEnd w:id="25"/>
    <w:bookmarkStart w:id="26" w:name="executive-summary"/>
    <w:p>
      <w:pPr>
        <w:pStyle w:val="Heading2"/>
      </w:pPr>
      <w:r>
        <w:t xml:space="preserve">1. Executive Summary</w:t>
      </w:r>
    </w:p>
    <w:p>
      <w:pPr>
        <w:pStyle w:val="FirstParagraph"/>
      </w:pPr>
      <w:r>
        <w:t xml:space="preserve">This report presents a high-detail Product Carbon Footprint (PCF) analysis for the product ytsouegzjy, manufactured by fsgppnkfzx. The analysis adheres strictly to the GHG Protocol, incorporating the latest 2026 Land Sector and Removals (LSR) Standard and ensuring comprehensive Scope 3 coverage. The PCF quantifies the total greenhouse gas (GHG) emissions associated with the product across its entire lifecycle, from raw material extraction to end-of-life treatment. This analysis serves to identify key emission hotspots, inform strategic decarbonization efforts, and enhance transparency in fsgppnkfzx\'s sustainability reporting. All numerical data presented in this report, particularly concerning material composition, energy usage, and transport, are illustrative examples due to the placeholder nature of the provided input parameters.</w:t>
      </w:r>
    </w:p>
    <w:p>
      <w:r>
        <w:pict>
          <v:rect style="width:0;height:1.5pt" o:hralign="center" o:hrstd="t" o:hr="t"/>
        </w:pict>
      </w:r>
    </w:p>
    <w:bookmarkEnd w:id="26"/>
    <w:bookmarkStart w:id="32" w:name="methodology-and-scope-definition"/>
    <w:p>
      <w:pPr>
        <w:pStyle w:val="Heading2"/>
      </w:pPr>
      <w:r>
        <w:t xml:space="preserve">2. Methodology and Scope Definition</w:t>
      </w:r>
    </w:p>
    <w:p>
      <w:pPr>
        <w:pStyle w:val="FirstParagraph"/>
      </w:pPr>
      <w:r>
        <w:t xml:space="preserve">As dzdyvduztf, Senior Sustainability Consultant, this analysis follows the five-step methodology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7"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ytsouegzjy</w:t>
      </w:r>
      <w:r>
        <w:t xml:space="preserve">. This unit serves as the reference basis for all quantified environmental impacts throughout the product lifecycle, allowing for a standardized comparison of different products or scenarios.</w:t>
      </w:r>
    </w:p>
    <w:bookmarkEnd w:id="27"/>
    <w:bookmarkStart w:id="28" w:name="system-boundary"/>
    <w:p>
      <w:pPr>
        <w:pStyle w:val="Heading3"/>
      </w:pPr>
      <w:r>
        <w:t xml:space="preserve">2.2 System Boundary</w:t>
      </w:r>
    </w:p>
    <w:p>
      <w:pPr>
        <w:pStyle w:val="FirstParagraph"/>
      </w:pPr>
      <w:r>
        <w:t xml:space="preserve">The system boundary for this assessment is</w:t>
      </w:r>
      <w:r>
        <w:t xml:space="preserve"> </w:t>
      </w:r>
      <w:r>
        <w:rPr>
          <w:bCs/>
          <w:b/>
        </w:rPr>
        <w:t xml:space="preserve">factory_gate</w:t>
      </w:r>
      <w:r>
        <w:t xml:space="preserve">. This means the analysis primarily focuses on emissions occurring up to the point the finished product leaves the manufacturing facility. However, to provide a holistic view and comply with GHG Protocol requirements for comprehensive Scope 3 reporting, the scope has been expanded to include significant upstream (raw material acquisition, pre-processing, and inbound transport) and downstream (use phase energy consumption, end-of-life treatment, and last-mile delivery) lifecycle stages. This \'cradle-to-grave\' approach, while anchored at the factory gate for primary production, ensures a complete value chain assessment.</w:t>
      </w:r>
    </w:p>
    <w:bookmarkEnd w:id="28"/>
    <w:bookmarkStart w:id="29" w:name="geographic-scope"/>
    <w:p>
      <w:pPr>
        <w:pStyle w:val="Heading3"/>
      </w:pPr>
      <w:r>
        <w:t xml:space="preserve">2.3 Geographic Scope</w:t>
      </w:r>
    </w:p>
    <w:p>
      <w:pPr>
        <w:pStyle w:val="FirstParagraph"/>
      </w:pPr>
      <w:r>
        <w:t xml:space="preserve">The geographic scope covers:</w:t>
      </w:r>
      <w:r>
        <w:t xml:space="preserve"> </w:t>
      </w:r>
      <w:r>
        <w:rPr>
          <w:bCs/>
          <w:b/>
        </w:rPr>
        <w:t xml:space="preserve">Final Production Country: China, Supply Chain Focus: Europe Focused</w:t>
      </w:r>
      <w:r>
        <w:t xml:space="preserve">. This implies that manufacturing emissions are modeled using Chinese energy grids and industrial processes, while upstream material sourcing and downstream use phase emissions reflect European market conditions and practices where applicable, especially for electricity consumption in the use phase.</w:t>
      </w:r>
    </w:p>
    <w:bookmarkEnd w:id="29"/>
    <w:bookmarkStart w:id="30" w:name="accounting-standard"/>
    <w:p>
      <w:pPr>
        <w:pStyle w:val="Heading3"/>
      </w:pPr>
      <w:r>
        <w:t xml:space="preserve">2.4 Accounting Standard</w:t>
      </w:r>
    </w:p>
    <w:p>
      <w:pPr>
        <w:pStyle w:val="FirstParagraph"/>
      </w:pPr>
      <w:r>
        <w:t xml:space="preserve">This Product Carbon Footprint analysis is conducted in strict accordance with the</w:t>
      </w:r>
      <w:r>
        <w:t xml:space="preserve"> </w:t>
      </w:r>
      <w:r>
        <w:rPr>
          <w:bCs/>
          <w:b/>
        </w:rPr>
        <w:t xml:space="preserve">GHG Protocol Product Standard (A Life Cycle Approach to Accounting and Reporting Greenhouse Gas Emissions)</w:t>
      </w:r>
      <w:r>
        <w:t xml:space="preserve">. All emissions are categorized into Scope 1 (direct emissions), Scope 2 (indirect emissions from purchased energy), and Scope 3 (all other indirect emissions in the value chain). Furthermore, this report applies the principles of the</w:t>
      </w:r>
      <w:r>
        <w:t xml:space="preserve"> </w:t>
      </w:r>
      <w:r>
        <w:rPr>
          <w:bCs/>
          <w:b/>
        </w:rPr>
        <w:t xml:space="preserve">2026 Land Sector and Removals (LSR) Standard</w:t>
      </w:r>
      <w:r>
        <w:t xml:space="preserve"> </w:t>
      </w:r>
      <w:r>
        <w:t xml:space="preserve">for any relevant land-use change or carbon removal considerations, ensuring an up-to-date and robust accounting framework.</w:t>
      </w:r>
    </w:p>
    <w:bookmarkEnd w:id="30"/>
    <w:bookmarkStart w:id="31" w:name="allocation-rules"/>
    <w:p>
      <w:pPr>
        <w:pStyle w:val="Heading3"/>
      </w:pPr>
      <w:r>
        <w:t xml:space="preserve">2.5 Allocation Rules</w:t>
      </w:r>
    </w:p>
    <w:p>
      <w:pPr>
        <w:pStyle w:val="FirstParagraph"/>
      </w:pPr>
      <w:r>
        <w:t xml:space="preserve">Emissions are allocated based on physical causality where possible. For co-products or multi-output processes, allocation is based on relevant physical parameters (e.g., mass, energy content). Economic allocation is considered for services or indirect processes where physical allocation is not feasible or representative. For end-of-life scenarios, a "cut-off" approach is predominantly used, with recycling benefits considered through avoided burden where relevant, acknowledging the complexity of defining boundaries for recycled content.</w:t>
      </w:r>
    </w:p>
    <w:p>
      <w:r>
        <w:pict>
          <v:rect style="width:0;height:1.5pt" o:hralign="center" o:hrstd="t" o:hr="t"/>
        </w:pict>
      </w:r>
    </w:p>
    <w:bookmarkEnd w:id="31"/>
    <w:bookmarkEnd w:id="32"/>
    <w:bookmarkStart w:id="38" w:name="X2bf58de29a7a901ba932b9a6a779f7f86e80a1b"/>
    <w:p>
      <w:pPr>
        <w:pStyle w:val="Heading2"/>
      </w:pPr>
      <w:r>
        <w:t xml:space="preserve">3. Lifecycle Mapping and Data Collection (LCI Inventory)</w:t>
      </w:r>
    </w:p>
    <w:p>
      <w:pPr>
        <w:pStyle w:val="FirstParagraph"/>
      </w:pPr>
      <w:r>
        <w:t xml:space="preserve">This section details the key inputs and processes mapped across the lifecycle of ytsouegzjy. Data has been collected from primary (where available) and secondary sources, with industry-standard emission factors (e.g., from Ecoinvent, DEFRA) used for calculations unless specific data was provided. As noted, specific values for parameters like BOM and transport are illustrative examples.</w:t>
      </w:r>
    </w:p>
    <w:bookmarkStart w:id="33" w:name="Xbeed778daf41df0caa92674a2c5a82d508d96c4"/>
    <w:p>
      <w:pPr>
        <w:pStyle w:val="Heading3"/>
      </w:pPr>
      <w:r>
        <w:t xml:space="preserve">3.1 Material Inputs (xfignqkx - Illustrative Bill of Materials)</w:t>
      </w:r>
    </w:p>
    <w:p>
      <w:pPr>
        <w:pStyle w:val="FirstParagraph"/>
      </w:pPr>
      <w:r>
        <w:t xml:space="preserve">The detailed Bill of Materials (BOM), provided as `xfignqkx` in the parameters, is crucial for high-accuracy material impact calculation. For the purpose of this demonstration, the following illustrative BOM data is used, reflecting the specified format (ID, Description, Category, Process, Qty, Unit, Emission Factor, Total Carbon). The \'Total Carbon\' column is calculated based on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right"/>
            </w:pPr>
            <w:r>
              <w:t xml:space="preserve">Total Illustrative Material Carbon:</w:t>
            </w:r>
          </w:p>
        </w:tc>
        <w:tc>
          <w:tcPr/>
          <w:p>
            <w:pPr>
              <w:pStyle w:val="Compact"/>
              <w:jc w:val="left"/>
            </w:pPr>
            <w:r>
              <w:rPr>
                <w:bCs/>
                <w:b/>
              </w:rPr>
              <w:t xml:space="preserve">4.85 kgCO2e</w:t>
            </w:r>
          </w:p>
        </w:tc>
      </w:tr>
    </w:tbl>
    <w:bookmarkEnd w:id="33"/>
    <w:bookmarkStart w:id="34" w:name="production-energy-inputs-illustrative"/>
    <w:p>
      <w:pPr>
        <w:pStyle w:val="Heading3"/>
      </w:pPr>
      <w:r>
        <w:t xml:space="preserve">3.2 Production Energy Inputs (Illustrative)</w:t>
      </w:r>
    </w:p>
    <w:p>
      <w:pPr>
        <w:pStyle w:val="FirstParagraph"/>
      </w:pPr>
      <w:r>
        <w:t xml:space="preserve">The production phase for ytsouegzjy in China utilizes an illustrative energy intensity of</w:t>
      </w:r>
      <w:r>
        <w:t xml:space="preserve"> </w:t>
      </w:r>
      <w:r>
        <w:rPr>
          <w:bCs/>
          <w:b/>
        </w:rPr>
        <w:t xml:space="preserve">vwtmspsydk (7 kWh/unit)</w:t>
      </w:r>
      <w:r>
        <w:t xml:space="preserve">. The company fsgppnkfzx has an illustrative</w:t>
      </w:r>
      <w:r>
        <w:t xml:space="preserve"> </w:t>
      </w:r>
      <w:r>
        <w:rPr>
          <w:bCs/>
          <w:b/>
        </w:rPr>
        <w:t xml:space="preserve">trvkvetskh (40%) renewable energy usage</w:t>
      </w:r>
      <w:r>
        <w:t xml:space="preserve"> </w:t>
      </w:r>
      <w:r>
        <w:t xml:space="preserve">for its operations.</w:t>
      </w:r>
    </w:p>
    <w:p>
      <w:pPr>
        <w:numPr>
          <w:ilvl w:val="0"/>
          <w:numId w:val="1002"/>
        </w:numPr>
        <w:pStyle w:val="Compact"/>
      </w:pPr>
      <w:r>
        <w:t xml:space="preserve">Total Energy Consumption per unit: 7 kWh</w:t>
      </w:r>
    </w:p>
    <w:p>
      <w:pPr>
        <w:numPr>
          <w:ilvl w:val="0"/>
          <w:numId w:val="1002"/>
        </w:numPr>
        <w:pStyle w:val="Compact"/>
      </w:pPr>
      <w:r>
        <w:t xml:space="preserve">Renewable Energy Portion: 7 kWh * 40% = 2.8 kWh</w:t>
      </w:r>
    </w:p>
    <w:p>
      <w:pPr>
        <w:numPr>
          <w:ilvl w:val="0"/>
          <w:numId w:val="1002"/>
        </w:numPr>
        <w:pStyle w:val="Compact"/>
      </w:pPr>
      <w:r>
        <w:t xml:space="preserve">Non-renewable Energy Portion: 7 kWh * (1 - 40%) = 4.2 kWh</w:t>
      </w:r>
    </w:p>
    <w:p>
      <w:pPr>
        <w:numPr>
          <w:ilvl w:val="0"/>
          <w:numId w:val="1002"/>
        </w:numPr>
        <w:pStyle w:val="Compact"/>
      </w:pPr>
      <w:r>
        <w:t xml:space="preserve">Illustrative China Grid Emission Factor (for non-renewable electricity): 0.6 kgCO2e/kWh</w:t>
      </w:r>
    </w:p>
    <w:bookmarkEnd w:id="34"/>
    <w:bookmarkStart w:id="35" w:name="transport-logistics-illustrative"/>
    <w:p>
      <w:pPr>
        <w:pStyle w:val="Heading3"/>
      </w:pPr>
      <w:r>
        <w:t xml:space="preserve">3.3 Transport Logistics (Illustrative)</w:t>
      </w:r>
    </w:p>
    <w:p>
      <w:pPr>
        <w:pStyle w:val="FirstParagraph"/>
      </w:pPr>
      <w:r>
        <w:t xml:space="preserve">Logistics data for the supply chain is based on the provided parameters:</w:t>
      </w:r>
    </w:p>
    <w:p>
      <w:pPr>
        <w:numPr>
          <w:ilvl w:val="0"/>
          <w:numId w:val="1003"/>
        </w:numPr>
        <w:pStyle w:val="Compact"/>
      </w:pPr>
      <w:r>
        <w:rPr>
          <w:bCs/>
          <w:b/>
        </w:rPr>
        <w:t xml:space="preserve">Transport Mode: Select Mode</w:t>
      </w:r>
      <w:r>
        <w:t xml:space="preserve"> </w:t>
      </w:r>
      <w:r>
        <w:t xml:space="preserve">(Illustrative: Road freight - Heavy Duty Truck)</w:t>
      </w:r>
    </w:p>
    <w:p>
      <w:pPr>
        <w:numPr>
          <w:ilvl w:val="0"/>
          <w:numId w:val="1003"/>
        </w:numPr>
        <w:pStyle w:val="Compact"/>
      </w:pPr>
      <w:r>
        <w:rPr>
          <w:bCs/>
          <w:b/>
        </w:rPr>
        <w:t xml:space="preserve">Transport Distance: vxpymdifqq</w:t>
      </w:r>
      <w:r>
        <w:t xml:space="preserve"> </w:t>
      </w:r>
      <w:r>
        <w:t xml:space="preserve">(Illustrative: 1500 km for upstream material transport to factory)</w:t>
      </w:r>
    </w:p>
    <w:p>
      <w:pPr>
        <w:numPr>
          <w:ilvl w:val="0"/>
          <w:numId w:val="1003"/>
        </w:numPr>
        <w:pStyle w:val="Compact"/>
      </w:pPr>
      <w:r>
        <w:rPr>
          <w:bCs/>
          <w:b/>
        </w:rPr>
        <w:t xml:space="preserve">Last-Mile Delivery Channel: Delivery Type</w:t>
      </w:r>
      <w:r>
        <w:t xml:space="preserve"> </w:t>
      </w:r>
      <w:r>
        <w:t xml:space="preserve">(Illustrative: Small Parcel Courier, assumed a fixed emission per parcel for typical short distance delivery)</w:t>
      </w:r>
    </w:p>
    <w:p>
      <w:pPr>
        <w:pStyle w:val="FirstParagraph"/>
      </w:pPr>
      <w:r>
        <w:t xml:space="preserve">Illustrative Emission Factors for Transport:</w:t>
      </w:r>
    </w:p>
    <w:p>
      <w:pPr>
        <w:numPr>
          <w:ilvl w:val="0"/>
          <w:numId w:val="1004"/>
        </w:numPr>
        <w:pStyle w:val="Compact"/>
      </w:pPr>
      <w:r>
        <w:t xml:space="preserve">Road freight (Heavy Duty Truck): 0.1 kgCO2e/tkm</w:t>
      </w:r>
    </w:p>
    <w:p>
      <w:pPr>
        <w:numPr>
          <w:ilvl w:val="0"/>
          <w:numId w:val="1004"/>
        </w:numPr>
        <w:pStyle w:val="Compact"/>
      </w:pPr>
      <w:r>
        <w:t xml:space="preserve">Small Parcel Courier: 0.2 kgCO2e/parcel (illustrative, for a typical last-mile delivery)</w:t>
      </w:r>
    </w:p>
    <w:p>
      <w:pPr>
        <w:pStyle w:val="FirstParagraph"/>
      </w:pPr>
      <w:r>
        <w:t xml:space="preserve">Illustrative total weight of product components for upstream transport: 0.5 + 0.2 + 0.01 + 0.05 = 0.76 kg/unit (0.00076 tonnes/unit).</w:t>
      </w:r>
    </w:p>
    <w:bookmarkEnd w:id="35"/>
    <w:bookmarkStart w:id="36" w:name="use-phase-data-illustrative"/>
    <w:p>
      <w:pPr>
        <w:pStyle w:val="Heading3"/>
      </w:pPr>
      <w:r>
        <w:t xml:space="preserve">3.4 Use Phase Data (Illustrative)</w:t>
      </w:r>
    </w:p>
    <w:p>
      <w:pPr>
        <w:pStyle w:val="FirstParagraph"/>
      </w:pPr>
      <w:r>
        <w:t xml:space="preserve">The use phase calculation incorporates specific durability and consumption data:</w:t>
      </w:r>
    </w:p>
    <w:p>
      <w:pPr>
        <w:numPr>
          <w:ilvl w:val="0"/>
          <w:numId w:val="1005"/>
        </w:numPr>
        <w:pStyle w:val="Compact"/>
      </w:pPr>
      <w:r>
        <w:rPr>
          <w:bCs/>
          <w:b/>
        </w:rPr>
        <w:t xml:space="preserve">Product Lifespan: keelysqirz</w:t>
      </w:r>
      <w:r>
        <w:t xml:space="preserve"> </w:t>
      </w:r>
      <w:r>
        <w:t xml:space="preserve">(Illustrative: 5 years)</w:t>
      </w:r>
    </w:p>
    <w:p>
      <w:pPr>
        <w:numPr>
          <w:ilvl w:val="0"/>
          <w:numId w:val="1005"/>
        </w:numPr>
        <w:pStyle w:val="Compact"/>
      </w:pPr>
      <w:r>
        <w:rPr>
          <w:bCs/>
          <w:b/>
        </w:rPr>
        <w:t xml:space="preserve">Energy Consumption in Use: onhwgvswku</w:t>
      </w:r>
      <w:r>
        <w:t xml:space="preserve"> </w:t>
      </w:r>
      <w:r>
        <w:t xml:space="preserve">(Illustrative: 15 kWh/year)</w:t>
      </w:r>
    </w:p>
    <w:p>
      <w:pPr>
        <w:pStyle w:val="FirstParagraph"/>
      </w:pPr>
      <w:r>
        <w:t xml:space="preserve">Illustrative European Grid Emission Factor (for electricity consumption in use phase, given "Europe Focused" supply chain): 0.25 kgCO2e/kWh</w:t>
      </w:r>
    </w:p>
    <w:bookmarkEnd w:id="36"/>
    <w:bookmarkStart w:id="37" w:name="end-of-life-data-illustrative"/>
    <w:p>
      <w:pPr>
        <w:pStyle w:val="Heading3"/>
      </w:pPr>
      <w:r>
        <w:t xml:space="preserve">3.5 End-of-Life Data (Illustrative)</w:t>
      </w:r>
    </w:p>
    <w:p>
      <w:pPr>
        <w:pStyle w:val="FirstParagraph"/>
      </w:pPr>
      <w:r>
        <w:t xml:space="preserve">End-of-Life (EoL) scenarios are incorporated to reflect circular economy impacts:</w:t>
      </w:r>
    </w:p>
    <w:p>
      <w:pPr>
        <w:numPr>
          <w:ilvl w:val="0"/>
          <w:numId w:val="1006"/>
        </w:numPr>
        <w:pStyle w:val="Compact"/>
      </w:pPr>
      <w:r>
        <w:rPr>
          <w:bCs/>
          <w:b/>
        </w:rPr>
        <w:t xml:space="preserve">Recyclability Percentage: yxzxhrpiqs</w:t>
      </w:r>
      <w:r>
        <w:t xml:space="preserve"> </w:t>
      </w:r>
      <w:r>
        <w:t xml:space="preserve">(Illustrative: 60%)</w:t>
      </w:r>
    </w:p>
    <w:p>
      <w:pPr>
        <w:numPr>
          <w:ilvl w:val="0"/>
          <w:numId w:val="1006"/>
        </w:numPr>
        <w:pStyle w:val="Compact"/>
      </w:pPr>
      <w:r>
        <w:rPr>
          <w:bCs/>
          <w:b/>
        </w:rPr>
        <w:t xml:space="preserve">Circular/Take-back Programs: vlxssusqke</w:t>
      </w:r>
      <w:r>
        <w:t xml:space="preserve"> </w:t>
      </w:r>
      <w:r>
        <w:t xml:space="preserve">(Existence of programs reduces landfill dependency and enhances material recovery).</w:t>
      </w:r>
    </w:p>
    <w:p>
      <w:pPr>
        <w:pStyle w:val="FirstParagraph"/>
      </w:pPr>
      <w:r>
        <w:t xml:space="preserve">Illustrative EoL Emission Factors:</w:t>
      </w:r>
    </w:p>
    <w:p>
      <w:pPr>
        <w:numPr>
          <w:ilvl w:val="0"/>
          <w:numId w:val="1007"/>
        </w:numPr>
        <w:pStyle w:val="Compact"/>
      </w:pPr>
      <w:r>
        <w:t xml:space="preserve">Landfill (mixed materials): 0.2 kgCO2e/kg</w:t>
      </w:r>
    </w:p>
    <w:p>
      <w:pPr>
        <w:numPr>
          <w:ilvl w:val="0"/>
          <w:numId w:val="1007"/>
        </w:numPr>
        <w:pStyle w:val="Compact"/>
      </w:pPr>
      <w:r>
        <w:t xml:space="preserve">Recycling: Assumed net-zero impact (process emissions balanced by avoided virgin material production emissions, for simplicity in this illustrative example).</w:t>
      </w:r>
    </w:p>
    <w:p>
      <w:pPr>
        <w:pStyle w:val="FirstParagraph"/>
      </w:pPr>
      <w:r>
        <w:t xml:space="preserve">Illustrative total product weight at EoL: 0.76 kg/unit.</w:t>
      </w:r>
    </w:p>
    <w:p>
      <w:r>
        <w:pict>
          <v:rect style="width:0;height:1.5pt" o:hralign="center" o:hrstd="t" o:hr="t"/>
        </w:pict>
      </w:r>
    </w:p>
    <w:bookmarkEnd w:id="37"/>
    <w:bookmarkEnd w:id="38"/>
    <w:bookmarkStart w:id="48" w:name="emissions-calculation"/>
    <w:p>
      <w:pPr>
        <w:pStyle w:val="Heading2"/>
      </w:pPr>
      <w:r>
        <w:t xml:space="preserve">4. Emissions Calculation</w:t>
      </w:r>
    </w:p>
    <w:p>
      <w:pPr>
        <w:pStyle w:val="FirstParagraph"/>
      </w:pPr>
      <w:r>
        <w:t xml:space="preserve">This section details the calculation of GHG emissions for ytsouegzjy, categorized according to the GHG Protocol\'s Scope 1, Scope 2, and Scope 3 definitions. All calculations are based on the illustrative data and emission factors defined in Section 3.</w:t>
      </w:r>
    </w:p>
    <w:bookmarkStart w:id="39" w:name="scope-1-emissions"/>
    <w:p>
      <w:pPr>
        <w:pStyle w:val="Heading3"/>
      </w:pPr>
      <w:r>
        <w:t xml:space="preserve">4.1 Scope 1 Emissions</w:t>
      </w:r>
    </w:p>
    <w:p>
      <w:pPr>
        <w:pStyle w:val="FirstParagraph"/>
      </w:pPr>
      <w:r>
        <w:t xml:space="preserve">Scope 1 emissions are direct GHG emissions from sources owned or controlled by fsgppnkfzx. For this specific PCF analysis with a \'factory_gate\' boundary and the available parameters, direct fuel combustion from manufacturing processes or company vehicles (excluding transport covered in Scope 3) is assumed to be negligible or not explicitly provided. If significant direct emissions were present (e.g., from burning fuel on-site), they would be quantified here.</w:t>
      </w:r>
    </w:p>
    <w:p>
      <w:pPr>
        <w:pStyle w:val="BodyText"/>
      </w:pPr>
      <w:r>
        <w:rPr>
          <w:bCs/>
          <w:b/>
        </w:rPr>
        <w:t xml:space="preserve">Illustrative Scope 1 Emissions: 0.00 kgCO2e/unit</w:t>
      </w:r>
    </w:p>
    <w:bookmarkEnd w:id="39"/>
    <w:bookmarkStart w:id="40" w:name="scope-2-emissions"/>
    <w:p>
      <w:pPr>
        <w:pStyle w:val="Heading3"/>
      </w:pPr>
      <w:r>
        <w:t xml:space="preserve">4.2 Scope 2 Emissions</w:t>
      </w:r>
    </w:p>
    <w:p>
      <w:pPr>
        <w:pStyle w:val="FirstParagraph"/>
      </w:pPr>
      <w:r>
        <w:t xml:space="preserve">Scope 2 emissions are indirect GHG emissions from the generation of purchased or acquired electricity, steam, heat, or cooling consumed by fsgppnkfzx\'s operations. This primarily covers the non-renewable portion of electricity used in the production phase in China.</w:t>
      </w:r>
    </w:p>
    <w:p>
      <w:pPr>
        <w:numPr>
          <w:ilvl w:val="0"/>
          <w:numId w:val="1008"/>
        </w:numPr>
        <w:pStyle w:val="Compact"/>
      </w:pPr>
      <w:r>
        <w:t xml:space="preserve">Non-renewable electricity consumption: 4.2 kWh/unit (from Section 3.2)</w:t>
      </w:r>
    </w:p>
    <w:p>
      <w:pPr>
        <w:numPr>
          <w:ilvl w:val="0"/>
          <w:numId w:val="1008"/>
        </w:numPr>
        <w:pStyle w:val="Compact"/>
      </w:pPr>
      <w:r>
        <w:t xml:space="preserve">Illustrative China Grid Emission Factor: 0.6 kgCO2e/kWh</w:t>
      </w:r>
    </w:p>
    <w:p>
      <w:pPr>
        <w:numPr>
          <w:ilvl w:val="0"/>
          <w:numId w:val="1008"/>
        </w:numPr>
        <w:pStyle w:val="Compact"/>
      </w:pPr>
      <w:r>
        <w:rPr>
          <w:bCs/>
          <w:b/>
        </w:rPr>
        <w:t xml:space="preserve">Calculated Scope 2 Emissions:</w:t>
      </w:r>
      <w:r>
        <w:t xml:space="preserve"> </w:t>
      </w:r>
      <w:r>
        <w:t xml:space="preserve">4.2 kWh/unit * 0.6 kgCO2e/kWh =</w:t>
      </w:r>
      <w:r>
        <w:t xml:space="preserve"> </w:t>
      </w:r>
      <w:r>
        <w:rPr>
          <w:bCs/>
          <w:b/>
        </w:rPr>
        <w:t xml:space="preserve">2.52 kgCO2e/unit</w:t>
      </w:r>
    </w:p>
    <w:bookmarkEnd w:id="40"/>
    <w:bookmarkStart w:id="46" w:name="scope-3-emissions"/>
    <w:p>
      <w:pPr>
        <w:pStyle w:val="Heading3"/>
      </w:pPr>
      <w:r>
        <w:t xml:space="preserve">4.3 Scope 3 Emissions</w:t>
      </w:r>
    </w:p>
    <w:p>
      <w:pPr>
        <w:pStyle w:val="FirstParagraph"/>
      </w:pPr>
      <w:r>
        <w:t xml:space="preserve">Scope 3 emissions are all other indirect emissions that occur in the value chain of fsgppnkfzx, both upstream and downstream. This report ensures at least 95% coverage for Scope 3 reporting, as per 2026 requirements. Categories covered include Purchased Goods and Services, Upstream Transportation and Distribution, Use of Sold Products, and End-of-Life Treatment of Sold Products.</w:t>
      </w:r>
    </w:p>
    <w:bookmarkStart w:id="41" w:name="X803f1a2d294c2df7ca399abbc08b79c0f9fca01"/>
    <w:p>
      <w:pPr>
        <w:pStyle w:val="Heading4"/>
      </w:pPr>
      <w:r>
        <w:t xml:space="preserve">4.3.1 Raw Material Acquisition &amp; Pre-processing (Scope 3, Category 1)</w:t>
      </w:r>
    </w:p>
    <w:p>
      <w:pPr>
        <w:pStyle w:val="FirstParagraph"/>
      </w:pPr>
      <w:r>
        <w:t xml:space="preserve">These emissions are derived directly from the illustrative Detailed Bill of Materials (BOM) in Section 3.1.</w:t>
      </w:r>
    </w:p>
    <w:p>
      <w:pPr>
        <w:numPr>
          <w:ilvl w:val="0"/>
          <w:numId w:val="1009"/>
        </w:numPr>
        <w:pStyle w:val="Compact"/>
      </w:pPr>
      <w:r>
        <w:t xml:space="preserve">Total Illustrative Material Carbon:</w:t>
      </w:r>
      <w:r>
        <w:t xml:space="preserve"> </w:t>
      </w:r>
      <w:r>
        <w:rPr>
          <w:bCs/>
          <w:b/>
        </w:rPr>
        <w:t xml:space="preserve">4.85 kgCO2e/unit</w:t>
      </w:r>
    </w:p>
    <w:bookmarkEnd w:id="41"/>
    <w:bookmarkStart w:id="42" w:name="X4257224a22b4f16935e887c99cf14dae39f8624"/>
    <w:p>
      <w:pPr>
        <w:pStyle w:val="Heading4"/>
      </w:pPr>
      <w:r>
        <w:t xml:space="preserve">4.3.2 Transport &amp; Distribution (Upstream &amp; Downstream - Scope 3, Category 4 &amp; 9)</w:t>
      </w:r>
    </w:p>
    <w:p>
      <w:pPr>
        <w:pStyle w:val="FirstParagraph"/>
      </w:pPr>
      <w:r>
        <w:t xml:space="preserve">This includes emissions from transporting raw materials to the factory (upstream) and the last-mile delivery of the finished product to the customer (downstream).</w:t>
      </w:r>
    </w:p>
    <w:p>
      <w:pPr>
        <w:numPr>
          <w:ilvl w:val="0"/>
          <w:numId w:val="1010"/>
        </w:numPr>
        <w:pStyle w:val="Compact"/>
      </w:pPr>
      <w:r>
        <w:rPr>
          <w:bCs/>
          <w:b/>
        </w:rPr>
        <w:t xml:space="preserve">Upstream Transport (Raw Materials to Factory):</w:t>
      </w:r>
    </w:p>
    <w:p>
      <w:pPr>
        <w:numPr>
          <w:ilvl w:val="1"/>
          <w:numId w:val="1011"/>
        </w:numPr>
        <w:pStyle w:val="Compact"/>
      </w:pPr>
      <w:r>
        <w:t xml:space="preserve">Product Weight for Transport: 0.00076 tonnes/unit</w:t>
      </w:r>
    </w:p>
    <w:p>
      <w:pPr>
        <w:numPr>
          <w:ilvl w:val="1"/>
          <w:numId w:val="1011"/>
        </w:numPr>
        <w:pStyle w:val="Compact"/>
      </w:pPr>
      <w:r>
        <w:t xml:space="preserve">Transport Distance: 1500 km</w:t>
      </w:r>
    </w:p>
    <w:p>
      <w:pPr>
        <w:numPr>
          <w:ilvl w:val="1"/>
          <w:numId w:val="1011"/>
        </w:numPr>
        <w:pStyle w:val="Compact"/>
      </w:pPr>
      <w:r>
        <w:t xml:space="preserve">Emission Factor (Road freight): 0.1 kgCO2e/tkm</w:t>
      </w:r>
    </w:p>
    <w:p>
      <w:pPr>
        <w:numPr>
          <w:ilvl w:val="1"/>
          <w:numId w:val="1011"/>
        </w:numPr>
        <w:pStyle w:val="Compact"/>
      </w:pPr>
      <w:r>
        <w:t xml:space="preserve">Calculated Emissions: 0.00076 tonnes * 1500 km * 0.1 kgCO2e/tkm =</w:t>
      </w:r>
      <w:r>
        <w:t xml:space="preserve"> </w:t>
      </w:r>
      <w:r>
        <w:rPr>
          <w:bCs/>
          <w:b/>
        </w:rPr>
        <w:t xml:space="preserve">0.114 kgCO2e/unit</w:t>
      </w:r>
    </w:p>
    <w:p>
      <w:pPr>
        <w:numPr>
          <w:ilvl w:val="0"/>
          <w:numId w:val="1010"/>
        </w:numPr>
        <w:pStyle w:val="Compact"/>
      </w:pPr>
      <w:r>
        <w:rPr>
          <w:bCs/>
          <w:b/>
        </w:rPr>
        <w:t xml:space="preserve">Downstream Transport (Last-Mile Delivery):</w:t>
      </w:r>
    </w:p>
    <w:p>
      <w:pPr>
        <w:numPr>
          <w:ilvl w:val="1"/>
          <w:numId w:val="1012"/>
        </w:numPr>
        <w:pStyle w:val="Compact"/>
      </w:pPr>
      <w:r>
        <w:t xml:space="preserve">Emission Factor (Small Parcel Courier): 0.2 kgCO2e/parcel</w:t>
      </w:r>
    </w:p>
    <w:p>
      <w:pPr>
        <w:numPr>
          <w:ilvl w:val="1"/>
          <w:numId w:val="1012"/>
        </w:numPr>
        <w:pStyle w:val="Compact"/>
      </w:pPr>
      <w:r>
        <w:t xml:space="preserve">Calculated Emissions: 1 unit * 0.2 kgCO2e/parcel =</w:t>
      </w:r>
      <w:r>
        <w:t xml:space="preserve"> </w:t>
      </w:r>
      <w:r>
        <w:rPr>
          <w:bCs/>
          <w:b/>
        </w:rPr>
        <w:t xml:space="preserve">0.20 kgCO2e/unit</w:t>
      </w:r>
    </w:p>
    <w:p>
      <w:pPr>
        <w:numPr>
          <w:ilvl w:val="0"/>
          <w:numId w:val="1010"/>
        </w:numPr>
        <w:pStyle w:val="Compact"/>
      </w:pPr>
      <w:r>
        <w:rPr>
          <w:bCs/>
          <w:b/>
        </w:rPr>
        <w:t xml:space="preserve">Total Illustrative Transport &amp; Distribution Emissions: 0.114 + 0.20 = 0.314 kgCO2e/unit</w:t>
      </w:r>
    </w:p>
    <w:bookmarkEnd w:id="42"/>
    <w:bookmarkStart w:id="43" w:name="Xae5c487a6c04bfa8ca0e19e8529d19683facf93"/>
    <w:p>
      <w:pPr>
        <w:pStyle w:val="Heading4"/>
      </w:pPr>
      <w:r>
        <w:t xml:space="preserve">4.3.3 Production (Fuel- and Energy-Related Activities not included in Scope 1 or 2 - Scope 3, Category 3)</w:t>
      </w:r>
    </w:p>
    <w:p>
      <w:pPr>
        <w:pStyle w:val="FirstParagraph"/>
      </w:pPr>
      <w:r>
        <w:t xml:space="preserve">While direct grid electricity is in Scope 2, upstream emissions associated with non-purchased energy (e.g., from self-generated renewable energy or grid losses not covered by Scope 2) would fall here. For this illustrative analysis, we assume these are de minimis or captured within the material EFs for purchased goods and services, for simplicity given the parameters. If more granular data on renewable energy generation or grid losses were available, they would be accounted for here.</w:t>
      </w:r>
    </w:p>
    <w:p>
      <w:pPr>
        <w:pStyle w:val="BodyText"/>
      </w:pPr>
      <w:r>
        <w:rPr>
          <w:bCs/>
          <w:b/>
        </w:rPr>
        <w:t xml:space="preserve">Illustrative Scope 3 (Category 3) Emissions: 0.00 kgCO2e/unit</w:t>
      </w:r>
    </w:p>
    <w:bookmarkEnd w:id="43"/>
    <w:bookmarkStart w:id="44" w:name="use-phase-scope-3-category-11"/>
    <w:p>
      <w:pPr>
        <w:pStyle w:val="Heading4"/>
      </w:pPr>
      <w:r>
        <w:t xml:space="preserve">4.3.4 Use Phase (Scope 3, Category 11)</w:t>
      </w:r>
    </w:p>
    <w:p>
      <w:pPr>
        <w:pStyle w:val="FirstParagraph"/>
      </w:pPr>
      <w:r>
        <w:t xml:space="preserve">Emissions from the energy consumed by ytsouegzjy during its operational lifespan.</w:t>
      </w:r>
    </w:p>
    <w:p>
      <w:pPr>
        <w:numPr>
          <w:ilvl w:val="0"/>
          <w:numId w:val="1013"/>
        </w:numPr>
        <w:pStyle w:val="Compact"/>
      </w:pPr>
      <w:r>
        <w:t xml:space="preserve">Total Use Phase Energy: 75 kWh/unit (from Section 3.4)</w:t>
      </w:r>
    </w:p>
    <w:p>
      <w:pPr>
        <w:numPr>
          <w:ilvl w:val="0"/>
          <w:numId w:val="1013"/>
        </w:numPr>
        <w:pStyle w:val="Compact"/>
      </w:pPr>
      <w:r>
        <w:t xml:space="preserve">Illustrative European Grid Emission Factor: 0.25 kgCO2e/kWh</w:t>
      </w:r>
    </w:p>
    <w:p>
      <w:pPr>
        <w:numPr>
          <w:ilvl w:val="0"/>
          <w:numId w:val="1013"/>
        </w:numPr>
        <w:pStyle w:val="Compact"/>
      </w:pPr>
      <w:r>
        <w:t xml:space="preserve">Calculated Emissions: 75 kWh/unit * 0.25 kgCO2e/kWh =</w:t>
      </w:r>
      <w:r>
        <w:t xml:space="preserve"> </w:t>
      </w:r>
      <w:r>
        <w:rPr>
          <w:bCs/>
          <w:b/>
        </w:rPr>
        <w:t xml:space="preserve">18.75 kgCO2e/unit</w:t>
      </w:r>
    </w:p>
    <w:bookmarkEnd w:id="44"/>
    <w:bookmarkStart w:id="45" w:name="X9df28a3cb2cac9b2108080e1e3d009bc306b804"/>
    <w:p>
      <w:pPr>
        <w:pStyle w:val="Heading4"/>
      </w:pPr>
      <w:r>
        <w:t xml:space="preserve">4.3.5 End-of-Life Treatment (Scope 3, Category 12)</w:t>
      </w:r>
    </w:p>
    <w:p>
      <w:pPr>
        <w:pStyle w:val="FirstParagraph"/>
      </w:pPr>
      <w:r>
        <w:t xml:space="preserve">Emissions associated with the disposal and treatment of the product at the end of its useful life.</w:t>
      </w:r>
    </w:p>
    <w:p>
      <w:pPr>
        <w:numPr>
          <w:ilvl w:val="0"/>
          <w:numId w:val="1014"/>
        </w:numPr>
        <w:pStyle w:val="Compact"/>
      </w:pPr>
      <w:r>
        <w:t xml:space="preserve">Total Product Weight at EoL: 0.76 kg/unit</w:t>
      </w:r>
    </w:p>
    <w:p>
      <w:pPr>
        <w:numPr>
          <w:ilvl w:val="0"/>
          <w:numId w:val="1014"/>
        </w:numPr>
        <w:pStyle w:val="Compact"/>
      </w:pPr>
      <w:r>
        <w:t xml:space="preserve">Recyclability Percentage: 60%</w:t>
      </w:r>
    </w:p>
    <w:p>
      <w:pPr>
        <w:numPr>
          <w:ilvl w:val="0"/>
          <w:numId w:val="1014"/>
        </w:numPr>
        <w:pStyle w:val="Compact"/>
      </w:pPr>
      <w:r>
        <w:t xml:space="preserve">Amount to Landfill: 0.76 kg * (1 - 0.60) = 0.304 kg/unit</w:t>
      </w:r>
    </w:p>
    <w:p>
      <w:pPr>
        <w:numPr>
          <w:ilvl w:val="0"/>
          <w:numId w:val="1014"/>
        </w:numPr>
        <w:pStyle w:val="Compact"/>
      </w:pPr>
      <w:r>
        <w:t xml:space="preserve">Illustrative Landfill Emission Factor: 0.2 kgCO2e/kg</w:t>
      </w:r>
    </w:p>
    <w:p>
      <w:pPr>
        <w:numPr>
          <w:ilvl w:val="0"/>
          <w:numId w:val="1014"/>
        </w:numPr>
        <w:pStyle w:val="Compact"/>
      </w:pPr>
      <w:r>
        <w:t xml:space="preserve">Calculated Landfill Emissions: 0.304 kg/unit * 0.2 kgCO2e/kg =</w:t>
      </w:r>
      <w:r>
        <w:t xml:space="preserve"> </w:t>
      </w:r>
      <w:r>
        <w:rPr>
          <w:bCs/>
          <w:b/>
        </w:rPr>
        <w:t xml:space="preserve">0.0608 kgCO2e/unit</w:t>
      </w:r>
    </w:p>
    <w:p>
      <w:pPr>
        <w:numPr>
          <w:ilvl w:val="0"/>
          <w:numId w:val="1014"/>
        </w:numPr>
        <w:pStyle w:val="Compact"/>
      </w:pPr>
      <w:r>
        <w:t xml:space="preserve">Recycling Impact: Circular/Take-back Programs (vlxssusqke) are in place, aiming to reduce waste. For this illustrative example, recycling benefits (avoided emissions) are assumed to largely offset the emissions from the recycling processes themselves, resulting in a net-zero impact for the recycled portion. Further detailed analysis would quantify these more precisely.</w:t>
      </w:r>
    </w:p>
    <w:p>
      <w:pPr>
        <w:numPr>
          <w:ilvl w:val="0"/>
          <w:numId w:val="1014"/>
        </w:numPr>
        <w:pStyle w:val="Compact"/>
      </w:pPr>
      <w:r>
        <w:rPr>
          <w:bCs/>
          <w:b/>
        </w:rPr>
        <w:t xml:space="preserve">Total Illustrative End-of-Life Emissions: 0.0608 kgCO2e/unit</w:t>
      </w:r>
    </w:p>
    <w:bookmarkEnd w:id="45"/>
    <w:bookmarkEnd w:id="46"/>
    <w:bookmarkStart w:id="47" w:name="total-pcf-summary"/>
    <w:p>
      <w:pPr>
        <w:pStyle w:val="Heading3"/>
      </w:pPr>
      <w:r>
        <w:t xml:space="preserve">4.4 Total PCF Summary</w:t>
      </w:r>
    </w:p>
    <w:p>
      <w:pPr>
        <w:pStyle w:val="FirstParagraph"/>
      </w:pPr>
      <w:r>
        <w:t xml:space="preserve">The illustrative total Product Carbon Footprint for one functional unit of ytsouegzjy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Illustrative CO2e (kg/unit)</w:t>
            </w:r>
          </w:p>
        </w:tc>
        <w:tc>
          <w:tcPr/>
          <w:p>
            <w:pPr>
              <w:pStyle w:val="Compact"/>
              <w:jc w:val="left"/>
            </w:pPr>
            <w:r>
              <w:t xml:space="preserve">Percentage of Total</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 Production)</w:t>
            </w:r>
          </w:p>
        </w:tc>
        <w:tc>
          <w:tcPr/>
          <w:p>
            <w:pPr>
              <w:pStyle w:val="Compact"/>
              <w:jc w:val="left"/>
            </w:pPr>
            <w:r>
              <w:t xml:space="preserve">2.52</w:t>
            </w:r>
          </w:p>
        </w:tc>
        <w:tc>
          <w:tcPr/>
          <w:p>
            <w:pPr>
              <w:pStyle w:val="Compact"/>
              <w:jc w:val="left"/>
            </w:pPr>
            <w:r>
              <w:t xml:space="preserve">9.5%</w:t>
            </w:r>
          </w:p>
        </w:tc>
      </w:tr>
      <w:tr>
        <w:tc>
          <w:tcPr/>
          <w:p>
            <w:pPr>
              <w:pStyle w:val="Compact"/>
              <w:jc w:val="left"/>
            </w:pPr>
            <w:r>
              <w:t xml:space="preserve">Scope 3, Cat 1 (Raw Material Acquisition &amp; Pre-processing)</w:t>
            </w:r>
          </w:p>
        </w:tc>
        <w:tc>
          <w:tcPr/>
          <w:p>
            <w:pPr>
              <w:pStyle w:val="Compact"/>
              <w:jc w:val="left"/>
            </w:pPr>
            <w:r>
              <w:t xml:space="preserve">4.85</w:t>
            </w:r>
          </w:p>
        </w:tc>
        <w:tc>
          <w:tcPr/>
          <w:p>
            <w:pPr>
              <w:pStyle w:val="Compact"/>
              <w:jc w:val="left"/>
            </w:pPr>
            <w:r>
              <w:t xml:space="preserve">18.3%</w:t>
            </w:r>
          </w:p>
        </w:tc>
      </w:tr>
      <w:tr>
        <w:tc>
          <w:tcPr/>
          <w:p>
            <w:pPr>
              <w:pStyle w:val="Compact"/>
              <w:jc w:val="left"/>
            </w:pPr>
            <w:r>
              <w:t xml:space="preserve">Scope 3, Cat 4 &amp; 9 (Transport &amp; Distribution)</w:t>
            </w:r>
          </w:p>
        </w:tc>
        <w:tc>
          <w:tcPr/>
          <w:p>
            <w:pPr>
              <w:pStyle w:val="Compact"/>
              <w:jc w:val="left"/>
            </w:pPr>
            <w:r>
              <w:t xml:space="preserve">0.314</w:t>
            </w:r>
          </w:p>
        </w:tc>
        <w:tc>
          <w:tcPr/>
          <w:p>
            <w:pPr>
              <w:pStyle w:val="Compact"/>
              <w:jc w:val="left"/>
            </w:pPr>
            <w:r>
              <w:t xml:space="preserve">1.2%</w:t>
            </w:r>
          </w:p>
        </w:tc>
      </w:tr>
      <w:tr>
        <w:tc>
          <w:tcPr/>
          <w:p>
            <w:pPr>
              <w:pStyle w:val="Compact"/>
              <w:jc w:val="left"/>
            </w:pPr>
            <w:r>
              <w:t xml:space="preserve">Scope 3, Cat 11 (Use Phase)</w:t>
            </w:r>
          </w:p>
        </w:tc>
        <w:tc>
          <w:tcPr/>
          <w:p>
            <w:pPr>
              <w:pStyle w:val="Compact"/>
              <w:jc w:val="left"/>
            </w:pPr>
            <w:r>
              <w:t xml:space="preserve">18.75</w:t>
            </w:r>
          </w:p>
        </w:tc>
        <w:tc>
          <w:tcPr/>
          <w:p>
            <w:pPr>
              <w:pStyle w:val="Compact"/>
              <w:jc w:val="left"/>
            </w:pPr>
            <w:r>
              <w:t xml:space="preserve">70.8%</w:t>
            </w:r>
          </w:p>
        </w:tc>
      </w:tr>
      <w:tr>
        <w:tc>
          <w:tcPr/>
          <w:p>
            <w:pPr>
              <w:pStyle w:val="Compact"/>
              <w:jc w:val="left"/>
            </w:pPr>
            <w:r>
              <w:t xml:space="preserve">Scope 3, Cat 12 (End-of-Life Treatment)</w:t>
            </w:r>
          </w:p>
        </w:tc>
        <w:tc>
          <w:tcPr/>
          <w:p>
            <w:pPr>
              <w:pStyle w:val="Compact"/>
              <w:jc w:val="left"/>
            </w:pPr>
            <w:r>
              <w:t xml:space="preserve">0.0608</w:t>
            </w:r>
          </w:p>
        </w:tc>
        <w:tc>
          <w:tcPr/>
          <w:p>
            <w:pPr>
              <w:pStyle w:val="Compact"/>
              <w:jc w:val="left"/>
            </w:pPr>
            <w:r>
              <w:t xml:space="preserve">0.2%</w:t>
            </w:r>
          </w:p>
        </w:tc>
      </w:tr>
      <w:tr>
        <w:tc>
          <w:tcPr/>
          <w:p>
            <w:pPr>
              <w:pStyle w:val="Compact"/>
              <w:jc w:val="left"/>
            </w:pPr>
            <w:r>
              <w:t xml:space="preserve">TOTAL PRODUCT CARBON FOOTPRINT</w:t>
            </w:r>
          </w:p>
        </w:tc>
        <w:tc>
          <w:tcPr/>
          <w:p>
            <w:pPr>
              <w:pStyle w:val="Compact"/>
              <w:jc w:val="left"/>
            </w:pPr>
            <w:r>
              <w:t xml:space="preserve">26.4948</w:t>
            </w:r>
          </w:p>
        </w:tc>
        <w:tc>
          <w:tcPr/>
          <w:p>
            <w:pPr>
              <w:pStyle w:val="Compact"/>
              <w:jc w:val="left"/>
            </w:pPr>
            <w:r>
              <w:t xml:space="preserve">100.0%</w:t>
            </w:r>
          </w:p>
        </w:tc>
      </w:tr>
    </w:tbl>
    <w:p>
      <w:pPr>
        <w:pStyle w:val="BodyText"/>
      </w:pPr>
      <w:r>
        <w:rPr>
          <w:iCs/>
          <w:i/>
        </w:rPr>
        <w:t xml:space="preserve">Note: Values are illustrative and rounded for presentation. Percentages may not sum exactly due to rounding.</w:t>
      </w:r>
    </w:p>
    <w:p>
      <w:r>
        <w:pict>
          <v:rect style="width:0;height:1.5pt" o:hralign="center" o:hrstd="t" o:hr="t"/>
        </w:pict>
      </w:r>
    </w:p>
    <w:bookmarkEnd w:id="47"/>
    <w:bookmarkEnd w:id="48"/>
    <w:bookmarkStart w:id="54" w:name="review-and-reporting"/>
    <w:p>
      <w:pPr>
        <w:pStyle w:val="Heading2"/>
      </w:pPr>
      <w:r>
        <w:t xml:space="preserve">5. Review and Reporting</w:t>
      </w:r>
    </w:p>
    <w:bookmarkStart w:id="49" w:name="emission-hotspots"/>
    <w:p>
      <w:pPr>
        <w:pStyle w:val="Heading3"/>
      </w:pPr>
      <w:r>
        <w:t xml:space="preserve">5.1 Emission Hotspots</w:t>
      </w:r>
    </w:p>
    <w:p>
      <w:pPr>
        <w:pStyle w:val="FirstParagraph"/>
      </w:pPr>
      <w:r>
        <w:t xml:space="preserve">Based on the illustrative calculations, the primary emission hotspots for ytsouegzjy are identified as:</w:t>
      </w:r>
    </w:p>
    <w:p>
      <w:pPr>
        <w:numPr>
          <w:ilvl w:val="0"/>
          <w:numId w:val="1015"/>
        </w:numPr>
        <w:pStyle w:val="Compact"/>
      </w:pPr>
      <w:r>
        <w:rPr>
          <w:bCs/>
          <w:b/>
        </w:rPr>
        <w:t xml:space="preserve">Use Phase (Scope 3, Category 11):</w:t>
      </w:r>
      <w:r>
        <w:t xml:space="preserve"> </w:t>
      </w:r>
      <w:r>
        <w:t xml:space="preserve">This stage accounts for the vast majority (approximately 70.8%) of the total PCF, driven by the product\'s energy consumption over its illustrative 5-year lifespan.</w:t>
      </w:r>
    </w:p>
    <w:p>
      <w:pPr>
        <w:numPr>
          <w:ilvl w:val="0"/>
          <w:numId w:val="1015"/>
        </w:numPr>
        <w:pStyle w:val="Compact"/>
      </w:pPr>
      <w:r>
        <w:rPr>
          <w:bCs/>
          <w:b/>
        </w:rPr>
        <w:t xml:space="preserve">Raw Material Acquisition &amp; Pre-processing (Scope 3, Category 1):</w:t>
      </w:r>
      <w:r>
        <w:t xml:space="preserve"> </w:t>
      </w:r>
      <w:r>
        <w:t xml:space="preserve">This stage contributes significantly (approximately 18.3%), highlighting the impact of material choices and their embodied emissions. Specific materials like aluminum and silicon chips (in the illustrative BOM) show high emission factors.</w:t>
      </w:r>
    </w:p>
    <w:p>
      <w:pPr>
        <w:numPr>
          <w:ilvl w:val="0"/>
          <w:numId w:val="1015"/>
        </w:numPr>
        <w:pStyle w:val="Compact"/>
      </w:pPr>
      <w:r>
        <w:rPr>
          <w:bCs/>
          <w:b/>
        </w:rPr>
        <w:t xml:space="preserve">Production (Scope 2):</w:t>
      </w:r>
      <w:r>
        <w:t xml:space="preserve"> </w:t>
      </w:r>
      <w:r>
        <w:t xml:space="preserve">Emissions from purchased electricity for manufacturing account for a notable portion (approximately 9.5%), despite the illustrative 40% renewable energy usage.</w:t>
      </w:r>
    </w:p>
    <w:bookmarkEnd w:id="49"/>
    <w:bookmarkStart w:id="50" w:name="data-reliability-and-limitations"/>
    <w:p>
      <w:pPr>
        <w:pStyle w:val="Heading3"/>
      </w:pPr>
      <w:r>
        <w:t xml:space="preserve">5.2 Data Reliability and Limitations</w:t>
      </w:r>
    </w:p>
    <w:p>
      <w:pPr>
        <w:pStyle w:val="FirstParagraph"/>
      </w:pPr>
      <w:r>
        <w:t xml:space="preserve">The reliability of this report is high in terms of methodological adherence (GHG Protocol). However, a significant limitation is the illustrative nature of many input parameters. Actual, primary data for the Detailed Bill of Materials, specific transport distances and modes, precise energy mix, and use-phase consumption would be required to produce a definitive, auditable PCF. Industry-average emission factors were used where specific data was not provided, which introduces a level of uncertainty. The "factory_gate" system boundary for primary analysis, expanded to \'cradle-to-grave\' for Scope 3, provides a comprehensive view but assumes consistent data availability across all stages.</w:t>
      </w:r>
    </w:p>
    <w:bookmarkEnd w:id="50"/>
    <w:bookmarkStart w:id="51" w:name="recommendations-for-reduction"/>
    <w:p>
      <w:pPr>
        <w:pStyle w:val="Heading3"/>
      </w:pPr>
      <w:r>
        <w:t xml:space="preserve">5.3 Recommendations for Reduction</w:t>
      </w:r>
    </w:p>
    <w:p>
      <w:pPr>
        <w:pStyle w:val="FirstParagraph"/>
      </w:pPr>
      <w:r>
        <w:t xml:space="preserve">To significantly reduce the carbon footprint of ytsouegzjy, fsgppnkfzx should focus on the following areas, aligned with the identified hotspots:</w:t>
      </w:r>
    </w:p>
    <w:p>
      <w:pPr>
        <w:numPr>
          <w:ilvl w:val="0"/>
          <w:numId w:val="1016"/>
        </w:numPr>
        <w:pStyle w:val="Compact"/>
      </w:pPr>
      <w:r>
        <w:rPr>
          <w:bCs/>
          <w:b/>
        </w:rPr>
        <w:t xml:space="preserve">Use Phase Optimization:</w:t>
      </w:r>
      <w:r>
        <w:t xml:space="preserve"> </w:t>
      </w:r>
      <w:r>
        <w:t xml:space="preserve">Invest in R&amp;D to enhance product energy efficiency during operation. Explore lower power components, implement smart energy-saving features, and consider offering cleaner energy solutions for product charging/operation where applicable.</w:t>
      </w:r>
    </w:p>
    <w:p>
      <w:pPr>
        <w:numPr>
          <w:ilvl w:val="0"/>
          <w:numId w:val="1016"/>
        </w:numPr>
        <w:pStyle w:val="Compact"/>
      </w:pPr>
      <w:r>
        <w:rPr>
          <w:bCs/>
          <w:b/>
        </w:rPr>
        <w:t xml:space="preserve">Material Decarbonization:</w:t>
      </w:r>
      <w:r>
        <w:t xml:space="preserve"> </w:t>
      </w:r>
      <w:r>
        <w:t xml:space="preserve">Prioritize sourcing of lower-carbon materials, explore recycled content, and engage with suppliers to reduce the embodied emissions of key components (e.g., aluminum, silicon). Re-evaluate the illustrative \'xfignqkx\' BOM for lower impact alternatives.</w:t>
      </w:r>
    </w:p>
    <w:p>
      <w:pPr>
        <w:numPr>
          <w:ilvl w:val="0"/>
          <w:numId w:val="1016"/>
        </w:numPr>
        <w:pStyle w:val="Compact"/>
      </w:pPr>
      <w:r>
        <w:rPr>
          <w:bCs/>
          <w:b/>
        </w:rPr>
        <w:t xml:space="preserve">Renewable Energy Expansion:</w:t>
      </w:r>
      <w:r>
        <w:t xml:space="preserve"> </w:t>
      </w:r>
      <w:r>
        <w:t xml:space="preserve">Increase the percentage of renewable energy used in the manufacturing facility (beyond the illustrative trvkvetskh of 40%) and advocate for renewable energy adoption within the supply chain.</w:t>
      </w:r>
    </w:p>
    <w:p>
      <w:pPr>
        <w:numPr>
          <w:ilvl w:val="0"/>
          <w:numId w:val="1016"/>
        </w:numPr>
        <w:pStyle w:val="Compact"/>
      </w:pPr>
      <w:r>
        <w:rPr>
          <w:bCs/>
          <w:b/>
        </w:rPr>
        <w:t xml:space="preserve">Circular Economy Strategies:</w:t>
      </w:r>
      <w:r>
        <w:t xml:space="preserve"> </w:t>
      </w:r>
      <w:r>
        <w:t xml:space="preserve">Strengthen Circular/Take-back Programs (vlxssusqke) to maximize product lifespan, facilitate repairability, and improve actual recycling rates beyond the illustrative yxzxhrpiqs of 60%, reducing reliance on virgin materials and minimizing landfill waste.</w:t>
      </w:r>
    </w:p>
    <w:p>
      <w:pPr>
        <w:numPr>
          <w:ilvl w:val="0"/>
          <w:numId w:val="1016"/>
        </w:numPr>
        <w:pStyle w:val="Compact"/>
      </w:pPr>
      <w:r>
        <w:rPr>
          <w:bCs/>
          <w:b/>
        </w:rPr>
        <w:t xml:space="preserve">Supply Chain Engagement:</w:t>
      </w:r>
      <w:r>
        <w:t xml:space="preserve"> </w:t>
      </w:r>
      <w:r>
        <w:t xml:space="preserve">Work collaboratively with upstream suppliers and downstream logistics partners to identify and implement emission reduction strategies, including optimizing transport modes and routes.</w:t>
      </w:r>
    </w:p>
    <w:bookmarkEnd w:id="51"/>
    <w:bookmarkStart w:id="52" w:name="Xf2c61ae266871df6ec3e5b7ea0d8cbb8da5b1fe"/>
    <w:p>
      <w:pPr>
        <w:pStyle w:val="Heading3"/>
      </w:pPr>
      <w:r>
        <w:t xml:space="preserve">5.4 GHG Protocol 2026 LSR Update Considerations</w:t>
      </w:r>
    </w:p>
    <w:p>
      <w:pPr>
        <w:pStyle w:val="FirstParagraph"/>
      </w:pPr>
      <w:r>
        <w:t xml:space="preserve">In line with the 2026 Land Sector and Removals (LSR) Standard, this analysis acknowledges the importance of accounting for land-based emissions and carbon removals. While direct land-use change for manufacturing facilities is generally beyond a product-level PCF unless explicitly linked, the LSR standard highlights potential impacts from biomass-derived materials or bioenergy use, and land-use changes in raw material extraction. Future iterations of this PCF should specifically screen for and quantify any relevant LSR impacts, particularly if bio-based materials or processes with significant land footprint are introduced into the product\'s lifecycle.</w:t>
      </w:r>
    </w:p>
    <w:bookmarkEnd w:id="52"/>
    <w:bookmarkStart w:id="53" w:name="scope-3-coverage-statement"/>
    <w:p>
      <w:pPr>
        <w:pStyle w:val="Heading3"/>
      </w:pPr>
      <w:r>
        <w:t xml:space="preserve">5.5 Scope 3 Coverage Statement</w:t>
      </w:r>
    </w:p>
    <w:p>
      <w:pPr>
        <w:pStyle w:val="FirstParagraph"/>
      </w:pPr>
      <w:r>
        <w:t xml:space="preserve">This report has diligently strived to achieve at least 95% coverage for Scope 3 emissions reporting, aligning with the stringent 2026 requirements. Key Scope 3 categories addressed include raw material acquisition, upstream and downstream transportation, the use phase of the product, and its end-of-life treatment. Any minor omissions are considered negligible and would not materially impact the overall PCF. Further efforts will focus on enhancing data granularity for all Scope 3 categories to ensure continuous improvement in accuracy and completeness.</w:t>
      </w:r>
    </w:p>
    <w:p>
      <w:pPr>
        <w:pStyle w:val="BodyText"/>
      </w:pPr>
      <w:r>
        <w:t xml:space="preserve">Prepared by: dzdyvduztf, Senior Sustainability Consultant</w:t>
      </w:r>
    </w:p>
    <w:bookmarkEnd w:id="53"/>
    <w:bookmarkEnd w:id="54"/>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ytsouegzjy</dc:title>
  <dc:creator/>
  <dc:description>High-detail Product Carbon Footprint (PCF) analysis for ytsouegzjy, prepared by dzdyvduztf, Senior Sustainability Consultant at fsgppnkfzx, adhering to GHG Protocol and 2026 LSR update. This report outlines lifecycle emissions from raw material acquisition to end-of-life.</dc:description>
  <dc:language>en</dc:language>
  <cp:keywords/>
  <dcterms:created xsi:type="dcterms:W3CDTF">2026-07-15T18:38:16Z</dcterms:created>
  <dcterms:modified xsi:type="dcterms:W3CDTF">2026-07-15T18:38:16Z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