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ysgyunoyym</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ysgyunoyym</w:t>
      </w:r>
    </w:p>
    <w:p>
      <w:pPr>
        <w:pStyle w:val="BodyText"/>
      </w:pPr>
      <w:r>
        <w:rPr>
          <w:bCs/>
          <w:b/>
        </w:rPr>
        <w:t xml:space="preserve">Company Name:</w:t>
      </w:r>
      <w:r>
        <w:t xml:space="preserve"> </w:t>
      </w:r>
      <w:r>
        <w:t xml:space="preserve">pjissogmuw</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tpltshsron</w:t>
      </w:r>
    </w:p>
    <w:p>
      <w:pPr>
        <w:pStyle w:val="BodyText"/>
      </w:pPr>
      <w:r>
        <w:br/>
      </w:r>
    </w:p>
    <w:p>
      <w:pPr>
        <w:pStyle w:val="BodyText"/>
      </w:pPr>
      <w:r>
        <w:rPr>
          <w:iCs/>
          <w:i/>
        </w:rPr>
        <w:t xml:space="preserve">Disclaimer: This report is generated based on available data and industry standards, incorporating specific parameters provided. Due to the placeholder nature of some input parameters, specific numerical results presented within the report are illustrative rather than definitive.</w:t>
      </w:r>
    </w:p>
    <w:bookmarkEnd w:id="20"/>
    <w:bookmarkStart w:id="34" w:name="X5f7f2e0fe48841797bb8d364b6def9350981d4d"/>
    <w:p>
      <w:pPr>
        <w:pStyle w:val="Heading1"/>
      </w:pPr>
      <w:r>
        <w:t xml:space="preserve">Product Carbon Footprint Analysis Report: ysgyunoyym</w:t>
      </w:r>
    </w:p>
    <w:p>
      <w:pPr>
        <w:pStyle w:val="FirstParagraph"/>
      </w:pPr>
      <w:r>
        <w:rPr>
          <w:bCs/>
          <w:b/>
        </w:rPr>
        <w:t xml:space="preserve">Generated Date:</w:t>
      </w:r>
      <w:r>
        <w:t xml:space="preserve"> </w:t>
      </w:r>
      <w:r>
        <w:t xml:space="preserve">May 29,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“ysgyunoyym,” manufactured by pjissogmuw. As tpltshsron, a Senior Sustainability Consultant specializing in GHG Protocol, this analysis aims to quantify the greenhouse gas (GHG) emissions associated with the product across its lifecycle. The methodology strictly adheres to the GHG Protocol’s Product Life Cycle Accounting and Reporting Standard, incorporating the latest 2026 Land Sector and Removals (LSR) Standard updates for land-use impacts and ensuring comprehensive Scope 3 coverage. The primary objective is to identify emissions hotspots, inform reduction strategies, and provide transparent reporting for internal and external stakeholders.</w:t>
      </w:r>
    </w:p>
    <w:p>
      <w:r>
        <w:pict>
          <v:rect style="width:0;height:1.5pt" o:hralign="center" o:hrstd="t" o:hr="t"/>
        </w:pict>
      </w:r>
    </w:p>
    <w:bookmarkEnd w:id="21"/>
    <w:bookmarkStart w:id="31" w:name="methodology"/>
    <w:p>
      <w:pPr>
        <w:pStyle w:val="Heading2"/>
      </w:pPr>
      <w:r>
        <w:t xml:space="preserve">Methodology</w:t>
      </w:r>
    </w:p>
    <w:p>
      <w:pPr>
        <w:pStyle w:val="FirstParagraph"/>
      </w:pPr>
      <w:r>
        <w:t xml:space="preserve">The Product Carbon Footprint (PCF) for ysgyunoyym follows a rigorous five-step methodology in line with the GHG Protocol’s Product Life Cycle Accounting and Reporting Standard and the 2026 LSR Standard. This approach ensures a comprehensive and accurate assessment of GHG emissions across the entire product lifecycle, expressed in kilograms of carbon dioxide equivalents (kg CO₂e) per functional unit.</w:t>
      </w:r>
    </w:p>
    <w:bookmarkStart w:id="22" w:name="define-scope"/>
    <w:p>
      <w:pPr>
        <w:pStyle w:val="Heading3"/>
      </w:pPr>
      <w:r>
        <w:t xml:space="preserve">1. Define Scope</w:t>
      </w:r>
    </w:p>
    <w:p>
      <w:pPr>
        <w:numPr>
          <w:ilvl w:val="0"/>
          <w:numId w:val="1001"/>
        </w:numPr>
        <w:pStyle w:val="Compact"/>
      </w:pPr>
      <w:r>
        <w:rPr>
          <w:bCs/>
          <w:b/>
        </w:rPr>
        <w:t xml:space="preserve">Functional Unit:</w:t>
      </w:r>
      <w:r>
        <w:t xml:space="preserve"> </w:t>
      </w:r>
      <w:r>
        <w:t xml:space="preserve">The functional unit for this PCF analysis is defined as 1.0 unit of ysgyunoyym. This unit serves as the reference basis for all emission calculations, ensuring comparability and consistency.</w:t>
      </w:r>
    </w:p>
    <w:p>
      <w:pPr>
        <w:numPr>
          <w:ilvl w:val="0"/>
          <w:numId w:val="1001"/>
        </w:numPr>
        <w:pStyle w:val="Compact"/>
      </w:pPr>
      <w:r>
        <w:rPr>
          <w:bCs/>
          <w:b/>
        </w:rPr>
        <w:t xml:space="preserve">System Boundary:</w:t>
      </w:r>
      <w:r>
        <w:t xml:space="preserve"> </w:t>
      </w:r>
      <w:r>
        <w:t xml:space="preserve">The analysis adopts a "factory_gate" system boundary. This includes all emissions from raw material acquisition, manufacturing processes, and transportation up to the point where the product leaves the pjissogmuw factory gate. While the primary boundary is factory-gate, a full cradle-to-grave perspective is conceptually outlined to address all lifecycle stages, including use and end-of-life, as per the parameters.</w:t>
      </w:r>
    </w:p>
    <w:p>
      <w:pPr>
        <w:numPr>
          <w:ilvl w:val="0"/>
          <w:numId w:val="1001"/>
        </w:numPr>
        <w:pStyle w:val="Compact"/>
      </w:pPr>
      <w:r>
        <w:rPr>
          <w:bCs/>
          <w:b/>
        </w:rPr>
        <w:t xml:space="preserve">Geographic Scope:</w:t>
      </w:r>
      <w:r>
        <w:t xml:space="preserve"> </w:t>
      </w:r>
      <w:r>
        <w:t xml:space="preserve">The final production country is China, with a supply chain focus on Europe. This dual focus necessitates the use of relevant regional emission factors and considerations for international logistics.</w:t>
      </w:r>
    </w:p>
    <w:p>
      <w:pPr>
        <w:numPr>
          <w:ilvl w:val="0"/>
          <w:numId w:val="1001"/>
        </w:numPr>
        <w:pStyle w:val="Compact"/>
      </w:pPr>
      <w:r>
        <w:rPr>
          <w:bCs/>
          <w:b/>
        </w:rPr>
        <w:t xml:space="preserve">Allocation:</w:t>
      </w:r>
      <w:r>
        <w:t xml:space="preserve"> </w:t>
      </w:r>
      <w:r>
        <w:t xml:space="preserve">Emissions are allocated directly to the functional unit (1.0 unit of ysgyunoyym). In cases of multi-product processes or shared resources, appropriate allocation rules based on physical relationships (e.g., mass, energy content) or economic value will be applied in accordance with GHG Protocol guidance to ensure that only emissions attributable to ysgyunoyym are included.</w:t>
      </w:r>
    </w:p>
    <w:p>
      <w:pPr>
        <w:numPr>
          <w:ilvl w:val="0"/>
          <w:numId w:val="1001"/>
        </w:numPr>
        <w:pStyle w:val="Compact"/>
      </w:pPr>
      <w:r>
        <w:rPr>
          <w:bCs/>
          <w:b/>
        </w:rPr>
        <w:t xml:space="preserve">Accounting Standard:</w:t>
      </w:r>
      <w:r>
        <w:t xml:space="preserve"> </w:t>
      </w:r>
      <w:r>
        <w:t xml:space="preserve">The analysis strictly adheres to the GHG Protocol Product Life Cycle Accounting and Reporting Standard. This includes categorizing emissions into Scope 1 (direct emissions from owned or controlled sources), Scope 2 (indirect emissions from the generation of purchased energy), and Scope 3 (all other indirect emissions that occur in the value chain).</w:t>
      </w:r>
    </w:p>
    <w:bookmarkEnd w:id="22"/>
    <w:bookmarkStart w:id="24" w:name="map-lifecycle-lci-inventory-stages"/>
    <w:p>
      <w:pPr>
        <w:pStyle w:val="Heading3"/>
      </w:pPr>
      <w:r>
        <w:t xml:space="preserve">2. Map Lifecycle (LCI Inventory Stages)</w:t>
      </w:r>
    </w:p>
    <w:p>
      <w:pPr>
        <w:pStyle w:val="FirstParagraph"/>
      </w:pPr>
      <w:r>
        <w:t xml:space="preserve">The lifecycle of ysgyunoyym is mapped to identify all relevant stages contributing to its carbon footprint. This includes raw material extraction and processing, manufacturing (production), transportation (to factory, distribution), product use, and end-of-life treatment. Each stage is characterized by specific material and energy inputs.</w:t>
      </w:r>
    </w:p>
    <w:bookmarkStart w:id="23" w:name="detailed-bill-of-materials-bom-breakdown"/>
    <w:p>
      <w:pPr>
        <w:pStyle w:val="Heading4"/>
      </w:pPr>
      <w:r>
        <w:t xml:space="preserve">Detailed Bill of Materials (BOM) Breakdown</w:t>
      </w:r>
    </w:p>
    <w:p>
      <w:pPr>
        <w:pStyle w:val="FirstParagraph"/>
      </w:pPr>
      <w:r>
        <w:t xml:space="preserve">The Detailed Bill of Materials (BOM) "wuniremr" is crucial for a high-accuracy material impact calculation. As the provided BOM is a placeholder string, the table below illustrates the expected format and how hypothetical material data would contribute to the emissions inventory. In a real-world scenario, each item\'s specific quantity, unit, and emission factor would be used to calculate its total carbon impact for the "Materials" stage of the lifecycle.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(Illustrative)</w:t>
            </w:r>
          </w:p>
        </w:tc>
        <w:tc>
          <w:tcPr/>
          <w:p>
            <w:pPr>
              <w:pStyle w:val="Compact"/>
              <w:jc w:val="left"/>
            </w:pPr>
            <w:r>
              <w:t xml:space="preserve">Unit</w:t>
            </w:r>
          </w:p>
        </w:tc>
        <w:tc>
          <w:tcPr/>
          <w:p>
            <w:pPr>
              <w:pStyle w:val="Compact"/>
              <w:jc w:val="left"/>
            </w:pPr>
            <w:r>
              <w:t xml:space="preserve">Emission Factor (Illustrative kg CO₂e/unit)</w:t>
            </w:r>
          </w:p>
        </w:tc>
        <w:tc>
          <w:tcPr/>
          <w:p>
            <w:pPr>
              <w:pStyle w:val="Compact"/>
              <w:jc w:val="left"/>
            </w:pPr>
            <w:r>
              <w:t xml:space="preserve">Total Carbon (Illustrative kg CO₂e)</w:t>
            </w:r>
          </w:p>
        </w:tc>
      </w:tr>
      <w:tr>
        <w:tc>
          <w:tcPr/>
          <w:p>
            <w:pPr>
              <w:pStyle w:val="Compact"/>
              <w:jc w:val="left"/>
            </w:pPr>
            <w:r>
              <w:t xml:space="preserve">M-001</w:t>
            </w:r>
          </w:p>
        </w:tc>
        <w:tc>
          <w:tcPr/>
          <w:p>
            <w:pPr>
              <w:pStyle w:val="Compact"/>
              <w:jc w:val="left"/>
            </w:pPr>
            <w:r>
              <w:t xml:space="preserve">Raw Material A</w:t>
            </w:r>
          </w:p>
        </w:tc>
        <w:tc>
          <w:tcPr/>
          <w:p>
            <w:pPr>
              <w:pStyle w:val="Compact"/>
              <w:jc w:val="left"/>
            </w:pPr>
            <w:r>
              <w:t xml:space="preserve">Metals</w:t>
            </w:r>
          </w:p>
        </w:tc>
        <w:tc>
          <w:tcPr/>
          <w:p>
            <w:pPr>
              <w:pStyle w:val="Compact"/>
              <w:jc w:val="left"/>
            </w:pPr>
            <w:r>
              <w:t xml:space="preserve">Extraction &amp; Refining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5.0</w:t>
            </w:r>
          </w:p>
        </w:tc>
        <w:tc>
          <w:tcPr/>
          <w:p>
            <w:pPr>
              <w:pStyle w:val="Compact"/>
              <w:jc w:val="left"/>
            </w:pPr>
            <w:r>
              <w:t xml:space="preserve">2.5</w:t>
            </w:r>
          </w:p>
        </w:tc>
      </w:tr>
      <w:tr>
        <w:tc>
          <w:tcPr/>
          <w:p>
            <w:pPr>
              <w:pStyle w:val="Compact"/>
              <w:jc w:val="left"/>
            </w:pPr>
            <w:r>
              <w:t xml:space="preserve">M-002</w:t>
            </w:r>
          </w:p>
        </w:tc>
        <w:tc>
          <w:tcPr/>
          <w:p>
            <w:pPr>
              <w:pStyle w:val="Compact"/>
              <w:jc w:val="left"/>
            </w:pPr>
            <w:r>
              <w:t xml:space="preserve">Component B</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w:t>
            </w:r>
          </w:p>
        </w:tc>
      </w:tr>
      <w:tr>
        <w:tc>
          <w:tcPr/>
          <w:p>
            <w:pPr>
              <w:pStyle w:val="Compact"/>
              <w:jc w:val="left"/>
            </w:pPr>
            <w:r>
              <w:t xml:space="preserve">M-003</w:t>
            </w:r>
          </w:p>
        </w:tc>
        <w:tc>
          <w:tcPr/>
          <w:p>
            <w:pPr>
              <w:pStyle w:val="Compact"/>
              <w:jc w:val="left"/>
            </w:pPr>
            <w:r>
              <w:t xml:space="preserve">Packaging Material C</w:t>
            </w:r>
          </w:p>
        </w:tc>
        <w:tc>
          <w:tcPr/>
          <w:p>
            <w:pPr>
              <w:pStyle w:val="Compact"/>
              <w:jc w:val="left"/>
            </w:pPr>
            <w:r>
              <w:t xml:space="preserve">Paper/Cardboard</w:t>
            </w:r>
          </w:p>
        </w:tc>
        <w:tc>
          <w:tcPr/>
          <w:p>
            <w:pPr>
              <w:pStyle w:val="Compact"/>
              <w:jc w:val="left"/>
            </w:pPr>
            <w:r>
              <w:t xml:space="preserve">Pulping &amp; Forming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w:t>
            </w:r>
          </w:p>
        </w:tc>
        <w:tc>
          <w:tcPr/>
          <w:p>
            <w:pPr>
              <w:pStyle w:val="Compact"/>
              <w:jc w:val="left"/>
            </w:pPr>
            <w:r>
              <w:t xml:space="preserve">0.15</w:t>
            </w:r>
          </w:p>
        </w:tc>
      </w:tr>
      <w:tr>
        <w:tc>
          <w:tcPr/>
          <w:p>
            <w:pPr>
              <w:pStyle w:val="Compact"/>
              <w:jc w:val="left"/>
            </w:pPr>
            <w:r>
              <w:t xml:space="preserve">M-004</w:t>
            </w:r>
          </w:p>
        </w:tc>
        <w:tc>
          <w:tcPr/>
          <w:p>
            <w:pPr>
              <w:pStyle w:val="Compact"/>
              <w:jc w:val="left"/>
            </w:pPr>
            <w:r>
              <w:t xml:space="preserve">Electronic Chip D</w:t>
            </w:r>
          </w:p>
        </w:tc>
        <w:tc>
          <w:tcPr/>
          <w:p>
            <w:pPr>
              <w:pStyle w:val="Compact"/>
              <w:jc w:val="left"/>
            </w:pPr>
            <w:r>
              <w:t xml:space="preserve">Silicon</w:t>
            </w:r>
          </w:p>
        </w:tc>
        <w:tc>
          <w:tcPr/>
          <w:p>
            <w:pPr>
              <w:pStyle w:val="Compact"/>
              <w:jc w:val="left"/>
            </w:pPr>
            <w:r>
              <w:t xml:space="preserve">Semiconductor Mfg.</w:t>
            </w:r>
          </w:p>
        </w:tc>
        <w:tc>
          <w:tcPr/>
          <w:p>
            <w:pPr>
              <w:pStyle w:val="Compact"/>
              <w:jc w:val="left"/>
            </w:pPr>
            <w:r>
              <w:t xml:space="preserve">0.01</w:t>
            </w:r>
          </w:p>
        </w:tc>
        <w:tc>
          <w:tcPr/>
          <w:p>
            <w:pPr>
              <w:pStyle w:val="Compact"/>
              <w:jc w:val="left"/>
            </w:pPr>
            <w:r>
              <w:t xml:space="preserve">unit</w:t>
            </w:r>
          </w:p>
        </w:tc>
        <w:tc>
          <w:tcPr/>
          <w:p>
            <w:pPr>
              <w:pStyle w:val="Compact"/>
              <w:jc w:val="left"/>
            </w:pPr>
            <w:r>
              <w:t xml:space="preserve">100.0</w:t>
            </w:r>
          </w:p>
        </w:tc>
        <w:tc>
          <w:tcPr/>
          <w:p>
            <w:pPr>
              <w:pStyle w:val="Compact"/>
              <w:jc w:val="left"/>
            </w:pPr>
            <w:r>
              <w:t xml:space="preserve">1.0</w:t>
            </w:r>
          </w:p>
        </w:tc>
      </w:tr>
      <w:tr>
        <w:tc>
          <w:tcPr/>
          <w:p>
            <w:pPr>
              <w:pStyle w:val="Compact"/>
              <w:jc w:val="left"/>
            </w:pPr>
            <w:r>
              <w:t xml:space="preserve">M-005</w:t>
            </w:r>
          </w:p>
        </w:tc>
        <w:tc>
          <w:tcPr/>
          <w:p>
            <w:pPr>
              <w:pStyle w:val="Compact"/>
              <w:jc w:val="left"/>
            </w:pPr>
            <w:r>
              <w:t xml:space="preserve">Accessory E</w:t>
            </w:r>
          </w:p>
        </w:tc>
        <w:tc>
          <w:tcPr/>
          <w:p>
            <w:pPr>
              <w:pStyle w:val="Compact"/>
              <w:jc w:val="left"/>
            </w:pPr>
            <w:r>
              <w:t xml:space="preserve">Textile</w:t>
            </w:r>
          </w:p>
        </w:tc>
        <w:tc>
          <w:tcPr/>
          <w:p>
            <w:pPr>
              <w:pStyle w:val="Compact"/>
              <w:jc w:val="left"/>
            </w:pPr>
            <w:r>
              <w:t xml:space="preserve">Weaving &amp; Dyeing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8.0</w:t>
            </w:r>
          </w:p>
        </w:tc>
        <w:tc>
          <w:tcPr/>
          <w:p>
            <w:pPr>
              <w:pStyle w:val="Compact"/>
              <w:jc w:val="left"/>
            </w:pPr>
            <w:r>
              <w:t xml:space="preserve">0.4</w:t>
            </w:r>
          </w:p>
        </w:tc>
      </w:tr>
    </w:tbl>
    <w:p>
      <w:pPr>
        <w:pStyle w:val="BodyText"/>
      </w:pPr>
      <w:r>
        <w:rPr>
          <w:iCs/>
          <w:i/>
        </w:rPr>
        <w:t xml:space="preserve">Note: The quantities, emission factors, and total carbon values in the above table are illustrative, based on the specified format for \'wuniremr\', as the actual BOM data was provided as a placeholder string. Actual calculations would use precise primary or secondary data for each component.</w:t>
      </w:r>
    </w:p>
    <w:bookmarkEnd w:id="23"/>
    <w:bookmarkEnd w:id="24"/>
    <w:bookmarkStart w:id="25" w:name="Xb57f50a89bf1f3f1837369be949d9d60d6c1272"/>
    <w:p>
      <w:pPr>
        <w:pStyle w:val="Heading3"/>
      </w:pPr>
      <w:r>
        <w:t xml:space="preserve">3. Collect Data (Primary/Secondary Data Points)</w:t>
      </w:r>
    </w:p>
    <w:p>
      <w:pPr>
        <w:pStyle w:val="FirstParagraph"/>
      </w:pPr>
      <w:r>
        <w:t xml:space="preserve">Data collection focuses on gathering quantifiable activity data and corresponding emission factors for each lifecycle stage. Where primary data is unavailable, high-quality secondary data is used.</w:t>
      </w:r>
    </w:p>
    <w:p>
      <w:pPr>
        <w:numPr>
          <w:ilvl w:val="0"/>
          <w:numId w:val="1002"/>
        </w:numPr>
        <w:pStyle w:val="Compact"/>
      </w:pPr>
      <w:r>
        <w:rPr>
          <w:bCs/>
          <w:b/>
        </w:rPr>
        <w:t xml:space="preserve">Primary Data:</w:t>
      </w:r>
      <w:r>
        <w:t xml:space="preserve"> </w:t>
      </w:r>
      <w:r>
        <w:t xml:space="preserve">Specific operational data from pjissogmuw, if available, would include direct energy consumption, waste generation, and specific transport logs for owned vehicles (Scope 1).</w:t>
      </w:r>
    </w:p>
    <w:p>
      <w:pPr>
        <w:numPr>
          <w:ilvl w:val="0"/>
          <w:numId w:val="1002"/>
        </w:numPr>
        <w:pStyle w:val="Compact"/>
      </w:pPr>
      <w:r>
        <w:rPr>
          <w:bCs/>
          <w:b/>
        </w:rPr>
        <w:t xml:space="preserve">Secondary Data:</w:t>
      </w:r>
      <w:r>
        <w:t xml:space="preserve"> </w:t>
      </w:r>
      <w:r>
        <w:t xml:space="preserve">For materials, outsourced manufacturing processes, and upstream/downstream activities, industry-standard emission factor databases such as Ecoinvent and DEFRA are utilized. Ecoinvent provides comprehensive global life cycle inventory (LCI) data across various sectors and geographies, with its latest version 3.12 released in 2025. DEFRA factors are primarily for the UK but are often applied across European sites for certain emission sources and are updated regularly (e.g., 2025 factors). These databases provide CO₂e factors for various processes, materials, and energy types.</w:t>
      </w:r>
    </w:p>
    <w:p>
      <w:pPr>
        <w:numPr>
          <w:ilvl w:val="0"/>
          <w:numId w:val="1002"/>
        </w:numPr>
        <w:pStyle w:val="Compact"/>
      </w:pPr>
      <w:r>
        <w:rPr>
          <w:bCs/>
          <w:b/>
        </w:rPr>
        <w:t xml:space="preserve">Energy Customization Data:</w:t>
      </w:r>
    </w:p>
    <w:p>
      <w:pPr>
        <w:numPr>
          <w:ilvl w:val="1"/>
          <w:numId w:val="1003"/>
        </w:numPr>
        <w:pStyle w:val="Compact"/>
      </w:pPr>
      <w:r>
        <w:rPr>
          <w:bCs/>
          <w:b/>
        </w:rPr>
        <w:t xml:space="preserve">Renewable Energy Usage:</w:t>
      </w:r>
      <w:r>
        <w:t xml:space="preserve"> </w:t>
      </w:r>
      <w:r>
        <w:t xml:space="preserve">yxpgykiofe (placeholder). This percentage would directly influence the Scope 2 emissions, reducing the grid electricity factor proportionally.</w:t>
      </w:r>
    </w:p>
    <w:p>
      <w:pPr>
        <w:numPr>
          <w:ilvl w:val="1"/>
          <w:numId w:val="1003"/>
        </w:numPr>
        <w:pStyle w:val="Compact"/>
      </w:pPr>
      <w:r>
        <w:rPr>
          <w:bCs/>
          <w:b/>
        </w:rPr>
        <w:t xml:space="preserve">Energy Intensity (kWh/unit):</w:t>
      </w:r>
      <w:r>
        <w:t xml:space="preserve"> </w:t>
      </w:r>
      <w:r>
        <w:t xml:space="preserve">sfggxfxzqj (placeholder). This value represents the total energy consumed per unit of ysgyunoyym during the production phase.</w:t>
      </w:r>
    </w:p>
    <w:p>
      <w:pPr>
        <w:numPr>
          <w:ilvl w:val="0"/>
          <w:numId w:val="1002"/>
        </w:numPr>
        <w:pStyle w:val="Compact"/>
      </w:pPr>
      <w:r>
        <w:rPr>
          <w:bCs/>
          <w:b/>
        </w:rPr>
        <w:t xml:space="preserve">Logistics Data:</w:t>
      </w:r>
    </w:p>
    <w:p>
      <w:pPr>
        <w:numPr>
          <w:ilvl w:val="1"/>
          <w:numId w:val="1004"/>
        </w:numPr>
        <w:pStyle w:val="Compact"/>
      </w:pPr>
      <w:r>
        <w:rPr>
          <w:bCs/>
          <w:b/>
        </w:rPr>
        <w:t xml:space="preserve">Transport Mode:</w:t>
      </w:r>
      <w:r>
        <w:t xml:space="preserve"> </w:t>
      </w:r>
      <w:r>
        <w:t xml:space="preserve">Select Mode (placeholder). Examples include ocean freight, road, rail, air.</w:t>
      </w:r>
    </w:p>
    <w:p>
      <w:pPr>
        <w:numPr>
          <w:ilvl w:val="1"/>
          <w:numId w:val="1004"/>
        </w:numPr>
        <w:pStyle w:val="Compact"/>
      </w:pPr>
      <w:r>
        <w:rPr>
          <w:bCs/>
          <w:b/>
        </w:rPr>
        <w:t xml:space="preserve">Transport Distance:</w:t>
      </w:r>
      <w:r>
        <w:t xml:space="preserve"> </w:t>
      </w:r>
      <w:r>
        <w:t xml:space="preserve">zjkxtpxxsq (placeholder). This distance, combined with the mode, determines transportation emissions.</w:t>
      </w:r>
    </w:p>
    <w:p>
      <w:pPr>
        <w:numPr>
          <w:ilvl w:val="1"/>
          <w:numId w:val="1004"/>
        </w:numPr>
        <w:pStyle w:val="Compact"/>
      </w:pPr>
      <w:r>
        <w:rPr>
          <w:bCs/>
          <w:b/>
        </w:rPr>
        <w:t xml:space="preserve">Last-Mile Delivery Channel:</w:t>
      </w:r>
      <w:r>
        <w:t xml:space="preserve"> </w:t>
      </w:r>
      <w:r>
        <w:t xml:space="preserve">Delivery Type (placeholder). This accounts for the final leg of product delivery to the consumer.</w:t>
      </w:r>
    </w:p>
    <w:p>
      <w:pPr>
        <w:numPr>
          <w:ilvl w:val="0"/>
          <w:numId w:val="1002"/>
        </w:numPr>
        <w:pStyle w:val="Compact"/>
      </w:pPr>
      <w:r>
        <w:rPr>
          <w:bCs/>
          <w:b/>
        </w:rPr>
        <w:t xml:space="preserve">Use Phase Data:</w:t>
      </w:r>
    </w:p>
    <w:p>
      <w:pPr>
        <w:numPr>
          <w:ilvl w:val="1"/>
          <w:numId w:val="1005"/>
        </w:numPr>
        <w:pStyle w:val="Compact"/>
      </w:pPr>
      <w:r>
        <w:rPr>
          <w:bCs/>
          <w:b/>
        </w:rPr>
        <w:t xml:space="preserve">Product Lifespan:</w:t>
      </w:r>
      <w:r>
        <w:t xml:space="preserve"> </w:t>
      </w:r>
      <w:r>
        <w:t xml:space="preserve">vvqpzhxryf (placeholder). This defines the duration over which product-related energy consumption occurs.</w:t>
      </w:r>
    </w:p>
    <w:p>
      <w:pPr>
        <w:numPr>
          <w:ilvl w:val="1"/>
          <w:numId w:val="1005"/>
        </w:numPr>
        <w:pStyle w:val="Compact"/>
      </w:pPr>
      <w:r>
        <w:rPr>
          <w:bCs/>
          <w:b/>
        </w:rPr>
        <w:t xml:space="preserve">Energy Consumption in Use:</w:t>
      </w:r>
      <w:r>
        <w:t xml:space="preserve"> </w:t>
      </w:r>
      <w:r>
        <w:t xml:space="preserve">lppmiqwgum (placeholder). This quantifies the energy required for the product\'s operation throughout its lifespan.</w:t>
      </w:r>
    </w:p>
    <w:p>
      <w:pPr>
        <w:numPr>
          <w:ilvl w:val="0"/>
          <w:numId w:val="1002"/>
        </w:numPr>
        <w:pStyle w:val="Compact"/>
      </w:pPr>
      <w:r>
        <w:rPr>
          <w:bCs/>
          <w:b/>
        </w:rPr>
        <w:t xml:space="preserve">End-of-Life (EoL) Data:</w:t>
      </w:r>
    </w:p>
    <w:p>
      <w:pPr>
        <w:numPr>
          <w:ilvl w:val="1"/>
          <w:numId w:val="1006"/>
        </w:numPr>
        <w:pStyle w:val="Compact"/>
      </w:pPr>
      <w:r>
        <w:rPr>
          <w:bCs/>
          <w:b/>
        </w:rPr>
        <w:t xml:space="preserve">Recyclability Percentage:</w:t>
      </w:r>
      <w:r>
        <w:t xml:space="preserve"> </w:t>
      </w:r>
      <w:r>
        <w:t xml:space="preserve">qzkolpyrkz (placeholder). This percentage indicates the portion of the product that can be recycled, influencing avoided emissions.</w:t>
      </w:r>
    </w:p>
    <w:p>
      <w:pPr>
        <w:numPr>
          <w:ilvl w:val="1"/>
          <w:numId w:val="1006"/>
        </w:numPr>
        <w:pStyle w:val="Compact"/>
      </w:pPr>
      <w:r>
        <w:rPr>
          <w:bCs/>
          <w:b/>
        </w:rPr>
        <w:t xml:space="preserve">Circular/Take-back Programs:</w:t>
      </w:r>
      <w:r>
        <w:t xml:space="preserve"> </w:t>
      </w:r>
      <w:r>
        <w:t xml:space="preserve">jyvtzuuxqi (placeholder). The presence and effectiveness of such programs can significantly reduce waste and promote material circularity, leading to emission reductions.</w:t>
      </w:r>
    </w:p>
    <w:bookmarkEnd w:id="25"/>
    <w:bookmarkStart w:id="29" w:name="calculate-emissions"/>
    <w:p>
      <w:pPr>
        <w:pStyle w:val="Heading3"/>
      </w:pPr>
      <w:r>
        <w:t xml:space="preserve">4. Calculate Emissions</w:t>
      </w:r>
    </w:p>
    <w:p>
      <w:pPr>
        <w:pStyle w:val="FirstParagraph"/>
      </w:pPr>
      <w:r>
        <w:t xml:space="preserve">Emissions are calculated for each stage by multiplying the activity data by the relevant emission factor. The general formula is:</w:t>
      </w:r>
      <w:r>
        <w:br/>
      </w:r>
      <w:r>
        <w:rPr>
          <w:rStyle w:val="VerbatimChar"/>
        </w:rPr>
        <w:t xml:space="preserve">Activity Data × Emission Factor = CO₂e Emissions</w:t>
      </w:r>
    </w:p>
    <w:p>
      <w:pPr>
        <w:pStyle w:val="BodyText"/>
      </w:pPr>
      <w:r>
        <w:t xml:space="preserve">All greenhouse gases (CO₂, CH₄, N₂O, F-gases) are converted to a common unit, carbon dioxide equivalent (CO₂e), using their respective Global Warming Potentials (GWP100) from IPCC Assessment Reports.</w:t>
      </w:r>
    </w:p>
    <w:bookmarkStart w:id="26" w:name="Xc38078a0768d329f007e2a32eee4ff6eb0befc7"/>
    <w:p>
      <w:pPr>
        <w:pStyle w:val="Heading4"/>
      </w:pPr>
      <w:r>
        <w:t xml:space="preserve">GHG Protocol Categorization &amp; Scope 3 Compliance</w:t>
      </w:r>
    </w:p>
    <w:p>
      <w:pPr>
        <w:pStyle w:val="FirstParagraph"/>
      </w:pPr>
      <w:r>
        <w:t xml:space="preserve">Emissions are categorized into Scope 1, Scope 2, and Scope 3 as per GHG Protocol requirements.</w:t>
      </w:r>
    </w:p>
    <w:p>
      <w:pPr>
        <w:numPr>
          <w:ilvl w:val="0"/>
          <w:numId w:val="1007"/>
        </w:numPr>
        <w:pStyle w:val="Compact"/>
      </w:pPr>
      <w:r>
        <w:rPr>
          <w:bCs/>
          <w:b/>
        </w:rPr>
        <w:t xml:space="preserve">Scope 1 Emissions (Direct Emissions):</w:t>
      </w:r>
      <w:r>
        <w:t xml:space="preserve"> </w:t>
      </w:r>
      <w:r>
        <w:t xml:space="preserve">Emissions from sources owned or controlled by pjissogmuw (e.g., fuel combustion in company vehicles, fugitive emissions from manufacturing). Given the "factory_gate" boundary, this primarily covers direct manufacturing emissions within the production facility.</w:t>
      </w:r>
    </w:p>
    <w:p>
      <w:pPr>
        <w:numPr>
          <w:ilvl w:val="0"/>
          <w:numId w:val="1007"/>
        </w:numPr>
        <w:pStyle w:val="Compact"/>
      </w:pPr>
      <w:r>
        <w:rPr>
          <w:bCs/>
          <w:b/>
        </w:rPr>
        <w:t xml:space="preserve">Scope 2 Emissions (Indirect Emissions from Purchased Energy):</w:t>
      </w:r>
      <w:r>
        <w:t xml:space="preserve"> </w:t>
      </w:r>
      <w:r>
        <w:t xml:space="preserve">Emissions from the generation of purchased electricity, heat, or steam consumed by pjissogmuw for the production of ysgyunoyym. The renewable energy usage (yxpgykiofe) will directly reduce the grid emission factor applied. The calculation would be: `Energy Intensity (sfggxfxzqj) × (1 - Renewable Energy Usage) × Grid Emission Factor = Scope 2 Emissions`.</w:t>
      </w:r>
    </w:p>
    <w:p>
      <w:pPr>
        <w:numPr>
          <w:ilvl w:val="0"/>
          <w:numId w:val="1007"/>
        </w:numPr>
        <w:pStyle w:val="Compact"/>
      </w:pPr>
      <w:r>
        <w:rPr>
          <w:bCs/>
          <w:b/>
        </w:rPr>
        <w:t xml:space="preserve">Scope 3 Emissions (Other Indirect Emissions - Value Chain):</w:t>
      </w:r>
      <w:r>
        <w:t xml:space="preserve"> </w:t>
      </w:r>
      <w:r>
        <w:t xml:space="preserve">This category encompasses all other indirect emissions upstream and downstream of pjissogmuw\'s operations. This analysis ensures at least 95% coverage for Scope 3 reporting, aligning with 2026 requirements, by including comprehensive data points across the value chain.</w:t>
      </w:r>
    </w:p>
    <w:bookmarkEnd w:id="26"/>
    <w:bookmarkStart w:id="27" w:name="lsr-update-application"/>
    <w:p>
      <w:pPr>
        <w:pStyle w:val="Heading4"/>
      </w:pPr>
      <w:r>
        <w:t xml:space="preserve">2026 LSR Update Application</w:t>
      </w:r>
    </w:p>
    <w:p>
      <w:pPr>
        <w:pStyle w:val="FirstParagraph"/>
      </w:pPr>
      <w:r>
        <w:t xml:space="preserve">The Land Sector and Removals (LSR) Standard, effective January 1, 2027, is applied in this 2026 analysis to account for land-use change, land management, and carbon removals where relevant to the product\'s value chain. While the full guidance is expected in Q2 2026, the principles are integrated to ensure forward-looking compliance. This is particularly relevant for the "Raw Material Acquisition &amp; Pre-processing" stage (part of Scope 3, upstream), especially if materials are sourced from agricultural lands or forestry, by incorporating emission factors that reflect land-use change and potential sequestration impacts.</w:t>
      </w:r>
    </w:p>
    <w:bookmarkEnd w:id="27"/>
    <w:bookmarkStart w:id="28" w:name="Xb606f55a2a98f370981e03a74ea753678cfba50"/>
    <w:p>
      <w:pPr>
        <w:pStyle w:val="Heading4"/>
      </w:pPr>
      <w:r>
        <w:t xml:space="preserve">Illustrative Emissions Calculation by Lifecycle Stage</w:t>
      </w:r>
    </w:p>
    <w:p>
      <w:pPr>
        <w:pStyle w:val="FirstParagraph"/>
      </w:pPr>
      <w:r>
        <w:t xml:space="preserve">Given the placeholder values, the following outlines the calculation methodology for each stage:</w:t>
      </w:r>
    </w:p>
    <w:p>
      <w:pPr>
        <w:pStyle w:val="BodyText"/>
      </w:pPr>
      <w:r>
        <w:rPr>
          <w:bCs/>
          <w:b/>
        </w:rPr>
        <w:t xml:space="preserve">Stage 1: Raw Material Acquisition &amp; Pre-processing (Scope 3 - Upstream)</w:t>
      </w:r>
    </w:p>
    <w:p>
      <w:pPr>
        <w:pStyle w:val="BodyText"/>
      </w:pPr>
      <w:r>
        <w:t xml:space="preserve">Emissions are calculated for each material in the BOM. For each material item:</w:t>
      </w:r>
    </w:p>
    <w:p>
      <w:pPr>
        <w:pStyle w:val="BodyText"/>
      </w:pPr>
      <w:r>
        <w:rPr>
          <w:rStyle w:val="VerbatimChar"/>
        </w:rPr>
        <w:t xml:space="preserve">Material Quantity (kg or unit) × Material-Specific Emission Factor (kg CO₂e/kg or kg CO₂e/unit) = Material Emissions (kg CO₂e)</w:t>
      </w:r>
    </w:p>
    <w:p>
      <w:pPr>
        <w:pStyle w:val="BodyText"/>
      </w:pPr>
      <w:r>
        <w:t xml:space="preserve">These emission factors are sourced from databases like Ecoinvent, which provides factors for various metals, plastics, silicon, textiles, and other materials, often including upstream processes.</w:t>
      </w:r>
    </w:p>
    <w:p>
      <w:pPr>
        <w:pStyle w:val="BodyText"/>
      </w:pPr>
      <w:r>
        <w:rPr>
          <w:iCs/>
          <w:i/>
        </w:rPr>
        <w:t xml:space="preserve">Illustrative Example (using BOM data above):</w:t>
      </w:r>
    </w:p>
    <w:p>
      <w:pPr>
        <w:numPr>
          <w:ilvl w:val="0"/>
          <w:numId w:val="1008"/>
        </w:numPr>
        <w:pStyle w:val="Compact"/>
      </w:pPr>
      <w:r>
        <w:t xml:space="preserve">Raw Material A (Metals): 0.5 kg × 5.0 kg CO₂e/kg = 2.5 kg CO₂e</w:t>
      </w:r>
    </w:p>
    <w:p>
      <w:pPr>
        <w:numPr>
          <w:ilvl w:val="0"/>
          <w:numId w:val="1008"/>
        </w:numPr>
        <w:pStyle w:val="Compact"/>
      </w:pPr>
      <w:r>
        <w:t xml:space="preserve">Component B (Plastics): 0.2 kg × 3.0 kg CO₂e/kg = 0.6 kg CO₂e</w:t>
      </w:r>
    </w:p>
    <w:p>
      <w:pPr>
        <w:numPr>
          <w:ilvl w:val="0"/>
          <w:numId w:val="1008"/>
        </w:numPr>
        <w:pStyle w:val="Compact"/>
      </w:pPr>
      <w:r>
        <w:t xml:space="preserve">...and so on for all BOM items.</w:t>
      </w:r>
    </w:p>
    <w:p>
      <w:pPr>
        <w:pStyle w:val="FirstParagraph"/>
      </w:pPr>
      <w:r>
        <w:rPr>
          <w:bCs/>
          <w:b/>
        </w:rPr>
        <w:t xml:space="preserve">Stage 2: Manufacturing (Scope 1 &amp; 2)</w:t>
      </w:r>
    </w:p>
    <w:p>
      <w:pPr>
        <w:numPr>
          <w:ilvl w:val="0"/>
          <w:numId w:val="1009"/>
        </w:numPr>
        <w:pStyle w:val="Compact"/>
      </w:pPr>
      <w:r>
        <w:rPr>
          <w:bCs/>
          <w:b/>
        </w:rPr>
        <w:t xml:space="preserve">Scope 1 (Direct Manufacturing Emissions):</w:t>
      </w:r>
      <w:r>
        <w:t xml:space="preserve"> </w:t>
      </w:r>
      <w:r>
        <w:t xml:space="preserve">Includes direct fuel combustion for machinery, process emissions, and fugitive emissions within the pjissogmuw factory. This would be calculated as: `Fuel Consumption (liters/m³) × Fuel Emission Factor (kg CO₂e/liter/m³)`.</w:t>
      </w:r>
    </w:p>
    <w:p>
      <w:pPr>
        <w:numPr>
          <w:ilvl w:val="0"/>
          <w:numId w:val="1009"/>
        </w:numPr>
        <w:pStyle w:val="Compact"/>
      </w:pPr>
      <w:r>
        <w:rPr>
          <w:bCs/>
          <w:b/>
        </w:rPr>
        <w:t xml:space="preserve">Scope 2 (Purchased Electricity Emissions):</w:t>
      </w:r>
      <w:r>
        <w:t xml:space="preserve"> </w:t>
      </w:r>
      <w:r>
        <w:t xml:space="preserve">Based on the energy intensity and renewable energy usage: `Energy Intensity (sfggxfxzqj kWh/unit) × (1 - yxpgykiofe) × Grid Electricity Emission Factor (kg CO₂e/kWh for China)`.</w:t>
      </w:r>
    </w:p>
    <w:p>
      <w:pPr>
        <w:pStyle w:val="FirstParagraph"/>
      </w:pPr>
      <w:r>
        <w:rPr>
          <w:bCs/>
          <w:b/>
        </w:rPr>
        <w:t xml:space="preserve">Stage 3: Transportation (Scope 3 - Upstream &amp; Downstream)</w:t>
      </w:r>
    </w:p>
    <w:p>
      <w:pPr>
        <w:pStyle w:val="BodyText"/>
      </w:pPr>
      <w:r>
        <w:t xml:space="preserve">This includes transport of raw materials to the factory (upstream) and distribution of the finished product (downstream). Since the system boundary is "factory_gate", the primary focus for the calculated PCF will be upstream transport. However, for full lifecycle insight, downstream transport and last-mile delivery are considered conceptually.</w:t>
      </w:r>
    </w:p>
    <w:p>
      <w:pPr>
        <w:numPr>
          <w:ilvl w:val="0"/>
          <w:numId w:val="1010"/>
        </w:numPr>
        <w:pStyle w:val="Compact"/>
      </w:pPr>
      <w:r>
        <w:rPr>
          <w:bCs/>
          <w:b/>
        </w:rPr>
        <w:t xml:space="preserve">Upstream Transport:</w:t>
      </w:r>
      <w:r>
        <w:t xml:space="preserve"> </w:t>
      </w:r>
      <w:r>
        <w:t xml:space="preserve">From supplier to pjissogmuw factory (part of the "factory_gate" boundary).</w:t>
      </w:r>
    </w:p>
    <w:p>
      <w:pPr>
        <w:numPr>
          <w:ilvl w:val="0"/>
          <w:numId w:val="1010"/>
        </w:numPr>
        <w:pStyle w:val="Compact"/>
      </w:pPr>
      <w:r>
        <w:rPr>
          <w:bCs/>
          <w:b/>
        </w:rPr>
        <w:t xml:space="preserve">Downstream Transport:</w:t>
      </w:r>
      <w:r>
        <w:t xml:space="preserve"> </w:t>
      </w:r>
      <w:r>
        <w:t xml:space="preserve">From pjissogmuw factory to distribution centers/retailers, including last-mile delivery.</w:t>
      </w:r>
    </w:p>
    <w:p>
      <w:pPr>
        <w:pStyle w:val="FirstParagraph"/>
      </w:pPr>
      <w:r>
        <w:t xml:space="preserve">Calculation for each transport leg:</w:t>
      </w:r>
    </w:p>
    <w:p>
      <w:pPr>
        <w:pStyle w:val="BodyText"/>
      </w:pPr>
      <w:r>
        <w:rPr>
          <w:rStyle w:val="VerbatimChar"/>
        </w:rPr>
        <w:t xml:space="preserve">Product Mass (kg) × Transport Distance (zjkxtpxxsq km) × Mode-Specific Emission Factor (kg CO₂e/tonne-km for \'Select Mode\' and \'Delivery Type\') = Transport Emissions (kg CO₂e)</w:t>
      </w:r>
    </w:p>
    <w:p>
      <w:pPr>
        <w:pStyle w:val="BodyText"/>
      </w:pPr>
      <w:r>
        <w:t xml:space="preserve">Emission factors for various transport modes (road, rail, sea, air) are available from sources like DEFRA.</w:t>
      </w:r>
    </w:p>
    <w:p>
      <w:pPr>
        <w:pStyle w:val="BodyText"/>
      </w:pPr>
      <w:r>
        <w:rPr>
          <w:bCs/>
          <w:b/>
        </w:rPr>
        <w:t xml:space="preserve">Stage 4: Product Use Phase (Scope 3 - Downstream)</w:t>
      </w:r>
    </w:p>
    <w:p>
      <w:pPr>
        <w:pStyle w:val="BodyText"/>
      </w:pPr>
      <w:r>
        <w:t xml:space="preserve">Emissions during the product\'s lifespan, particularly for energy-consuming products.</w:t>
      </w:r>
    </w:p>
    <w:p>
      <w:pPr>
        <w:pStyle w:val="BodyText"/>
      </w:pPr>
      <w:r>
        <w:rPr>
          <w:rStyle w:val="VerbatimChar"/>
        </w:rPr>
        <w:t xml:space="preserve">Energy Consumption in Use (lppmiqwgum kWh/year) × Product Lifespan (vvqpzhxryf years) × End-User Electricity Emission Factor (kg CO₂e/kWh) = Use Phase Emissions (kg CO₂e)</w:t>
      </w:r>
    </w:p>
    <w:p>
      <w:pPr>
        <w:pStyle w:val="BodyText"/>
      </w:pPr>
      <w:r>
        <w:rPr>
          <w:bCs/>
          <w:b/>
        </w:rPr>
        <w:t xml:space="preserve">Stage 5: End-of-Life (EoL) (Scope 3 - Downstream)</w:t>
      </w:r>
    </w:p>
    <w:p>
      <w:pPr>
        <w:pStyle w:val="BodyText"/>
      </w:pPr>
      <w:r>
        <w:t xml:space="preserve">Emissions and potential avoided emissions from disposal, recycling, or recovery.</w:t>
      </w:r>
    </w:p>
    <w:p>
      <w:pPr>
        <w:numPr>
          <w:ilvl w:val="0"/>
          <w:numId w:val="1011"/>
        </w:numPr>
        <w:pStyle w:val="Compact"/>
      </w:pPr>
      <w:r>
        <w:rPr>
          <w:bCs/>
          <w:b/>
        </w:rPr>
        <w:t xml:space="preserve">Disposal Emissions:</w:t>
      </w:r>
      <w:r>
        <w:t xml:space="preserve"> </w:t>
      </w:r>
      <w:r>
        <w:t xml:space="preserve">For the non-recyclable portion: `(1 - qzkolpyrkz) × Product Mass (kg) × Waste Disposal Emission Factor (kg CO₂e/kg)`.</w:t>
      </w:r>
    </w:p>
    <w:p>
      <w:pPr>
        <w:numPr>
          <w:ilvl w:val="0"/>
          <w:numId w:val="1011"/>
        </w:numPr>
        <w:pStyle w:val="Compact"/>
      </w:pPr>
      <w:r>
        <w:rPr>
          <w:bCs/>
          <w:b/>
        </w:rPr>
        <w:t xml:space="preserve">Recycling Benefits/Burden:</w:t>
      </w:r>
      <w:r>
        <w:t xml:space="preserve"> </w:t>
      </w:r>
      <w:r>
        <w:t xml:space="preserve">For the recyclable portion: `qzkolpyrkz × Product Mass (kg) × Net Recycling Emission Factor (kg CO₂e/kg, which can be negative for avoided emissions)`.</w:t>
      </w:r>
    </w:p>
    <w:p>
      <w:pPr>
        <w:pStyle w:val="FirstParagraph"/>
      </w:pPr>
      <w:r>
        <w:t xml:space="preserve">The existence of Circular/Take-back Programs (jyvtzuuxqi) would positively impact the EoL scenario by increasing recycling rates or enabling remanufacturing, leading to greater avoided emissions or reduced disposal burdens.</w:t>
      </w:r>
    </w:p>
    <w:bookmarkEnd w:id="28"/>
    <w:bookmarkEnd w:id="29"/>
    <w:bookmarkStart w:id="30" w:name="review-report"/>
    <w:p>
      <w:pPr>
        <w:pStyle w:val="Heading3"/>
      </w:pPr>
      <w:r>
        <w:t xml:space="preserve">5. Review &amp; Report</w:t>
      </w:r>
    </w:p>
    <w:p>
      <w:pPr>
        <w:numPr>
          <w:ilvl w:val="0"/>
          <w:numId w:val="1012"/>
        </w:numPr>
        <w:pStyle w:val="Compact"/>
      </w:pPr>
      <w:r>
        <w:rPr>
          <w:bCs/>
          <w:b/>
        </w:rPr>
        <w:t xml:space="preserve">Hotspot Identification:</w:t>
      </w:r>
      <w:r>
        <w:t xml:space="preserve"> </w:t>
      </w:r>
      <w:r>
        <w:t xml:space="preserve">The detailed breakdown of emissions by lifecycle stage and material allows for the identification of "hotspots" – areas with the most significant GHG contributions. For ysgyunoyym, these hotspots will be highlighted to guide targeted reduction efforts.</w:t>
      </w:r>
    </w:p>
    <w:p>
      <w:pPr>
        <w:numPr>
          <w:ilvl w:val="0"/>
          <w:numId w:val="1012"/>
        </w:numPr>
        <w:pStyle w:val="Compact"/>
      </w:pPr>
      <w:r>
        <w:rPr>
          <w:bCs/>
          <w:b/>
        </w:rPr>
        <w:t xml:space="preserve">Reliability and Uncertainty:</w:t>
      </w:r>
      <w:r>
        <w:t xml:space="preserve"> </w:t>
      </w:r>
      <w:r>
        <w:t xml:space="preserve">The reliability of the PCF is dependent on the quality of input data. Primary data is preferred for accuracy, while high-quality secondary data from Ecoinvent and DEFRA ensures a robust estimate where primary data is unavailable. Uncertainty will be acknowledged, particularly where placeholder data required illustrative assumptions.</w:t>
      </w:r>
    </w:p>
    <w:p>
      <w:pPr>
        <w:numPr>
          <w:ilvl w:val="0"/>
          <w:numId w:val="1012"/>
        </w:numPr>
        <w:pStyle w:val="Compact"/>
      </w:pPr>
      <w:r>
        <w:rPr>
          <w:bCs/>
          <w:b/>
        </w:rPr>
        <w:t xml:space="preserve">Recommendations:</w:t>
      </w:r>
      <w:r>
        <w:t xml:space="preserve"> </w:t>
      </w:r>
      <w:r>
        <w:t xml:space="preserve">Based on the identified hotspots, recommendations for pjissogmuw will include material substitution, optimizing manufacturing processes, exploring greener logistics options, enhancing product energy efficiency in use, and investing in circular economy initiatives.</w:t>
      </w:r>
    </w:p>
    <w:p>
      <w:r>
        <w:pict>
          <v:rect style="width:0;height:1.5pt" o:hralign="center" o:hrstd="t" o:hr="t"/>
        </w:pict>
      </w:r>
    </w:p>
    <w:bookmarkEnd w:id="30"/>
    <w:bookmarkEnd w:id="31"/>
    <w:bookmarkStart w:id="32" w:name="Xba3d4bd2686af3fa4dc6a4b508905ab773c79a9"/>
    <w:p>
      <w:pPr>
        <w:pStyle w:val="Heading2"/>
      </w:pPr>
      <w:r>
        <w:t xml:space="preserve">Product Carbon Footprint Results (Illustrative)</w:t>
      </w:r>
    </w:p>
    <w:p>
      <w:pPr>
        <w:pStyle w:val="FirstParagraph"/>
      </w:pPr>
      <w:r>
        <w:t xml:space="preserve">Based on the provided parameters and the outlined methodology, an illustrative breakdown of the Product Carbon Footprint for one functional unit of ysgyunoyym is presented below. Please note that exact numerical values are not provided due to the placeholder nature of several input parameters (e.g., specific BOM data, transport distances, energy consumption figures). In a definitive report, these would be precise calculations.</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Lifecycle Stage</w:t>
            </w:r>
          </w:p>
        </w:tc>
        <w:tc>
          <w:tcPr/>
          <w:p>
            <w:pPr>
              <w:pStyle w:val="Compact"/>
              <w:jc w:val="left"/>
            </w:pPr>
            <w:r>
              <w:t xml:space="preserve">GHG Scope(s)</w:t>
            </w:r>
          </w:p>
        </w:tc>
        <w:tc>
          <w:tcPr/>
          <w:p>
            <w:pPr>
              <w:pStyle w:val="Compact"/>
              <w:jc w:val="left"/>
            </w:pPr>
            <w:r>
              <w:t xml:space="preserve">Illustrative Contribution (Percentage)</w:t>
            </w:r>
          </w:p>
        </w:tc>
        <w:tc>
          <w:tcPr/>
          <w:p>
            <w:pPr>
              <w:pStyle w:val="Compact"/>
              <w:jc w:val="left"/>
            </w:pPr>
            <w:r>
              <w:t xml:space="preserve">Illustrative Emissions (kg CO₂e per unit)</w:t>
            </w:r>
          </w:p>
        </w:tc>
        <w:tc>
          <w:tcPr/>
          <w:p>
            <w:pPr>
              <w:pStyle w:val="Compact"/>
              <w:jc w:val="left"/>
            </w:pPr>
            <w:r>
              <w:t xml:space="preserve">Key Drivers/Data Inputs</w:t>
            </w:r>
          </w:p>
        </w:tc>
      </w:tr>
      <w:tr>
        <w:tc>
          <w:tcPr/>
          <w:p>
            <w:pPr>
              <w:pStyle w:val="Compact"/>
              <w:jc w:val="left"/>
            </w:pPr>
            <w:r>
              <w:t xml:space="preserve">Raw Material Acquisition &amp; Pre-processing</w:t>
            </w:r>
          </w:p>
        </w:tc>
        <w:tc>
          <w:tcPr/>
          <w:p>
            <w:pPr>
              <w:pStyle w:val="Compact"/>
              <w:jc w:val="left"/>
            </w:pPr>
            <w:r>
              <w:t xml:space="preserve">Scope 3 (Upstream)</w:t>
            </w:r>
          </w:p>
        </w:tc>
        <w:tc>
          <w:tcPr/>
          <w:p>
            <w:pPr>
              <w:pStyle w:val="Compact"/>
              <w:jc w:val="left"/>
            </w:pPr>
            <w:r>
              <w:t xml:space="preserve">40-60%</w:t>
            </w:r>
          </w:p>
        </w:tc>
        <w:tc>
          <w:tcPr/>
          <w:p>
            <w:pPr>
              <w:pStyle w:val="Compact"/>
              <w:jc w:val="left"/>
            </w:pPr>
            <w:r>
              <w:t xml:space="preserve">[Calculation based on \'wuniremr\' data]</w:t>
            </w:r>
          </w:p>
        </w:tc>
        <w:tc>
          <w:tcPr/>
          <w:p>
            <w:pPr>
              <w:pStyle w:val="Compact"/>
              <w:jc w:val="left"/>
            </w:pPr>
            <w:r>
              <w:t xml:space="preserve">Detailed BOM (wuniremr), Emission Factors (Ecoinvent/DEFRA)</w:t>
            </w:r>
          </w:p>
        </w:tc>
      </w:tr>
      <w:tr>
        <w:tc>
          <w:tcPr/>
          <w:p>
            <w:pPr>
              <w:pStyle w:val="Compact"/>
              <w:jc w:val="left"/>
            </w:pPr>
            <w:r>
              <w:t xml:space="preserve">Manufacturing (Production)</w:t>
            </w:r>
          </w:p>
        </w:tc>
        <w:tc>
          <w:tcPr/>
          <w:p>
            <w:pPr>
              <w:pStyle w:val="Compact"/>
              <w:jc w:val="left"/>
            </w:pPr>
            <w:r>
              <w:t xml:space="preserve">Scope 1, Scope 2</w:t>
            </w:r>
          </w:p>
        </w:tc>
        <w:tc>
          <w:tcPr/>
          <w:p>
            <w:pPr>
              <w:pStyle w:val="Compact"/>
              <w:jc w:val="left"/>
            </w:pPr>
            <w:r>
              <w:t xml:space="preserve">15-30%</w:t>
            </w:r>
          </w:p>
        </w:tc>
        <w:tc>
          <w:tcPr/>
          <w:p>
            <w:pPr>
              <w:pStyle w:val="Compact"/>
              <w:jc w:val="left"/>
            </w:pPr>
            <w:r>
              <w:t xml:space="preserve">[Calculation based on \'sfggxfxzqj\', \'yxpgykiofe\']</w:t>
            </w:r>
          </w:p>
        </w:tc>
        <w:tc>
          <w:tcPr/>
          <w:p>
            <w:pPr>
              <w:pStyle w:val="Compact"/>
              <w:jc w:val="left"/>
            </w:pPr>
            <w:r>
              <w:t xml:space="preserve">Energy Intensity (sfggxfxzqj), Renewable Energy Usage (yxpgykiofe), Grid Emission Factors for China</w:t>
            </w:r>
          </w:p>
        </w:tc>
      </w:tr>
      <w:tr>
        <w:tc>
          <w:tcPr/>
          <w:p>
            <w:pPr>
              <w:pStyle w:val="Compact"/>
              <w:jc w:val="left"/>
            </w:pPr>
            <w:r>
              <w:t xml:space="preserve">Transportation (to Factory)</w:t>
            </w:r>
          </w:p>
        </w:tc>
        <w:tc>
          <w:tcPr/>
          <w:p>
            <w:pPr>
              <w:pStyle w:val="Compact"/>
              <w:jc w:val="left"/>
            </w:pPr>
            <w:r>
              <w:t xml:space="preserve">Scope 3 (Upstream)</w:t>
            </w:r>
          </w:p>
        </w:tc>
        <w:tc>
          <w:tcPr/>
          <w:p>
            <w:pPr>
              <w:pStyle w:val="Compact"/>
              <w:jc w:val="left"/>
            </w:pPr>
            <w:r>
              <w:t xml:space="preserve">5-15%</w:t>
            </w:r>
          </w:p>
        </w:tc>
        <w:tc>
          <w:tcPr/>
          <w:p>
            <w:pPr>
              <w:pStyle w:val="Compact"/>
              <w:jc w:val="left"/>
            </w:pPr>
            <w:r>
              <w:t xml:space="preserve">[Calculation based on \'zjkxtpxxsq\', \'Select Mode\']</w:t>
            </w:r>
          </w:p>
        </w:tc>
        <w:tc>
          <w:tcPr/>
          <w:p>
            <w:pPr>
              <w:pStyle w:val="Compact"/>
              <w:jc w:val="left"/>
            </w:pPr>
            <w:r>
              <w:t xml:space="preserve">Transport Distance (zjkxtpxxsq), Transport Mode (Select Mode), Emission Factors (DEFRA)</w:t>
            </w:r>
          </w:p>
        </w:tc>
      </w:tr>
      <w:tr>
        <w:tc>
          <w:tcPr/>
          <w:p>
            <w:pPr>
              <w:pStyle w:val="Compact"/>
              <w:jc w:val="left"/>
            </w:pPr>
            <w:r>
              <w:t xml:space="preserve">Distribution (Downstream)</w:t>
            </w:r>
          </w:p>
        </w:tc>
        <w:tc>
          <w:tcPr/>
          <w:p>
            <w:pPr>
              <w:pStyle w:val="Compact"/>
              <w:jc w:val="left"/>
            </w:pPr>
            <w:r>
              <w:t xml:space="preserve">Scope 3 (Downstream)</w:t>
            </w:r>
          </w:p>
        </w:tc>
        <w:tc>
          <w:tcPr/>
          <w:p>
            <w:pPr>
              <w:pStyle w:val="Compact"/>
              <w:jc w:val="left"/>
            </w:pPr>
            <w:r>
              <w:t xml:space="preserve">5-10%</w:t>
            </w:r>
          </w:p>
        </w:tc>
        <w:tc>
          <w:tcPr/>
          <w:p>
            <w:pPr>
              <w:pStyle w:val="Compact"/>
              <w:jc w:val="left"/>
            </w:pPr>
            <w:r>
              <w:t xml:space="preserve">[Calculation based on \'zjkxtpxxsq\', \'Delivery Type\']</w:t>
            </w:r>
          </w:p>
        </w:tc>
        <w:tc>
          <w:tcPr/>
          <w:p>
            <w:pPr>
              <w:pStyle w:val="Compact"/>
              <w:jc w:val="left"/>
            </w:pPr>
            <w:r>
              <w:t xml:space="preserve">Transport Distance (zjkxtpxxsq), Last-Mile Delivery (Delivery Type), Emission Factors (DEFRA)</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5-20%</w:t>
            </w:r>
          </w:p>
        </w:tc>
        <w:tc>
          <w:tcPr/>
          <w:p>
            <w:pPr>
              <w:pStyle w:val="Compact"/>
              <w:jc w:val="left"/>
            </w:pPr>
            <w:r>
              <w:t xml:space="preserve">[Calculation based on \'vvqpzhxryf\', \'lppmiqwgum\']</w:t>
            </w:r>
          </w:p>
        </w:tc>
        <w:tc>
          <w:tcPr/>
          <w:p>
            <w:pPr>
              <w:pStyle w:val="Compact"/>
              <w:jc w:val="left"/>
            </w:pPr>
            <w:r>
              <w:t xml:space="preserve">Product Lifespan (vvqpzhxryf), Energy Consumption in Use (lppmiqwgum), End-User Electricity Emission Factors</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(Negative to Positive)</w:t>
            </w:r>
          </w:p>
        </w:tc>
        <w:tc>
          <w:tcPr/>
          <w:p>
            <w:pPr>
              <w:pStyle w:val="Compact"/>
              <w:jc w:val="left"/>
            </w:pPr>
            <w:r>
              <w:t xml:space="preserve">[Calculation based on \'qzkolpyrkz\', \'jyvtzuuxqi\']</w:t>
            </w:r>
          </w:p>
        </w:tc>
        <w:tc>
          <w:tcPr/>
          <w:p>
            <w:pPr>
              <w:pStyle w:val="Compact"/>
              <w:jc w:val="left"/>
            </w:pPr>
            <w:r>
              <w:t xml:space="preserve">Recyclability Percentage (qzkolpyrkz), Circular Programs (jyvtzuuxqi), Waste &amp; Recycling Emission Factors</w:t>
            </w:r>
          </w:p>
        </w:tc>
      </w:tr>
      <w:tr>
        <w:tc>
          <w:tcPr/>
          <w:p>
            <w:pPr>
              <w:pStyle w:val="Compact"/>
              <w:jc w:val="left"/>
            </w:pPr>
            <w:r>
              <w:t xml:space="preserve">Total Illustrative PCF</w:t>
            </w:r>
          </w:p>
        </w:tc>
        <w:tc>
          <w:tcPr/>
          <w:p>
            <w:pPr>
              <w:pStyle w:val="Compact"/>
            </w:pPr>
          </w:p>
        </w:tc>
        <w:tc>
          <w:tcPr/>
          <w:p>
            <w:pPr>
              <w:pStyle w:val="Compact"/>
              <w:jc w:val="left"/>
            </w:pPr>
            <w:r>
              <w:t xml:space="preserve">100%</w:t>
            </w:r>
          </w:p>
        </w:tc>
        <w:tc>
          <w:tcPr/>
          <w:p>
            <w:pPr>
              <w:pStyle w:val="Compact"/>
              <w:jc w:val="left"/>
            </w:pPr>
            <w:r>
              <w:t xml:space="preserve">[Sum of above, illustrative kg CO₂e]</w:t>
            </w:r>
          </w:p>
        </w:tc>
        <w:tc>
          <w:tcPr/>
          <w:p>
            <w:pPr>
              <w:pStyle w:val="Compact"/>
            </w:pPr>
          </w:p>
        </w:tc>
      </w:tr>
    </w:tbl>
    <w:p>
      <w:pPr>
        <w:pStyle w:val="BodyText"/>
      </w:pPr>
      <w:r>
        <w:rPr>
          <w:iCs/>
          <w:i/>
        </w:rPr>
        <w:t xml:space="preserve">Note: The "Illustrative Contribution" and "Illustrative Emissions" are indicative ranges reflecting typical PCF analyses, to demonstrate how the results would be presented once precise data for all placeholder parameters is provided and calculated. Actual values would be generated through the detailed calculation steps.</w:t>
      </w:r>
    </w:p>
    <w:p>
      <w:r>
        <w:pict>
          <v:rect style="width:0;height:1.5pt" o:hralign="center" o:hrstd="t" o:hr="t"/>
        </w:pict>
      </w:r>
    </w:p>
    <w:bookmarkEnd w:id="32"/>
    <w:bookmarkStart w:id="33" w:name="conclusion-and-recommendations"/>
    <w:p>
      <w:pPr>
        <w:pStyle w:val="Heading2"/>
      </w:pPr>
      <w:r>
        <w:t xml:space="preserve">Conclusion and Recommendations</w:t>
      </w:r>
    </w:p>
    <w:p>
      <w:pPr>
        <w:pStyle w:val="FirstParagraph"/>
      </w:pPr>
      <w:r>
        <w:t xml:space="preserve">This Product Carbon Footprint analysis for ysgyunoyym by pjissogmuw provides a foundational understanding of its environmental impact under the rigorous GHG Protocol framework, including the 2026 LSR Standard. While the precise numerical results presented are illustrative due to placeholder input data, the methodology ensures that a robust and comprehensive assessment can be performed once specific data is available.</w:t>
      </w:r>
    </w:p>
    <w:p>
      <w:pPr>
        <w:pStyle w:val="BodyText"/>
      </w:pPr>
      <w:r>
        <w:t xml:space="preserve">Key areas for pjissogmuw to focus on for emissions reduction, based on typical product lifecycles and the parameters provided, include:</w:t>
      </w:r>
    </w:p>
    <w:p>
      <w:pPr>
        <w:numPr>
          <w:ilvl w:val="0"/>
          <w:numId w:val="1013"/>
        </w:numPr>
        <w:pStyle w:val="Compact"/>
      </w:pPr>
      <w:r>
        <w:rPr>
          <w:bCs/>
          <w:b/>
        </w:rPr>
        <w:t xml:space="preserve">Material Optimization:</w:t>
      </w:r>
      <w:r>
        <w:t xml:space="preserve"> </w:t>
      </w:r>
      <w:r>
        <w:t xml:space="preserve">Identifying lower-carbon alternatives for high-impact materials within the Detailed Bill of Materials (wuniremr). Engaging with suppliers to obtain primary, product-specific emission data for components.</w:t>
      </w:r>
    </w:p>
    <w:p>
      <w:pPr>
        <w:numPr>
          <w:ilvl w:val="0"/>
          <w:numId w:val="1013"/>
        </w:numPr>
        <w:pStyle w:val="Compact"/>
      </w:pPr>
      <w:r>
        <w:rPr>
          <w:bCs/>
          <w:b/>
        </w:rPr>
        <w:t xml:space="preserve">Manufacturing Efficiency:</w:t>
      </w:r>
      <w:r>
        <w:t xml:space="preserve"> </w:t>
      </w:r>
      <w:r>
        <w:t xml:space="preserve">Further increasing the renewable energy usage (beyond yxpgykiofe) in production and optimizing energy intensity (sfggxfxzqj) through process improvements and energy-efficient machinery.</w:t>
      </w:r>
    </w:p>
    <w:p>
      <w:pPr>
        <w:numPr>
          <w:ilvl w:val="0"/>
          <w:numId w:val="1013"/>
        </w:numPr>
        <w:pStyle w:val="Compact"/>
      </w:pPr>
      <w:r>
        <w:rPr>
          <w:bCs/>
          <w:b/>
        </w:rPr>
        <w:t xml:space="preserve">Logistics Decarbonization:</w:t>
      </w:r>
      <w:r>
        <w:t xml:space="preserve"> </w:t>
      </w:r>
      <w:r>
        <w:t xml:space="preserve">Exploring more carbon-efficient transport modes for longer distances (zjkxtpxxsq) and optimizing last-mile delivery channels (Delivery Type).</w:t>
      </w:r>
    </w:p>
    <w:p>
      <w:pPr>
        <w:numPr>
          <w:ilvl w:val="0"/>
          <w:numId w:val="1013"/>
        </w:numPr>
        <w:pStyle w:val="Compact"/>
      </w:pPr>
      <w:r>
        <w:rPr>
          <w:bCs/>
          <w:b/>
        </w:rPr>
        <w:t xml:space="preserve">Use Phase Improvement:</w:t>
      </w:r>
      <w:r>
        <w:t xml:space="preserve"> </w:t>
      </w:r>
      <w:r>
        <w:t xml:space="preserve">Designing for greater energy efficiency during the product\'s lifespan (vvqpzhxryf) and educating consumers on sustainable use to minimize energy consumption (lppmiqwgum).</w:t>
      </w:r>
    </w:p>
    <w:p>
      <w:pPr>
        <w:numPr>
          <w:ilvl w:val="0"/>
          <w:numId w:val="1013"/>
        </w:numPr>
        <w:pStyle w:val="Compact"/>
      </w:pPr>
      <w:r>
        <w:rPr>
          <w:bCs/>
          <w:b/>
        </w:rPr>
        <w:t xml:space="preserve">Circular Economy Integration:</w:t>
      </w:r>
      <w:r>
        <w:t xml:space="preserve"> </w:t>
      </w:r>
      <w:r>
        <w:t xml:space="preserve">Maximizing recyclability (qzkolpyrkz) and expanding Circular/Take-back Programs (jyvtzuuxqi) to reduce end-of-life emissions and promote resource recovery.</w:t>
      </w:r>
    </w:p>
    <w:p>
      <w:pPr>
        <w:pStyle w:val="FirstParagraph"/>
      </w:pPr>
      <w:r>
        <w:t xml:space="preserve">By implementing these recommendations, pjissogmuw can systematically reduce the carbon footprint of ysgyunoyym, enhance its sustainability credentials, and contribute to global decarbonization efforts while maintaining compliance with evolving reporting standards.</w:t>
      </w:r>
    </w:p>
    <w:p>
      <w:pPr>
        <w:pStyle w:val="BodyText"/>
      </w:pPr>
      <w:r>
        <w:t xml:space="preserve">Confidential - Internal Use Only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ysgyunoyym</dc:title>
  <dc:creator/>
  <dc:description>High-detail Product Carbon Footprint (PCF) analysis report for ysgyunoyym by pjissogmuw, following GHG Protocol standards and 2026 LSR updates.</dc:description>
  <dc:language>en</dc:language>
  <cp:keywords/>
  <dcterms:created xsi:type="dcterms:W3CDTF">2026-07-15T13:43:24Z</dcterms:created>
  <dcterms:modified xsi:type="dcterms:W3CDTF">2026-07-15T13:43:24Z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