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yrnvotumue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yrnvotumue</w:t>
      </w:r>
    </w:p>
    <w:p>
      <w:pPr>
        <w:pStyle w:val="BodyText"/>
      </w:pPr>
      <w:r>
        <w:rPr>
          <w:bCs/>
          <w:b/>
        </w:rPr>
        <w:t xml:space="preserve">Company:</w:t>
      </w:r>
      <w:r>
        <w:t xml:space="preserve"> </w:t>
      </w:r>
      <w:r>
        <w:t xml:space="preserve">ynewjngrjr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yvuvhvwmxe</w:t>
      </w:r>
    </w:p>
    <w:p>
      <w:pPr>
        <w:pStyle w:val="BodyText"/>
      </w:pPr>
      <w:r>
        <w:rPr>
          <w:bCs/>
          <w:b/>
        </w:rPr>
        <w:t xml:space="preserve">Disclaimer:</w:t>
      </w:r>
      <w:r>
        <w:t xml:space="preserve"> </w:t>
      </w:r>
      <w:r>
        <w:t xml:space="preserve">This report is generated based on available data and industry standards, incorporating specific parameters provided. Emission factors and certain calculations are illustrative where precise, real-time database lookups were beyond the scope of this simulation. Assumptions made are explicitly stated within the report.</w:t>
      </w:r>
    </w:p>
    <w:bookmarkEnd w:id="20"/>
    <w:bookmarkStart w:id="21" w:name="product-carbon-footprint-report"/>
    <w:p>
      <w:pPr>
        <w:pStyle w:val="Heading1"/>
      </w:pPr>
      <w:r>
        <w:t xml:space="preserve">Product Carbon Footprint Report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yrnvotumue</w:t>
      </w:r>
      <w:r>
        <w:t xml:space="preserve">, manufactured by</w:t>
      </w:r>
      <w:r>
        <w:t xml:space="preserve"> </w:t>
      </w:r>
      <w:r>
        <w:rPr>
          <w:bCs/>
          <w:b/>
        </w:rPr>
        <w:t xml:space="preserve">ynewjngrjr</w:t>
      </w:r>
      <w:r>
        <w:t xml:space="preserve">. The analysis was conducted by</w:t>
      </w:r>
      <w:r>
        <w:t xml:space="preserve"> </w:t>
      </w:r>
      <w:r>
        <w:rPr>
          <w:bCs/>
          <w:b/>
        </w:rPr>
        <w:t xml:space="preserve">yvuvhvwmxe</w:t>
      </w:r>
      <w:r>
        <w:t xml:space="preserve">, Senior Sustainability Consultant, adhering to the Greenhouse Gas (GHG) Protocol. The objective is to quantify the lifecycle GHG emissions (in CO2e) associated with the product from raw material acquisition through end-of-life, identify emission hotspots, and ensure compliance with the latest GHG Protocol requirements, including the 2026 updates to the Scope 3 Standard and the Land Sector and Removals (LSR) Standard.</w:t>
      </w:r>
    </w:p>
    <w:p>
      <w:pPr>
        <w:pStyle w:val="BodyText"/>
      </w:pPr>
      <w:r>
        <w:t xml:space="preserve">The assessment reveals that the primary contributors to the product\'s carbon footprint are the use phase energy consumption and the upstream raw materials. Strategic interventions in these areas, alongside continued focus on renewable energy in production and robust circular economy initiatives, are crucial for effective emission reduction.</w:t>
      </w:r>
    </w:p>
    <w:p>
      <w:r>
        <w:pict>
          <v:rect style="width:0;height:1.5pt" o:hralign="center" o:hrstd="t" o:hr="t"/>
        </w:pict>
      </w:r>
    </w:p>
    <w:bookmarkEnd w:id="22"/>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analysis strictly adheres to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in the value chain).</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yrnvotumue</w:t>
      </w:r>
      <w:r>
        <w:t xml:space="preserve">.</w:t>
      </w:r>
    </w:p>
    <w:bookmarkEnd w:id="24"/>
    <w:bookmarkStart w:id="25" w:name="system-boundary"/>
    <w:p>
      <w:pPr>
        <w:pStyle w:val="Heading3"/>
      </w:pPr>
      <w:r>
        <w:t xml:space="preserve">2.3. System Boundary</w:t>
      </w:r>
    </w:p>
    <w:p>
      <w:pPr>
        <w:pStyle w:val="FirstParagraph"/>
      </w:pPr>
      <w:r>
        <w:t xml:space="preserve">While the company\'s operational boundary for direct emissions (Scope 1 and 2) is considered "factory_gate", this Product Carbon Footprint analysis adopts a comprehensive</w:t>
      </w:r>
      <w:r>
        <w:t xml:space="preserve"> </w:t>
      </w:r>
      <w:r>
        <w:rPr>
          <w:bCs/>
          <w:b/>
        </w:rPr>
        <w:t xml:space="preserve">"cradle-to-grave"</w:t>
      </w:r>
      <w:r>
        <w:t xml:space="preserve"> </w:t>
      </w:r>
      <w:r>
        <w:t xml:space="preserve">perspective to capture the full lifecycle impacts of</w:t>
      </w:r>
      <w:r>
        <w:t xml:space="preserve"> </w:t>
      </w:r>
      <w:r>
        <w:rPr>
          <w:bCs/>
          <w:b/>
        </w:rPr>
        <w:t xml:space="preserve">yrnvotumue</w:t>
      </w:r>
      <w:r>
        <w:t xml:space="preserve">, extending beyond the factory gate to include upstream (raw materials, transport) and downstream (use phase, end-of-life) Scope 3 emissions. This approach is essential for a holistic understanding of the product\'s environmental impact.</w:t>
      </w:r>
    </w:p>
    <w:bookmarkEnd w:id="25"/>
    <w:bookmarkStart w:id="26" w:name="geographic-scope"/>
    <w:p>
      <w:pPr>
        <w:pStyle w:val="Heading3"/>
      </w:pPr>
      <w:r>
        <w:t xml:space="preserve">2.4. Geographic Scope</w:t>
      </w:r>
    </w:p>
    <w:p>
      <w:pPr>
        <w:pStyle w:val="FirstParagraph"/>
      </w:pPr>
      <w:r>
        <w:t xml:space="preserve">The geographic scope covers the entire supply chain, with the</w:t>
      </w:r>
      <w:r>
        <w:t xml:space="preserve"> </w:t>
      </w:r>
      <w:r>
        <w:rPr>
          <w:bCs/>
          <w:b/>
        </w:rPr>
        <w:t xml:space="preserve">final production country being China</w:t>
      </w:r>
      <w:r>
        <w:t xml:space="preserve"> </w:t>
      </w:r>
      <w:r>
        <w:t xml:space="preserve">and a specific</w:t>
      </w:r>
      <w:r>
        <w:t xml:space="preserve"> </w:t>
      </w:r>
      <w:r>
        <w:rPr>
          <w:bCs/>
          <w:b/>
        </w:rPr>
        <w:t xml:space="preserve">supply chain focus on Europe</w:t>
      </w:r>
      <w:r>
        <w:t xml:space="preserve"> </w:t>
      </w:r>
      <w:r>
        <w:t xml:space="preserve">for downstream activities (e.g., product distribution and use).</w:t>
      </w:r>
    </w:p>
    <w:bookmarkEnd w:id="26"/>
    <w:bookmarkStart w:id="27" w:name="allocation"/>
    <w:p>
      <w:pPr>
        <w:pStyle w:val="Heading3"/>
      </w:pPr>
      <w:r>
        <w:t xml:space="preserve">2.5. Allocation</w:t>
      </w:r>
    </w:p>
    <w:p>
      <w:pPr>
        <w:pStyle w:val="FirstParagraph"/>
      </w:pPr>
      <w:r>
        <w:t xml:space="preserve">Emissions are allocated to the functional unit based on mass and economic allocation principles where appropriate, particularly for co-products or recycling benefits. Specific allocation rules are applied based on industry standards to ensure accuracy.</w:t>
      </w:r>
    </w:p>
    <w:bookmarkEnd w:id="27"/>
    <w:bookmarkStart w:id="28" w:name="ghg-protocol-2026-updates-compliance"/>
    <w:p>
      <w:pPr>
        <w:pStyle w:val="Heading3"/>
      </w:pPr>
      <w:r>
        <w:t xml:space="preserve">2.6. GHG Protocol 2026 Updates Compliance</w:t>
      </w:r>
    </w:p>
    <w:p>
      <w:pPr>
        <w:pStyle w:val="FirstParagraph"/>
      </w:pPr>
      <w:r>
        <w:t xml:space="preserve">This analysis incorporates considerations for the latest</w:t>
      </w:r>
      <w:r>
        <w:t xml:space="preserve"> </w:t>
      </w:r>
      <w:r>
        <w:rPr>
          <w:bCs/>
          <w:b/>
        </w:rPr>
        <w:t xml:space="preserve">GHG Protocol 2026 updates</w:t>
      </w:r>
      <w:r>
        <w:t xml:space="preserve">. Specifically:</w:t>
      </w:r>
    </w:p>
    <w:p>
      <w:pPr>
        <w:numPr>
          <w:ilvl w:val="0"/>
          <w:numId w:val="1001"/>
        </w:numPr>
        <w:pStyle w:val="Compact"/>
      </w:pPr>
      <w:r>
        <w:rPr>
          <w:bCs/>
          <w:b/>
        </w:rPr>
        <w:t xml:space="preserve">Land Sector and Removals (LSR) Standard:</w:t>
      </w:r>
      <w:r>
        <w:t xml:space="preserve"> </w:t>
      </w:r>
      <w:r>
        <w:t xml:space="preserve">The LSR Standard, effective January 1, 2027, provides requirements for accounting for land emissions and CO2 removals. While not directly calculating large-scale land-use change for this specific product, the framework for transparently accounting for land impacts and removals is acknowledged for future application in relevant supply chain segments.</w:t>
      </w:r>
    </w:p>
    <w:p>
      <w:pPr>
        <w:numPr>
          <w:ilvl w:val="0"/>
          <w:numId w:val="1001"/>
        </w:numPr>
        <w:pStyle w:val="Compact"/>
      </w:pPr>
      <w:r>
        <w:rPr>
          <w:bCs/>
          <w:b/>
        </w:rPr>
        <w:t xml:space="preserve">Scope 3 Compliance (95% Coverage):</w:t>
      </w:r>
      <w:r>
        <w:t xml:space="preserve"> </w:t>
      </w:r>
      <w:r>
        <w:t xml:space="preserve">In line with the 2026 requirements, this report aims to ensure at least</w:t>
      </w:r>
      <w:r>
        <w:t xml:space="preserve"> </w:t>
      </w:r>
      <w:r>
        <w:rPr>
          <w:bCs/>
          <w:b/>
        </w:rPr>
        <w:t xml:space="preserve">95% coverage for all relevant Scope 3 emissions</w:t>
      </w:r>
      <w:r>
        <w:t xml:space="preserve">, eliminating selective disclosure and focusing on comprehensive value chain accountability. This includes mandatory data disaggregation by source type for enhanced transparency.</w:t>
      </w:r>
    </w:p>
    <w:p>
      <w:r>
        <w:pict>
          <v:rect style="width:0;height:1.5pt" o:hralign="center" o:hrstd="t" o:hr="t"/>
        </w:pict>
      </w:r>
    </w:p>
    <w:bookmarkEnd w:id="28"/>
    <w:bookmarkEnd w:id="29"/>
    <w:bookmarkStart w:id="38" w:name="X939a47aef72a4a28c08ea406bdad185696e1f66"/>
    <w:p>
      <w:pPr>
        <w:pStyle w:val="Heading2"/>
      </w:pPr>
      <w:r>
        <w:t xml:space="preserve">3. Lifecycle Inventory (LCI) and Data Collection</w:t>
      </w:r>
    </w:p>
    <w:p>
      <w:pPr>
        <w:pStyle w:val="FirstParagraph"/>
      </w:pPr>
      <w:r>
        <w:t xml:space="preserve">This section details the primary and secondary data collected for each lifecycle stage of</w:t>
      </w:r>
      <w:r>
        <w:t xml:space="preserve"> </w:t>
      </w:r>
      <w:r>
        <w:rPr>
          <w:bCs/>
          <w:b/>
        </w:rPr>
        <w:t xml:space="preserve">yrnvotumue</w:t>
      </w:r>
      <w:r>
        <w:t xml:space="preserve">.</w:t>
      </w:r>
    </w:p>
    <w:bookmarkStart w:id="30" w:name="X4680f8afc8240cbfeeb10b5c91f6293ef30cb5f"/>
    <w:p>
      <w:pPr>
        <w:pStyle w:val="Heading3"/>
      </w:pPr>
      <w:r>
        <w:t xml:space="preserve">3.1. Materials Acquisition &amp; Pre-processing (Scope 3, Category 1)</w:t>
      </w:r>
    </w:p>
    <w:p>
      <w:pPr>
        <w:pStyle w:val="FirstParagraph"/>
      </w:pPr>
      <w:r>
        <w:t xml:space="preserve">The material impact is calculated using the provided Detailed Bill of Materials (BOM). The BOM data was provided as `pnpyjhdx` and is structured as follows, with the \'Total Carbon\' representing the pre-calculated impact of each material item, assumed to be cradle-to-gate, encompassing raw material extraction and initial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right"/>
            </w:pPr>
            <w:r>
              <w:rPr>
                <w:bCs/>
                <w:b/>
              </w:rPr>
              <w:t xml:space="preserve">Total Material Emissions (from BOM):</w:t>
            </w:r>
          </w:p>
        </w:tc>
        <w:tc>
          <w:tcPr/>
          <w:p>
            <w:pPr>
              <w:pStyle w:val="Compact"/>
              <w:jc w:val="left"/>
            </w:pPr>
            <w:r>
              <w:rPr>
                <w:bCs/>
                <w:b/>
              </w:rPr>
              <w:t xml:space="preserve">6.03 kgCO2e</w:t>
            </w:r>
          </w:p>
        </w:tc>
      </w:tr>
    </w:tbl>
    <w:bookmarkEnd w:id="30"/>
    <w:bookmarkStart w:id="31" w:name="production-phase-scope-2"/>
    <w:p>
      <w:pPr>
        <w:pStyle w:val="Heading3"/>
      </w:pPr>
      <w:r>
        <w:t xml:space="preserve">3.2. Production Phase (Scope 2)</w:t>
      </w:r>
    </w:p>
    <w:p>
      <w:pPr>
        <w:pStyle w:val="FirstParagraph"/>
      </w:pPr>
      <w:r>
        <w:t xml:space="preserve">The production of</w:t>
      </w:r>
      <w:r>
        <w:t xml:space="preserve"> </w:t>
      </w:r>
      <w:r>
        <w:rPr>
          <w:bCs/>
          <w:b/>
        </w:rPr>
        <w:t xml:space="preserve">yrnvotumue</w:t>
      </w:r>
      <w:r>
        <w:t xml:space="preserve"> </w:t>
      </w:r>
      <w:r>
        <w:t xml:space="preserve">occurs in China. The energy consumption and renewable energy usage data are incorporated.</w:t>
      </w:r>
    </w:p>
    <w:p>
      <w:pPr>
        <w:numPr>
          <w:ilvl w:val="0"/>
          <w:numId w:val="1002"/>
        </w:numPr>
        <w:pStyle w:val="Compact"/>
      </w:pPr>
      <w:r>
        <w:rPr>
          <w:bCs/>
          <w:b/>
        </w:rPr>
        <w:t xml:space="preserve">Energy Intensity (ffzyjkfvgz):</w:t>
      </w:r>
      <w:r>
        <w:t xml:space="preserve"> </w:t>
      </w:r>
      <w:r>
        <w:t xml:space="preserve">15 kWh/unit</w:t>
      </w:r>
    </w:p>
    <w:p>
      <w:pPr>
        <w:numPr>
          <w:ilvl w:val="0"/>
          <w:numId w:val="1002"/>
        </w:numPr>
        <w:pStyle w:val="Compact"/>
      </w:pPr>
      <w:r>
        <w:rPr>
          <w:bCs/>
          <w:b/>
        </w:rPr>
        <w:t xml:space="preserve">Renewable Energy Usage (svvdxkqsfe):</w:t>
      </w:r>
      <w:r>
        <w:t xml:space="preserve"> </w:t>
      </w:r>
      <w:r>
        <w:t xml:space="preserve">60%</w:t>
      </w:r>
    </w:p>
    <w:p>
      <w:pPr>
        <w:numPr>
          <w:ilvl w:val="0"/>
          <w:numId w:val="1002"/>
        </w:numPr>
        <w:pStyle w:val="Compact"/>
      </w:pPr>
      <w:r>
        <w:rPr>
          <w:bCs/>
          <w:b/>
        </w:rPr>
        <w:t xml:space="preserve">Non-renewable Electricity Consumption:</w:t>
      </w:r>
      <w:r>
        <w:t xml:space="preserve"> </w:t>
      </w:r>
      <w:r>
        <w:t xml:space="preserve">15 kWh/unit * (1 - 0.60) = 6 kWh/unit</w:t>
      </w:r>
    </w:p>
    <w:p>
      <w:pPr>
        <w:numPr>
          <w:ilvl w:val="0"/>
          <w:numId w:val="1002"/>
        </w:numPr>
        <w:pStyle w:val="Compact"/>
      </w:pPr>
      <w:r>
        <w:rPr>
          <w:bCs/>
          <w:b/>
        </w:rPr>
        <w:t xml:space="preserve">China Grid Electricity Emission Factor:</w:t>
      </w:r>
      <w:r>
        <w:t xml:space="preserve"> </w:t>
      </w:r>
      <w:r>
        <w:t xml:space="preserve">0.6205 kgCO2e/kWh (2023 national average)</w:t>
      </w:r>
    </w:p>
    <w:bookmarkEnd w:id="31"/>
    <w:bookmarkStart w:id="35" w:name="Xb670143dbd3b418fd8255e4ce16e53e57b37e34"/>
    <w:p>
      <w:pPr>
        <w:pStyle w:val="Heading3"/>
      </w:pPr>
      <w:r>
        <w:t xml:space="preserve">3.3. Transport and Distribution (Scope 3, Category 4)</w:t>
      </w:r>
    </w:p>
    <w:p>
      <w:pPr>
        <w:pStyle w:val="FirstParagraph"/>
      </w:pPr>
      <w:r>
        <w:t xml:space="preserve">Logistics data includes transport from the production facility in China to the distribution network in Europe, and subsequent last-mile delivery. The assumed product weight for transport calculations is 1 kg.</w:t>
      </w:r>
    </w:p>
    <w:bookmarkStart w:id="32" w:name="X8592cc9be25100f9de3750d2723ef74dae0e10e"/>
    <w:p>
      <w:pPr>
        <w:pStyle w:val="Heading4"/>
      </w:pPr>
      <w:r>
        <w:t xml:space="preserve">3.3.1. Inbound Material Transport (to factory in China)</w:t>
      </w:r>
    </w:p>
    <w:p>
      <w:pPr>
        <w:numPr>
          <w:ilvl w:val="0"/>
          <w:numId w:val="1003"/>
        </w:numPr>
        <w:pStyle w:val="Compact"/>
      </w:pPr>
      <w:r>
        <w:rPr>
          <w:bCs/>
          <w:b/>
        </w:rPr>
        <w:t xml:space="preserve">Total Inbound Material Weight:</w:t>
      </w:r>
      <w:r>
        <w:t xml:space="preserve"> </w:t>
      </w:r>
      <w:r>
        <w:t xml:space="preserve">Approximately 1.95 kg (sum of Qty from BOM: 0.5 + 0.2 + 0.1 + 1 + 0.15 kg)</w:t>
      </w:r>
    </w:p>
    <w:p>
      <w:pPr>
        <w:numPr>
          <w:ilvl w:val="0"/>
          <w:numId w:val="1003"/>
        </w:numPr>
        <w:pStyle w:val="Compact"/>
      </w:pPr>
      <w:r>
        <w:rPr>
          <w:bCs/>
          <w:b/>
        </w:rPr>
        <w:t xml:space="preserve">Assumed Average Inbound Distance (within China):</w:t>
      </w:r>
      <w:r>
        <w:t xml:space="preserve"> </w:t>
      </w:r>
      <w:r>
        <w:t xml:space="preserve">500 km (illustrative)</w:t>
      </w:r>
    </w:p>
    <w:p>
      <w:pPr>
        <w:numPr>
          <w:ilvl w:val="0"/>
          <w:numId w:val="1003"/>
        </w:numPr>
        <w:pStyle w:val="Compact"/>
      </w:pPr>
      <w:r>
        <w:rPr>
          <w:bCs/>
          <w:b/>
        </w:rPr>
        <w:t xml:space="preserve">Transport Mode (illustrative):</w:t>
      </w:r>
      <w:r>
        <w:t xml:space="preserve"> </w:t>
      </w:r>
      <w:r>
        <w:t xml:space="preserve">Road Freight (Heavy Goods Vehicle - HGV)</w:t>
      </w:r>
    </w:p>
    <w:p>
      <w:pPr>
        <w:numPr>
          <w:ilvl w:val="0"/>
          <w:numId w:val="1003"/>
        </w:numPr>
        <w:pStyle w:val="Compact"/>
      </w:pPr>
      <w:r>
        <w:rPr>
          <w:bCs/>
          <w:b/>
        </w:rPr>
        <w:t xml:space="preserve">Road Freight Emission Factor:</w:t>
      </w:r>
      <w:r>
        <w:t xml:space="preserve"> </w:t>
      </w:r>
      <w:r>
        <w:t xml:space="preserve">0.08 kgCO2e/tkm</w:t>
      </w:r>
    </w:p>
    <w:bookmarkEnd w:id="32"/>
    <w:bookmarkStart w:id="33" w:name="Xdd3bb3e7f887ced7ad5625f0223d901ba214958"/>
    <w:p>
      <w:pPr>
        <w:pStyle w:val="Heading4"/>
      </w:pPr>
      <w:r>
        <w:t xml:space="preserve">3.3.2. Primary Transport (Factory Gate in China to European Distribution Hub)</w:t>
      </w:r>
    </w:p>
    <w:p>
      <w:pPr>
        <w:pStyle w:val="FirstParagraph"/>
      </w:pPr>
      <w:r>
        <w:t xml:space="preserve">This covers the long-haul journey from the production country to the market focus region.</w:t>
      </w:r>
    </w:p>
    <w:p>
      <w:pPr>
        <w:numPr>
          <w:ilvl w:val="0"/>
          <w:numId w:val="1004"/>
        </w:numPr>
        <w:pStyle w:val="Compact"/>
      </w:pPr>
      <w:r>
        <w:rPr>
          <w:bCs/>
          <w:b/>
        </w:rPr>
        <w:t xml:space="preserve">Transport Distance (xmrnujukmh):</w:t>
      </w:r>
      <w:r>
        <w:t xml:space="preserve"> </w:t>
      </w:r>
      <w:r>
        <w:t xml:space="preserve">5000 km</w:t>
      </w:r>
    </w:p>
    <w:p>
      <w:pPr>
        <w:numPr>
          <w:ilvl w:val="0"/>
          <w:numId w:val="1004"/>
        </w:numPr>
        <w:pStyle w:val="Compact"/>
      </w:pPr>
      <w:r>
        <w:rPr>
          <w:bCs/>
          <w:b/>
        </w:rPr>
        <w:t xml:space="preserve">Transport Mode (Select Mode - assumed dominant long-haul):</w:t>
      </w:r>
      <w:r>
        <w:t xml:space="preserve"> </w:t>
      </w:r>
      <w:r>
        <w:t xml:space="preserve">Sea Freight</w:t>
      </w:r>
    </w:p>
    <w:p>
      <w:pPr>
        <w:numPr>
          <w:ilvl w:val="0"/>
          <w:numId w:val="1004"/>
        </w:numPr>
        <w:pStyle w:val="Compact"/>
      </w:pPr>
      <w:r>
        <w:rPr>
          <w:bCs/>
          <w:b/>
        </w:rPr>
        <w:t xml:space="preserve">Sea Freight Emission Factor (illustrative):</w:t>
      </w:r>
      <w:r>
        <w:t xml:space="preserve"> </w:t>
      </w:r>
      <w:r>
        <w:t xml:space="preserve">0.01 kgCO2e/tkm</w:t>
      </w:r>
    </w:p>
    <w:bookmarkEnd w:id="33"/>
    <w:bookmarkStart w:id="34" w:name="Xc3974749441c8358e07bc0d3bfffb98044b4650"/>
    <w:p>
      <w:pPr>
        <w:pStyle w:val="Heading4"/>
      </w:pPr>
      <w:r>
        <w:t xml:space="preserve">3.3.3. Last-Mile Delivery (within Europe to End-Customer)</w:t>
      </w:r>
    </w:p>
    <w:p>
      <w:pPr>
        <w:pStyle w:val="FirstParagraph"/>
      </w:pPr>
      <w:r>
        <w:t xml:space="preserve">This covers the final leg of delivery to the consumer.</w:t>
      </w:r>
    </w:p>
    <w:p>
      <w:pPr>
        <w:numPr>
          <w:ilvl w:val="0"/>
          <w:numId w:val="1005"/>
        </w:numPr>
        <w:pStyle w:val="Compact"/>
      </w:pPr>
      <w:r>
        <w:rPr>
          <w:bCs/>
          <w:b/>
        </w:rPr>
        <w:t xml:space="preserve">Last-Mile Delivery Channel (Delivery Type):</w:t>
      </w:r>
      <w:r>
        <w:t xml:space="preserve"> </w:t>
      </w:r>
      <w:r>
        <w:t xml:space="preserve">Parcel Courier</w:t>
      </w:r>
    </w:p>
    <w:p>
      <w:pPr>
        <w:numPr>
          <w:ilvl w:val="0"/>
          <w:numId w:val="1005"/>
        </w:numPr>
        <w:pStyle w:val="Compact"/>
      </w:pPr>
      <w:r>
        <w:rPr>
          <w:bCs/>
          <w:b/>
        </w:rPr>
        <w:t xml:space="preserve">Parcel Courier Emission Factor (illustrative, per delivery):</w:t>
      </w:r>
      <w:r>
        <w:t xml:space="preserve"> </w:t>
      </w:r>
      <w:r>
        <w:t xml:space="preserve">0.2 kgCO2e/delivery</w:t>
      </w:r>
    </w:p>
    <w:bookmarkEnd w:id="34"/>
    <w:bookmarkEnd w:id="35"/>
    <w:bookmarkStart w:id="36" w:name="use-phase-scope-3-category-11"/>
    <w:p>
      <w:pPr>
        <w:pStyle w:val="Heading3"/>
      </w:pPr>
      <w:r>
        <w:t xml:space="preserve">3.4. Use Phase (Scope 3, Category 11)</w:t>
      </w:r>
    </w:p>
    <w:p>
      <w:pPr>
        <w:pStyle w:val="FirstParagraph"/>
      </w:pPr>
      <w:r>
        <w:t xml:space="preserve">The product\'s lifespan and energy consumption during use are critical for this phase, reflecting impacts during the product\'s functional life.</w:t>
      </w:r>
    </w:p>
    <w:p>
      <w:pPr>
        <w:numPr>
          <w:ilvl w:val="0"/>
          <w:numId w:val="1006"/>
        </w:numPr>
        <w:pStyle w:val="Compact"/>
      </w:pPr>
      <w:r>
        <w:rPr>
          <w:bCs/>
          <w:b/>
        </w:rPr>
        <w:t xml:space="preserve">Product Lifespan (yttiwlijvk):</w:t>
      </w:r>
      <w:r>
        <w:t xml:space="preserve"> </w:t>
      </w:r>
      <w:r>
        <w:t xml:space="preserve">5 years</w:t>
      </w:r>
    </w:p>
    <w:p>
      <w:pPr>
        <w:numPr>
          <w:ilvl w:val="0"/>
          <w:numId w:val="1006"/>
        </w:numPr>
        <w:pStyle w:val="Compact"/>
      </w:pPr>
      <w:r>
        <w:rPr>
          <w:bCs/>
          <w:b/>
        </w:rPr>
        <w:t xml:space="preserve">Energy Consumption in Use (gvwkoqxorz):</w:t>
      </w:r>
      <w:r>
        <w:t xml:space="preserve"> </w:t>
      </w:r>
      <w:r>
        <w:t xml:space="preserve">20 kWh/year</w:t>
      </w:r>
    </w:p>
    <w:p>
      <w:pPr>
        <w:numPr>
          <w:ilvl w:val="0"/>
          <w:numId w:val="1006"/>
        </w:numPr>
        <w:pStyle w:val="Compact"/>
      </w:pPr>
      <w:r>
        <w:rPr>
          <w:bCs/>
          <w:b/>
        </w:rPr>
        <w:t xml:space="preserve">Assumed EU Grid Electricity Emission Factor (illustrative):</w:t>
      </w:r>
      <w:r>
        <w:t xml:space="preserve"> </w:t>
      </w:r>
      <w:r>
        <w:t xml:space="preserve">0.25 kgCO2e/kWh (a generic average for user\'s electricity in Europe)</w:t>
      </w:r>
    </w:p>
    <w:bookmarkEnd w:id="36"/>
    <w:bookmarkStart w:id="37" w:name="Xd8b0cc1007d2f3c714880ecf2ca12af4f909441"/>
    <w:p>
      <w:pPr>
        <w:pStyle w:val="Heading3"/>
      </w:pPr>
      <w:r>
        <w:t xml:space="preserve">3.5. End-of-Life (EoL) Treatment (Scope 3, Category 12)</w:t>
      </w:r>
    </w:p>
    <w:p>
      <w:pPr>
        <w:pStyle w:val="FirstParagraph"/>
      </w:pPr>
      <w:r>
        <w:t xml:space="preserve">End-of-life scenarios consider recyclability and circular economy programs, aiming to capture the environmental benefits or burdens at the product\'s end of life. The total product weight at EoL is assumed to be 1 kg.</w:t>
      </w:r>
    </w:p>
    <w:p>
      <w:pPr>
        <w:numPr>
          <w:ilvl w:val="0"/>
          <w:numId w:val="1007"/>
        </w:numPr>
        <w:pStyle w:val="Compact"/>
      </w:pPr>
      <w:r>
        <w:rPr>
          <w:bCs/>
          <w:b/>
        </w:rPr>
        <w:t xml:space="preserve">Recyclability Percentage (sikrdukmkg):</w:t>
      </w:r>
      <w:r>
        <w:t xml:space="preserve"> </w:t>
      </w:r>
      <w:r>
        <w:t xml:space="preserve">80%</w:t>
      </w:r>
    </w:p>
    <w:p>
      <w:pPr>
        <w:numPr>
          <w:ilvl w:val="0"/>
          <w:numId w:val="1007"/>
        </w:numPr>
        <w:pStyle w:val="Compact"/>
      </w:pPr>
      <w:r>
        <w:rPr>
          <w:bCs/>
          <w:b/>
        </w:rPr>
        <w:t xml:space="preserve">Circular/Take-back Programs (vvpuoijxpw):</w:t>
      </w:r>
      <w:r>
        <w:t xml:space="preserve"> </w:t>
      </w:r>
      <w:r>
        <w:t xml:space="preserve">Yes, active take-back program</w:t>
      </w:r>
    </w:p>
    <w:p>
      <w:pPr>
        <w:numPr>
          <w:ilvl w:val="0"/>
          <w:numId w:val="1007"/>
        </w:numPr>
        <w:pStyle w:val="Compact"/>
      </w:pPr>
      <w:r>
        <w:rPr>
          <w:bCs/>
          <w:b/>
        </w:rPr>
        <w:t xml:space="preserve">Portion Recycled:</w:t>
      </w:r>
      <w:r>
        <w:t xml:space="preserve"> </w:t>
      </w:r>
      <w:r>
        <w:t xml:space="preserve">0.8 kg (80% of 1 kg product)</w:t>
      </w:r>
    </w:p>
    <w:p>
      <w:pPr>
        <w:numPr>
          <w:ilvl w:val="0"/>
          <w:numId w:val="1007"/>
        </w:numPr>
        <w:pStyle w:val="Compact"/>
      </w:pPr>
      <w:r>
        <w:rPr>
          <w:bCs/>
          <w:b/>
        </w:rPr>
        <w:t xml:space="preserve">Portion Landfilled:</w:t>
      </w:r>
      <w:r>
        <w:t xml:space="preserve"> </w:t>
      </w:r>
      <w:r>
        <w:t xml:space="preserve">0.2 kg (20% of 1 kg product)</w:t>
      </w:r>
    </w:p>
    <w:p>
      <w:pPr>
        <w:numPr>
          <w:ilvl w:val="0"/>
          <w:numId w:val="1007"/>
        </w:numPr>
        <w:pStyle w:val="Compact"/>
      </w:pPr>
      <w:r>
        <w:rPr>
          <w:bCs/>
          <w:b/>
        </w:rPr>
        <w:t xml:space="preserve">Recycling Credit (illustrative avoided emissions, generic average for mixed materials):</w:t>
      </w:r>
      <w:r>
        <w:t xml:space="preserve"> </w:t>
      </w:r>
      <w:r>
        <w:t xml:space="preserve">-1.0 kgCO2e/kg (represents emissions avoided by recycling compared to virgin production)</w:t>
      </w:r>
    </w:p>
    <w:p>
      <w:pPr>
        <w:numPr>
          <w:ilvl w:val="0"/>
          <w:numId w:val="1007"/>
        </w:numPr>
        <w:pStyle w:val="Compact"/>
      </w:pPr>
      <w:r>
        <w:rPr>
          <w:bCs/>
          <w:b/>
        </w:rPr>
        <w:t xml:space="preserve">Landfill Emission Factor (illustrative for mixed waste):</w:t>
      </w:r>
      <w:r>
        <w:t xml:space="preserve"> </w:t>
      </w:r>
      <w:r>
        <w:t xml:space="preserve">0.5 kgCO2e/kg</w:t>
      </w:r>
    </w:p>
    <w:p>
      <w:r>
        <w:pict>
          <v:rect style="width:0;height:1.5pt" o:hralign="center" o:hrstd="t" o:hr="t"/>
        </w:pict>
      </w:r>
    </w:p>
    <w:bookmarkEnd w:id="37"/>
    <w:bookmarkEnd w:id="38"/>
    <w:bookmarkStart w:id="45" w:name="Xdd0f433185fde5fd9508eee9e1e7bcaa542b608"/>
    <w:p>
      <w:pPr>
        <w:pStyle w:val="Heading2"/>
      </w:pPr>
      <w:r>
        <w:t xml:space="preserve">4. Emission Calculation and GHG Protocol Categorization</w:t>
      </w:r>
    </w:p>
    <w:p>
      <w:pPr>
        <w:pStyle w:val="FirstParagraph"/>
      </w:pPr>
      <w:r>
        <w:t xml:space="preserve">Emissions are calculated for each lifecycle stage (Activity Data × Emission Factor = CO2e) and categorized according to the GHG Protocol.</w:t>
      </w:r>
    </w:p>
    <w:bookmarkStart w:id="39" w:name="X06670024af37f22bc1309ce6d0460a880572eb1"/>
    <w:p>
      <w:pPr>
        <w:pStyle w:val="Heading3"/>
      </w:pPr>
      <w:r>
        <w:t xml:space="preserve">4.1. Calculation Assumptions &amp; Illustrative Emission Factors</w:t>
      </w:r>
    </w:p>
    <w:p>
      <w:pPr>
        <w:pStyle w:val="FirstParagraph"/>
      </w:pPr>
      <w:r>
        <w:t xml:space="preserve">For this detailed PCF analysis, industry-standard emission factors would typically be sourced from comprehensive databases like Ecoinvent or DEFRA. For the purpose of this report, illustrative emission factors have been applied as follows, with citations where a general range or specific factor was found in the search results:</w:t>
      </w:r>
    </w:p>
    <w:p>
      <w:pPr>
        <w:numPr>
          <w:ilvl w:val="0"/>
          <w:numId w:val="1008"/>
        </w:numPr>
        <w:pStyle w:val="Compact"/>
      </w:pPr>
      <w:r>
        <w:t xml:space="preserve">China Grid Electricity: 0.6205 kgCO2e/kWh (2023 national average)</w:t>
      </w:r>
    </w:p>
    <w:p>
      <w:pPr>
        <w:numPr>
          <w:ilvl w:val="0"/>
          <w:numId w:val="1008"/>
        </w:numPr>
        <w:pStyle w:val="Compact"/>
      </w:pPr>
      <w:r>
        <w:t xml:space="preserve">EU Grid Electricity: 0.25 kgCO2e/kWh (illustrative average)</w:t>
      </w:r>
    </w:p>
    <w:p>
      <w:pPr>
        <w:numPr>
          <w:ilvl w:val="0"/>
          <w:numId w:val="1008"/>
        </w:numPr>
        <w:pStyle w:val="Compact"/>
      </w:pPr>
      <w:r>
        <w:t xml:space="preserve">Road Freight (HGV): 0.08 kgCO2e/tkm</w:t>
      </w:r>
    </w:p>
    <w:p>
      <w:pPr>
        <w:numPr>
          <w:ilvl w:val="0"/>
          <w:numId w:val="1008"/>
        </w:numPr>
        <w:pStyle w:val="Compact"/>
      </w:pPr>
      <w:r>
        <w:t xml:space="preserve">Sea Freight: 0.01 kgCO2e/tkm (illustrative)</w:t>
      </w:r>
    </w:p>
    <w:p>
      <w:pPr>
        <w:numPr>
          <w:ilvl w:val="0"/>
          <w:numId w:val="1008"/>
        </w:numPr>
        <w:pStyle w:val="Compact"/>
      </w:pPr>
      <w:r>
        <w:t xml:space="preserve">Parcel Courier (Last-Mile): 0.2 kgCO2e/delivery</w:t>
      </w:r>
    </w:p>
    <w:p>
      <w:pPr>
        <w:numPr>
          <w:ilvl w:val="0"/>
          <w:numId w:val="1008"/>
        </w:numPr>
        <w:pStyle w:val="Compact"/>
      </w:pPr>
      <w:r>
        <w:t xml:space="preserve">Recycling Credit (avoided emissions): -1.0 kgCO2e/kg (illustrative)</w:t>
      </w:r>
    </w:p>
    <w:p>
      <w:pPr>
        <w:numPr>
          <w:ilvl w:val="0"/>
          <w:numId w:val="1008"/>
        </w:numPr>
        <w:pStyle w:val="Compact"/>
      </w:pPr>
      <w:r>
        <w:t xml:space="preserve">Landfill (mixed waste): 0.5 kgCO2e/kg</w:t>
      </w:r>
    </w:p>
    <w:bookmarkEnd w:id="39"/>
    <w:bookmarkStart w:id="43" w:name="detailed-carbon-footprint-calculation"/>
    <w:p>
      <w:pPr>
        <w:pStyle w:val="Heading3"/>
      </w:pPr>
      <w:r>
        <w:t xml:space="preserve">4.2. Detailed Carbon Footprint Calculation</w:t>
      </w:r>
    </w:p>
    <w:bookmarkStart w:id="40" w:name="upstream-emissions-scope-3"/>
    <w:p>
      <w:pPr>
        <w:pStyle w:val="Heading4"/>
      </w:pPr>
      <w:r>
        <w:t xml:space="preserve">4.2.1. Upstream Emissions (Scope 3)</w:t>
      </w:r>
    </w:p>
    <w:p>
      <w:pPr>
        <w:numPr>
          <w:ilvl w:val="0"/>
          <w:numId w:val="1009"/>
        </w:numPr>
        <w:pStyle w:val="Compact"/>
      </w:pPr>
      <w:r>
        <w:rPr>
          <w:bCs/>
          <w:b/>
        </w:rPr>
        <w:t xml:space="preserve">Materials Acquisition (Scope 3, Category 1 - Purchased Goods &amp; Services):</w:t>
      </w:r>
    </w:p>
    <w:p>
      <w:pPr>
        <w:numPr>
          <w:ilvl w:val="1"/>
          <w:numId w:val="1010"/>
        </w:numPr>
        <w:pStyle w:val="Compact"/>
      </w:pPr>
      <w:r>
        <w:t xml:space="preserve">Total from BOM (pnpyjhdx): 6.03 kgCO2e</w:t>
      </w:r>
    </w:p>
    <w:p>
      <w:pPr>
        <w:numPr>
          <w:ilvl w:val="0"/>
          <w:numId w:val="1009"/>
        </w:numPr>
        <w:pStyle w:val="Compact"/>
      </w:pPr>
      <w:r>
        <w:rPr>
          <w:bCs/>
          <w:b/>
        </w:rPr>
        <w:t xml:space="preserve">Inbound Material Transport (Scope 3, Category 4 - Upstream Transportation &amp; Distribution):</w:t>
      </w:r>
    </w:p>
    <w:p>
      <w:pPr>
        <w:numPr>
          <w:ilvl w:val="1"/>
          <w:numId w:val="1011"/>
        </w:numPr>
        <w:pStyle w:val="Compact"/>
      </w:pPr>
      <w:r>
        <w:t xml:space="preserve">(1.95 kg / 1000 kg/tonne) * 500 km * 0.08 kgCO2e/tkm = 0.078 kgCO2e</w:t>
      </w:r>
    </w:p>
    <w:p>
      <w:pPr>
        <w:numPr>
          <w:ilvl w:val="0"/>
          <w:numId w:val="1009"/>
        </w:numPr>
        <w:pStyle w:val="Compact"/>
      </w:pPr>
      <w:r>
        <w:rPr>
          <w:bCs/>
          <w:b/>
        </w:rPr>
        <w:t xml:space="preserve">Total Upstream Emissions: 6.03 + 0.078 = 6.108 kgCO2e</w:t>
      </w:r>
    </w:p>
    <w:bookmarkEnd w:id="40"/>
    <w:bookmarkStart w:id="41" w:name="core-production-emissions-scope-2"/>
    <w:p>
      <w:pPr>
        <w:pStyle w:val="Heading4"/>
      </w:pPr>
      <w:r>
        <w:t xml:space="preserve">4.2.2. Core Production Emissions (Scope 2)</w:t>
      </w:r>
    </w:p>
    <w:p>
      <w:pPr>
        <w:numPr>
          <w:ilvl w:val="0"/>
          <w:numId w:val="1012"/>
        </w:numPr>
        <w:pStyle w:val="Compact"/>
      </w:pPr>
      <w:r>
        <w:rPr>
          <w:bCs/>
          <w:b/>
        </w:rPr>
        <w:t xml:space="preserve">Purchased Electricity (Scope 2):</w:t>
      </w:r>
    </w:p>
    <w:p>
      <w:pPr>
        <w:numPr>
          <w:ilvl w:val="1"/>
          <w:numId w:val="1013"/>
        </w:numPr>
        <w:pStyle w:val="Compact"/>
      </w:pPr>
      <w:r>
        <w:t xml:space="preserve">Non-renewable energy consumption: 6 kWh/unit</w:t>
      </w:r>
    </w:p>
    <w:p>
      <w:pPr>
        <w:numPr>
          <w:ilvl w:val="1"/>
          <w:numId w:val="1013"/>
        </w:numPr>
        <w:pStyle w:val="Compact"/>
      </w:pPr>
      <w:r>
        <w:t xml:space="preserve">Emission Factor: 0.6205 kgCO2e/kWh</w:t>
      </w:r>
    </w:p>
    <w:p>
      <w:pPr>
        <w:numPr>
          <w:ilvl w:val="1"/>
          <w:numId w:val="1013"/>
        </w:numPr>
        <w:pStyle w:val="Compact"/>
      </w:pPr>
      <w:r>
        <w:t xml:space="preserve">Total: 6 kWh * 0.6205 kgCO2e/kWh = 3.723 kgCO2e</w:t>
      </w:r>
    </w:p>
    <w:bookmarkEnd w:id="41"/>
    <w:bookmarkStart w:id="42" w:name="downstream-emissions-scope-3"/>
    <w:p>
      <w:pPr>
        <w:pStyle w:val="Heading4"/>
      </w:pPr>
      <w:r>
        <w:t xml:space="preserve">4.2.3. Downstream Emissions (Scope 3)</w:t>
      </w:r>
    </w:p>
    <w:p>
      <w:pPr>
        <w:numPr>
          <w:ilvl w:val="0"/>
          <w:numId w:val="1014"/>
        </w:numPr>
        <w:pStyle w:val="Compact"/>
      </w:pPr>
      <w:r>
        <w:rPr>
          <w:bCs/>
          <w:b/>
        </w:rPr>
        <w:t xml:space="preserve">Primary Outbound Transport (Scope 3, Category 4 - Downstream Transportation &amp; Distribution):</w:t>
      </w:r>
    </w:p>
    <w:p>
      <w:pPr>
        <w:numPr>
          <w:ilvl w:val="1"/>
          <w:numId w:val="1015"/>
        </w:numPr>
        <w:pStyle w:val="Compact"/>
      </w:pPr>
      <w:r>
        <w:t xml:space="preserve">(1 kg product / 1000 kg/tonne) * 5000 km * 0.01 kgCO2e/tkm = 0.05 kgCO2e</w:t>
      </w:r>
    </w:p>
    <w:p>
      <w:pPr>
        <w:numPr>
          <w:ilvl w:val="0"/>
          <w:numId w:val="1014"/>
        </w:numPr>
        <w:pStyle w:val="Compact"/>
      </w:pPr>
      <w:r>
        <w:rPr>
          <w:bCs/>
          <w:b/>
        </w:rPr>
        <w:t xml:space="preserve">Last-Mile Delivery (Scope 3, Category 4 - Downstream Transportation &amp; Distribution):</w:t>
      </w:r>
    </w:p>
    <w:p>
      <w:pPr>
        <w:numPr>
          <w:ilvl w:val="1"/>
          <w:numId w:val="1016"/>
        </w:numPr>
        <w:pStyle w:val="Compact"/>
      </w:pPr>
      <w:r>
        <w:t xml:space="preserve">Per unit: 0.2 kgCO2e</w:t>
      </w:r>
    </w:p>
    <w:p>
      <w:pPr>
        <w:numPr>
          <w:ilvl w:val="1"/>
          <w:numId w:val="1016"/>
        </w:numPr>
        <w:pStyle w:val="Compact"/>
      </w:pPr>
      <w:r>
        <w:t xml:space="preserve">Total: 0.2 kgCO2e</w:t>
      </w:r>
    </w:p>
    <w:p>
      <w:pPr>
        <w:numPr>
          <w:ilvl w:val="0"/>
          <w:numId w:val="1014"/>
        </w:numPr>
        <w:pStyle w:val="Compact"/>
      </w:pPr>
      <w:r>
        <w:rPr>
          <w:bCs/>
          <w:b/>
        </w:rPr>
        <w:t xml:space="preserve">Use Phase (Scope 3, Category 11 - Use of Sold Products):</w:t>
      </w:r>
    </w:p>
    <w:p>
      <w:pPr>
        <w:numPr>
          <w:ilvl w:val="1"/>
          <w:numId w:val="1017"/>
        </w:numPr>
        <w:pStyle w:val="Compact"/>
      </w:pPr>
      <w:r>
        <w:t xml:space="preserve">Lifespan: 5 years</w:t>
      </w:r>
    </w:p>
    <w:p>
      <w:pPr>
        <w:numPr>
          <w:ilvl w:val="1"/>
          <w:numId w:val="1017"/>
        </w:numPr>
        <w:pStyle w:val="Compact"/>
      </w:pPr>
      <w:r>
        <w:t xml:space="preserve">Energy Consumption: 20 kWh/year</w:t>
      </w:r>
    </w:p>
    <w:p>
      <w:pPr>
        <w:numPr>
          <w:ilvl w:val="1"/>
          <w:numId w:val="1017"/>
        </w:numPr>
        <w:pStyle w:val="Compact"/>
      </w:pPr>
      <w:r>
        <w:t xml:space="preserve">EU Grid Emission Factor: 0.25 kgCO2e/kWh (illustrative)</w:t>
      </w:r>
    </w:p>
    <w:p>
      <w:pPr>
        <w:numPr>
          <w:ilvl w:val="1"/>
          <w:numId w:val="1017"/>
        </w:numPr>
        <w:pStyle w:val="Compact"/>
      </w:pPr>
      <w:r>
        <w:t xml:space="preserve">Total: 5 years * 20 kWh/year * 0.25 kgCO2e/kWh = 25.00 kgCO2e</w:t>
      </w:r>
    </w:p>
    <w:p>
      <w:pPr>
        <w:numPr>
          <w:ilvl w:val="0"/>
          <w:numId w:val="1014"/>
        </w:numPr>
        <w:pStyle w:val="Compact"/>
      </w:pPr>
      <w:r>
        <w:rPr>
          <w:bCs/>
          <w:b/>
        </w:rPr>
        <w:t xml:space="preserve">End-of-Life Treatment (Scope 3, Category 12 - End-of-Life Treatment of Sold Products):</w:t>
      </w:r>
    </w:p>
    <w:p>
      <w:pPr>
        <w:numPr>
          <w:ilvl w:val="1"/>
          <w:numId w:val="1018"/>
        </w:numPr>
        <w:pStyle w:val="Compact"/>
      </w:pPr>
      <w:r>
        <w:t xml:space="preserve">Recycled portion: 0.8 kg * -1.0 kgCO2e/kg (credit) = -0.80 kgCO2e</w:t>
      </w:r>
    </w:p>
    <w:p>
      <w:pPr>
        <w:numPr>
          <w:ilvl w:val="1"/>
          <w:numId w:val="1018"/>
        </w:numPr>
        <w:pStyle w:val="Compact"/>
      </w:pPr>
      <w:r>
        <w:t xml:space="preserve">Landfilled portion: 0.2 kg * 0.5 kgCO2e/kg = 0.10 kgCO2e</w:t>
      </w:r>
    </w:p>
    <w:p>
      <w:pPr>
        <w:numPr>
          <w:ilvl w:val="1"/>
          <w:numId w:val="1018"/>
        </w:numPr>
        <w:pStyle w:val="Compact"/>
      </w:pPr>
      <w:r>
        <w:t xml:space="preserve">Net EoL Total: -0.70 kgCO2e</w:t>
      </w:r>
    </w:p>
    <w:p>
      <w:pPr>
        <w:numPr>
          <w:ilvl w:val="0"/>
          <w:numId w:val="1014"/>
        </w:numPr>
        <w:pStyle w:val="Compact"/>
      </w:pPr>
      <w:r>
        <w:rPr>
          <w:bCs/>
          <w:b/>
        </w:rPr>
        <w:t xml:space="preserve">Total Downstream Emissions: 0.05 + 0.2 + 25.00 - 0.70 = 24.55 kgCO2e</w:t>
      </w:r>
    </w:p>
    <w:bookmarkEnd w:id="42"/>
    <w:bookmarkEnd w:id="43"/>
    <w:bookmarkStart w:id="44" w:name="X9d0be81dda6caf9fcb9f536ddb8c5b925648a86"/>
    <w:p>
      <w:pPr>
        <w:pStyle w:val="Heading3"/>
      </w:pPr>
      <w:r>
        <w:t xml:space="preserve">4.3. Summary of Emissions by Scope (per functional unit)</w:t>
      </w:r>
    </w:p>
    <w:p>
      <w:pPr>
        <w:pStyle w:val="FirstParagraph"/>
      </w:pPr>
      <w:r>
        <w:t xml:space="preserve">The total carbon footprint for one functional unit of</w:t>
      </w:r>
      <w:r>
        <w:t xml:space="preserve"> </w:t>
      </w:r>
      <w:r>
        <w:rPr>
          <w:bCs/>
          <w:b/>
        </w:rPr>
        <w:t xml:space="preserve">yrnvotumue</w:t>
      </w:r>
      <w:r>
        <w:t xml:space="preserve"> </w:t>
      </w:r>
      <w:r>
        <w:t xml:space="preserve">is summarized below:</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Contribution to PCF (%)</w:t>
            </w:r>
          </w:p>
        </w:tc>
      </w:tr>
      <w:tr>
        <w:tc>
          <w:tcPr/>
          <w:p>
            <w:pPr>
              <w:pStyle w:val="Compact"/>
              <w:jc w:val="left"/>
            </w:pPr>
            <w:r>
              <w:rPr>
                <w:bCs/>
                <w:b/>
              </w:rPr>
              <w:t xml:space="preserve">Scope 1</w:t>
            </w:r>
          </w:p>
        </w:tc>
        <w:tc>
          <w:tcPr/>
          <w:p>
            <w:pPr>
              <w:pStyle w:val="Compact"/>
            </w:pPr>
          </w:p>
        </w:tc>
        <w:tc>
          <w:tcPr/>
          <w:p>
            <w:pPr>
              <w:pStyle w:val="Compact"/>
              <w:jc w:val="left"/>
            </w:pPr>
            <w:r>
              <w:t xml:space="preserve">Direct Emissions (e.g.,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pPr>
          </w:p>
        </w:tc>
        <w:tc>
          <w:tcPr/>
          <w:p>
            <w:pPr>
              <w:pStyle w:val="Compact"/>
              <w:jc w:val="left"/>
            </w:pPr>
            <w:r>
              <w:t xml:space="preserve">Indirect Emissions from Purchased Electricity (Production in China)</w:t>
            </w:r>
          </w:p>
        </w:tc>
        <w:tc>
          <w:tcPr/>
          <w:p>
            <w:pPr>
              <w:pStyle w:val="Compact"/>
              <w:jc w:val="left"/>
            </w:pPr>
            <w:r>
              <w:t xml:space="preserve">3.72</w:t>
            </w:r>
          </w:p>
        </w:tc>
        <w:tc>
          <w:tcPr/>
          <w:p>
            <w:pPr>
              <w:pStyle w:val="Compact"/>
              <w:jc w:val="left"/>
            </w:pPr>
            <w:r>
              <w:t xml:space="preserve">10.8%</w:t>
            </w:r>
          </w:p>
        </w:tc>
      </w:tr>
      <w:tr>
        <w:tc>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6.03</w:t>
            </w:r>
          </w:p>
        </w:tc>
        <w:tc>
          <w:tcPr/>
          <w:p>
            <w:pPr>
              <w:pStyle w:val="Compact"/>
              <w:jc w:val="left"/>
            </w:pPr>
            <w:r>
              <w:t xml:space="preserve">17.5%</w:t>
            </w:r>
          </w:p>
        </w:tc>
      </w:tr>
      <w:tr>
        <w:tc>
          <w:tcPr/>
          <w:p>
            <w:pPr>
              <w:pStyle w:val="Compact"/>
              <w:jc w:val="left"/>
            </w:pPr>
            <w:r>
              <w:rPr>
                <w:bCs/>
                <w:b/>
              </w:rPr>
              <w:t xml:space="preserve">Scope 3</w:t>
            </w:r>
          </w:p>
        </w:tc>
        <w:tc>
          <w:tcPr/>
          <w:p>
            <w:pPr>
              <w:pStyle w:val="Compact"/>
              <w:jc w:val="left"/>
            </w:pPr>
            <w:r>
              <w:t xml:space="preserve">Category 4</w:t>
            </w:r>
          </w:p>
        </w:tc>
        <w:tc>
          <w:tcPr/>
          <w:p>
            <w:pPr>
              <w:pStyle w:val="Compact"/>
              <w:jc w:val="left"/>
            </w:pPr>
            <w:r>
              <w:t xml:space="preserve">Upstream &amp; Downstream Transportation and Distribution</w:t>
            </w:r>
          </w:p>
        </w:tc>
        <w:tc>
          <w:tcPr/>
          <w:p>
            <w:pPr>
              <w:pStyle w:val="Compact"/>
              <w:jc w:val="left"/>
            </w:pPr>
            <w:r>
              <w:t xml:space="preserve">0.33</w:t>
            </w:r>
          </w:p>
        </w:tc>
        <w:tc>
          <w:tcPr/>
          <w:p>
            <w:pPr>
              <w:pStyle w:val="Compact"/>
              <w:jc w:val="left"/>
            </w:pPr>
            <w:r>
              <w:t xml:space="preserve">1.0%</w:t>
            </w:r>
          </w:p>
        </w:tc>
      </w:tr>
      <w:tr>
        <w:tc>
          <w:tcPr/>
          <w:p>
            <w:pPr>
              <w:pStyle w:val="Compact"/>
              <w:jc w:val="left"/>
            </w:pPr>
            <w:r>
              <w:rPr>
                <w:bCs/>
                <w:b/>
              </w:rPr>
              <w:t xml:space="preserve">Scope 3</w:t>
            </w:r>
          </w:p>
        </w:tc>
        <w:tc>
          <w:tcPr/>
          <w:p>
            <w:pPr>
              <w:pStyle w:val="Compact"/>
              <w:jc w:val="left"/>
            </w:pPr>
            <w:r>
              <w:t xml:space="preserve">Category 11</w:t>
            </w:r>
          </w:p>
        </w:tc>
        <w:tc>
          <w:tcPr/>
          <w:p>
            <w:pPr>
              <w:pStyle w:val="Compact"/>
              <w:jc w:val="left"/>
            </w:pPr>
            <w:r>
              <w:t xml:space="preserve">Use of Sold Products (Energy Consumption)</w:t>
            </w:r>
          </w:p>
        </w:tc>
        <w:tc>
          <w:tcPr/>
          <w:p>
            <w:pPr>
              <w:pStyle w:val="Compact"/>
              <w:jc w:val="left"/>
            </w:pPr>
            <w:r>
              <w:t xml:space="preserve">25.00</w:t>
            </w:r>
          </w:p>
        </w:tc>
        <w:tc>
          <w:tcPr/>
          <w:p>
            <w:pPr>
              <w:pStyle w:val="Compact"/>
              <w:jc w:val="left"/>
            </w:pPr>
            <w:r>
              <w:t xml:space="preserve">72.7%</w:t>
            </w:r>
          </w:p>
        </w:tc>
      </w:tr>
      <w:tr>
        <w:tc>
          <w:tcPr/>
          <w:p>
            <w:pPr>
              <w:pStyle w:val="Compact"/>
              <w:jc w:val="left"/>
            </w:pPr>
            <w:r>
              <w:rPr>
                <w:bCs/>
                <w:b/>
              </w:rP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-0.70</w:t>
            </w:r>
          </w:p>
        </w:tc>
        <w:tc>
          <w:tcPr/>
          <w:p>
            <w:pPr>
              <w:pStyle w:val="Compact"/>
              <w:jc w:val="left"/>
            </w:pPr>
            <w:r>
              <w:t xml:space="preserve">-2.0%</w:t>
            </w:r>
          </w:p>
        </w:tc>
      </w:tr>
      <w:tr>
        <w:tc>
          <w:tcPr>
            <w:gridSpan w:val="3"/>
          </w:tcPr>
          <w:p>
            <w:pPr>
              <w:pStyle w:val="Compact"/>
              <w:jc w:val="right"/>
            </w:pPr>
            <w:r>
              <w:rPr>
                <w:bCs/>
                <w:b/>
              </w:rPr>
              <w:t xml:space="preserve">Total Product Carbon Footprint:</w:t>
            </w:r>
          </w:p>
        </w:tc>
        <w:tc>
          <w:tcPr/>
          <w:p>
            <w:pPr>
              <w:pStyle w:val="Compact"/>
              <w:jc w:val="left"/>
            </w:pPr>
            <w:r>
              <w:rPr>
                <w:bCs/>
                <w:b/>
              </w:rPr>
              <w:t xml:space="preserve">34.38 kgCO2e</w:t>
            </w:r>
          </w:p>
        </w:tc>
        <w:tc>
          <w:tcPr/>
          <w:p>
            <w:pPr>
              <w:pStyle w:val="Compact"/>
              <w:jc w:val="left"/>
            </w:pPr>
            <w:r>
              <w:rPr>
                <w:bCs/>
                <w:b/>
              </w:rPr>
              <w:t xml:space="preserve">100.0%</w:t>
            </w:r>
          </w:p>
        </w:tc>
      </w:tr>
    </w:tbl>
    <w:p>
      <w:pPr>
        <w:pStyle w:val="BodyText"/>
      </w:pPr>
      <w:r>
        <w:rPr>
          <w:iCs/>
          <w:i/>
        </w:rPr>
        <w:t xml:space="preserve">Note: Percentages are calculated based on the total net Product Carbon Footprint. The negative value for End-of-Life reflects avoided emissions due to recycling, providing a carbon credit to the overall footprint.</w:t>
      </w:r>
    </w:p>
    <w:p>
      <w:r>
        <w:pict>
          <v:rect style="width:0;height:1.5pt" o:hralign="center" o:hrstd="t" o:hr="t"/>
        </w:pict>
      </w:r>
    </w:p>
    <w:bookmarkEnd w:id="44"/>
    <w:bookmarkEnd w:id="45"/>
    <w:bookmarkStart w:id="48"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identifies the following key emission hotspots for</w:t>
      </w:r>
      <w:r>
        <w:t xml:space="preserve"> </w:t>
      </w:r>
      <w:r>
        <w:rPr>
          <w:bCs/>
          <w:b/>
        </w:rPr>
        <w:t xml:space="preserve">yrnvotumue</w:t>
      </w:r>
      <w:r>
        <w:t xml:space="preserve">:</w:t>
      </w:r>
    </w:p>
    <w:p>
      <w:pPr>
        <w:numPr>
          <w:ilvl w:val="0"/>
          <w:numId w:val="1019"/>
        </w:numPr>
        <w:pStyle w:val="Compact"/>
      </w:pPr>
      <w:r>
        <w:rPr>
          <w:bCs/>
          <w:b/>
        </w:rPr>
        <w:t xml:space="preserve">Use Phase (Scope 3, Category 11):</w:t>
      </w:r>
      <w:r>
        <w:t xml:space="preserve"> </w:t>
      </w:r>
      <w:r>
        <w:t xml:space="preserve">This stage represents the most significant contributor, accounting for approximately 72.7% of the total net product footprint. The energy consumption during the product\'s 5-year lifespan, particularly the reliance on grid electricity in Europe, is the primary driver. This highlights the importance of user behavior and the decarbonization of electricity grids in the consumption regions.</w:t>
      </w:r>
    </w:p>
    <w:p>
      <w:pPr>
        <w:numPr>
          <w:ilvl w:val="0"/>
          <w:numId w:val="1019"/>
        </w:numPr>
        <w:pStyle w:val="Compact"/>
      </w:pPr>
      <w:r>
        <w:rPr>
          <w:bCs/>
          <w:b/>
        </w:rPr>
        <w:t xml:space="preserve">Materials Acquisition (Scope 3, Category 1):</w:t>
      </w:r>
      <w:r>
        <w:t xml:space="preserve"> </w:t>
      </w:r>
      <w:r>
        <w:t xml:space="preserve">Raw material extraction and processing contribute approximately 17.5% of the total net footprint. Key contributors within the Bill of Materials include Aluminum Alloy and Printed Circuit Boards, indicating that upstream material choices have a substantial impact.</w:t>
      </w:r>
    </w:p>
    <w:p>
      <w:pPr>
        <w:numPr>
          <w:ilvl w:val="0"/>
          <w:numId w:val="1019"/>
        </w:numPr>
        <w:pStyle w:val="Compact"/>
      </w:pPr>
      <w:r>
        <w:rPr>
          <w:bCs/>
          <w:b/>
        </w:rPr>
        <w:t xml:space="preserve">Production (Scope 2):</w:t>
      </w:r>
      <w:r>
        <w:t xml:space="preserve"> </w:t>
      </w:r>
      <w:r>
        <w:t xml:space="preserve">Emissions from purchased electricity for manufacturing in China contribute about 10.8% of the total net footprint. While 60% renewable energy is utilized, the remaining reliance on the Chinese grid mix contributes significantly. Further increasing renewable energy sourcing or improving energy efficiency in production can effectively reduce this.</w:t>
      </w:r>
    </w:p>
    <w:bookmarkEnd w:id="46"/>
    <w:bookmarkStart w:id="47" w:name="reliability-and-data-quality"/>
    <w:p>
      <w:pPr>
        <w:pStyle w:val="Heading3"/>
      </w:pPr>
      <w:r>
        <w:t xml:space="preserve">5.2. Reliability and Data Quality</w:t>
      </w:r>
    </w:p>
    <w:p>
      <w:pPr>
        <w:pStyle w:val="FirstParagraph"/>
      </w:pPr>
      <w:r>
        <w:t xml:space="preserve">The reliability of this PCF is enhanced by the use of specific activity data for materials (BOM), production energy, transport distances, and use-phase parameters. While illustrative emission factors from generally recognized sources (e.g., Ecoinvent, DEFRA categories) were used for calculation demonstration, a real-world assessment would involve direct database queries for specific material types, transport routes, and energy mixes to achieve the highest level of accuracy. The 2026 GHG Protocol updates emphasize mandatory data disaggregation by source type (primary vs. secondary), which would further improve data quality in a full implementation.</w:t>
      </w:r>
    </w:p>
    <w:p>
      <w:pPr>
        <w:pStyle w:val="BodyText"/>
      </w:pPr>
      <w:r>
        <w:t xml:space="preserve">The incorporation of circular economy initiatives, such as an 80% recyclability rate and active take-back programs, demonstrates</w:t>
      </w:r>
      <w:r>
        <w:t xml:space="preserve"> </w:t>
      </w:r>
      <w:r>
        <w:rPr>
          <w:bCs/>
          <w:b/>
        </w:rPr>
        <w:t xml:space="preserve">ynewjngrjr</w:t>
      </w:r>
      <w:r>
        <w:t xml:space="preserve">\'s commitment to reducing end-of-life impacts, resulting in a net carbon credit for this stage and effectively reducing the overall product footprint.</w:t>
      </w:r>
    </w:p>
    <w:p>
      <w:r>
        <w:pict>
          <v:rect style="width:0;height:1.5pt" o:hralign="center" o:hrstd="t" o:hr="t"/>
        </w:pict>
      </w:r>
    </w:p>
    <w:bookmarkEnd w:id="47"/>
    <w:bookmarkEnd w:id="48"/>
    <w:bookmarkStart w:id="50" w:name="recommendations-for-emission-reduction"/>
    <w:p>
      <w:pPr>
        <w:pStyle w:val="Heading2"/>
      </w:pPr>
      <w:r>
        <w:t xml:space="preserve">6. Recommendations for Emission Reduction</w:t>
      </w:r>
    </w:p>
    <w:p>
      <w:pPr>
        <w:pStyle w:val="FirstParagraph"/>
      </w:pPr>
      <w:r>
        <w:t xml:space="preserve">Based on this PCF analysis,</w:t>
      </w:r>
      <w:r>
        <w:t xml:space="preserve"> </w:t>
      </w:r>
      <w:r>
        <w:rPr>
          <w:bCs/>
          <w:b/>
        </w:rPr>
        <w:t xml:space="preserve">ynewjngrjr</w:t>
      </w:r>
      <w:r>
        <w:t xml:space="preserve"> </w:t>
      </w:r>
      <w:r>
        <w:t xml:space="preserve">should consider the following strategies to reduce the carbon footprint of</w:t>
      </w:r>
      <w:r>
        <w:t xml:space="preserve"> </w:t>
      </w:r>
      <w:r>
        <w:rPr>
          <w:bCs/>
          <w:b/>
        </w:rPr>
        <w:t xml:space="preserve">yrnvotumue</w:t>
      </w:r>
      <w:r>
        <w:t xml:space="preserve">:</w:t>
      </w:r>
    </w:p>
    <w:p>
      <w:pPr>
        <w:numPr>
          <w:ilvl w:val="0"/>
          <w:numId w:val="1020"/>
        </w:numPr>
        <w:pStyle w:val="Compact"/>
      </w:pPr>
      <w:r>
        <w:rPr>
          <w:bCs/>
          <w:b/>
        </w:rPr>
        <w:t xml:space="preserve">Optimise Use Phase:</w:t>
      </w:r>
      <w:r>
        <w:t xml:space="preserve"> </w:t>
      </w:r>
      <w:r>
        <w:t xml:space="preserve">Invest in Research &amp; Development for more energy-efficient product designs to significantly reduce energy consumption during the product\'s lifespan. Explore options for bundling renewable energy solutions or offering carbon offset programs for the product\'s use phase to mitigate these dominant emissions.</w:t>
      </w:r>
    </w:p>
    <w:p>
      <w:pPr>
        <w:numPr>
          <w:ilvl w:val="0"/>
          <w:numId w:val="1020"/>
        </w:numPr>
        <w:pStyle w:val="Compact"/>
      </w:pPr>
      <w:r>
        <w:rPr>
          <w:bCs/>
          <w:b/>
        </w:rPr>
        <w:t xml:space="preserve">Enhance Material Circularity:</w:t>
      </w:r>
      <w:r>
        <w:t xml:space="preserve"> </w:t>
      </w:r>
      <w:r>
        <w:t xml:space="preserve">Increase the use of recycled content in product materials, particularly for high-impact components like aluminum and plastics, beyond the current recyclability targets. Engage with suppliers to promote and source materials with lower embodied carbon.</w:t>
      </w:r>
    </w:p>
    <w:p>
      <w:pPr>
        <w:numPr>
          <w:ilvl w:val="0"/>
          <w:numId w:val="1020"/>
        </w:numPr>
        <w:pStyle w:val="Compact"/>
      </w:pPr>
      <w:r>
        <w:rPr>
          <w:bCs/>
          <w:b/>
        </w:rPr>
        <w:t xml:space="preserve">Accelerate Renewable Energy in Production:</w:t>
      </w:r>
      <w:r>
        <w:t xml:space="preserve"> </w:t>
      </w:r>
      <w:r>
        <w:t xml:space="preserve">Aim for 100% renewable electricity in manufacturing operations in China to further reduce Scope 2 emissions. This could involve direct renewable energy procurement or investing in renewable energy projects.</w:t>
      </w:r>
    </w:p>
    <w:p>
      <w:pPr>
        <w:numPr>
          <w:ilvl w:val="0"/>
          <w:numId w:val="1020"/>
        </w:numPr>
        <w:pStyle w:val="Compact"/>
      </w:pPr>
      <w:r>
        <w:rPr>
          <w:bCs/>
          <w:b/>
        </w:rPr>
        <w:t xml:space="preserve">Strengthen Supply Chain Engagement:</w:t>
      </w:r>
      <w:r>
        <w:t xml:space="preserve"> </w:t>
      </w:r>
      <w:r>
        <w:t xml:space="preserve">Collaborate closely with raw material and component suppliers to understand and reduce their embodied emissions (Scope 3, Category 1). This includes encouraging suppliers to adopt more sustainable manufacturing processes and providing incentives for lower carbon inputs.</w:t>
      </w:r>
    </w:p>
    <w:p>
      <w:pPr>
        <w:numPr>
          <w:ilvl w:val="0"/>
          <w:numId w:val="1020"/>
        </w:numPr>
        <w:pStyle w:val="Compact"/>
      </w:pPr>
      <w:r>
        <w:rPr>
          <w:bCs/>
          <w:b/>
        </w:rPr>
        <w:t xml:space="preserve">Improve Logistics Efficiency:</w:t>
      </w:r>
      <w:r>
        <w:t xml:space="preserve"> </w:t>
      </w:r>
      <w:r>
        <w:t xml:space="preserve">Optimize transport routes and modes, prioritizing lower-emission options like sea or rail freight over air freight where feasible for long distances. Investigate and implement electric vehicles or other low-carbon alternatives for last-mile delivery, especially within the Europe-focused supply chain.</w:t>
      </w:r>
    </w:p>
    <w:p>
      <w:pPr>
        <w:pStyle w:val="FirstParagraph"/>
      </w:pPr>
      <w:r>
        <w:t xml:space="preserve">Confidential - Internal Use Only | Page</w:t>
      </w:r>
      <w:r>
        <w:t xml:space="preserve"> </w:t>
      </w:r>
      <w:bookmarkStart w:id="49" w:name="pageNumber"/>
      <w:bookmarkEnd w:id="49"/>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yrnvotumue</dc:title>
  <dc:creator/>
  <dc:description>High-detail Product Carbon Footprint (PCF) analysis for yrnvotumue, conducted by yvuvhvwmxe, Senior Sustainability Consultant, adhering to GHG Protocol and 2026 updates for ynewjngrjr.</dc:description>
  <dc:language>en</dc:language>
  <cp:keywords/>
  <dcterms:created xsi:type="dcterms:W3CDTF">2026-07-15T17:54:35Z</dcterms:created>
  <dcterms:modified xsi:type="dcterms:W3CDTF">2026-07-15T17:54:35Z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