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yrmffsoqkw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yrmffsoqkw</w:t>
      </w:r>
    </w:p>
    <w:p>
      <w:pPr>
        <w:pStyle w:val="BodyText"/>
      </w:pPr>
      <w:r>
        <w:rPr>
          <w:bCs/>
          <w:b/>
        </w:rPr>
        <w:t xml:space="preserve">Company:</w:t>
      </w:r>
      <w:r>
        <w:t xml:space="preserve"> </w:t>
      </w:r>
      <w:r>
        <w:t xml:space="preserve">frtserimtu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lqsmrfqeri</w:t>
      </w:r>
    </w:p>
    <w:p>
      <w:pPr>
        <w:pStyle w:val="BodyText"/>
      </w:pPr>
      <w:r>
        <w:t xml:space="preserve">This report is generated based on available data and industry standards, providing an estimate of the product\'s carbon footprint.</w:t>
      </w:r>
    </w:p>
    <w:bookmarkEnd w:id="20"/>
    <w:bookmarkStart w:id="21" w:name="product-carbon-footprint-analysis"/>
    <w:p>
      <w:pPr>
        <w:pStyle w:val="Heading1"/>
      </w:pPr>
      <w:r>
        <w:t xml:space="preserve">Product Carbon Footprint Analysis</w:t>
      </w:r>
    </w:p>
    <w:p>
      <w:pPr>
        <w:pStyle w:val="FirstParagraph"/>
      </w:pPr>
      <w:r>
        <w:t xml:space="preserve">Product: yrmffsoqkw | 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yrmffsoqkw, manufactured by frtserimtu. The analysis adheres strictly to the GHG Protocol standards, with lqsmrfqeri serving as the Senior Sustainability Consultant. The assessment covers the entire lifecycle of the product, from raw material extraction to end-of-life, within a factory-gate system boundary for direct manufacturing emissions and a comprehensive Scope 3 analysis for upstream and downstream impacts. The total Product Carbon Footprint for one functional unit of yrmffsoqkw is estimated to be</w:t>
      </w:r>
      <w:r>
        <w:t xml:space="preserve"> </w:t>
      </w:r>
      <w:r>
        <w:rPr>
          <w:bCs/>
          <w:b/>
        </w:rPr>
        <w:t xml:space="preserve">5.41 kgCO2e</w:t>
      </w:r>
      <w:r>
        <w:t xml:space="preserve">.</w:t>
      </w:r>
    </w:p>
    <w:p>
      <w:pPr>
        <w:pStyle w:val="BodyText"/>
      </w:pPr>
      <w:r>
        <w:t xml:space="preserve">Key emission hotspots identified include the manufacturing energy consumption (Scope 2), the use phase due to electricity consumption over the product\'s lifespan (Scope 3), and the upstream impact of raw materials (Scope 3). Strategic recommendations for emission reduction are provided, focusing on renewable energy adoption, supply chain engagement, and circular economy initiatives.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for yrmffsoqkw follows the five-step methodology prescribed by the GHG Protocol. The objective is to quantify the total greenhouse gas (GHG) emissions associated with the product throughout its lifecycle, expressed in kilograms of carbon dioxide equivalent (kgCO2e).</w:t>
      </w:r>
    </w:p>
    <w:bookmarkStart w:id="23" w:name="accounting-standard"/>
    <w:p>
      <w:pPr>
        <w:pStyle w:val="Heading3"/>
      </w:pPr>
      <w:r>
        <w:t xml:space="preserve">1.1. Accounting Standard</w:t>
      </w:r>
    </w:p>
    <w:p>
      <w:pPr>
        <w:numPr>
          <w:ilvl w:val="0"/>
          <w:numId w:val="1001"/>
        </w:numPr>
        <w:pStyle w:val="Compact"/>
      </w:pPr>
      <w:r>
        <w:t xml:space="preserve">**GHG Protocol:** This analysis explicitly adheres to the Greenhouse Gas Protocol\'s Product Life Cycle Accounting and Reporting Standard. Emissions are categorized into Scope 1 (direct emissions), Scope 2 (indirect emissions from purchased energy), and Scope 3 (all other indirect emissions in the value chain, both upstream and downstream). Compliance with 2026 requirements, including a target of at least 95% coverage for Scope 3 reporting, is a core principle of this assessment.</w:t>
      </w:r>
    </w:p>
    <w:p>
      <w:pPr>
        <w:numPr>
          <w:ilvl w:val="0"/>
          <w:numId w:val="1001"/>
        </w:numPr>
        <w:pStyle w:val="Compact"/>
      </w:pPr>
      <w:r>
        <w:t xml:space="preserve">**2026 LSR Update:** The GHG Protocol\'s Land Sector and Removals (LSR) Standard, effective January 1, 2027, is considered. While yrmffsoqkw is assumed to be an industrial product without direct land-use change in its primary production, the LSR Standard is acknowledged for its relevance to companies with significant land sector activities or those reporting CO2 removals. Its implications for the broader supply chain (e.g., if bio-based materials were used) would be assessed in such cases.</w:t>
      </w:r>
    </w:p>
    <w:bookmarkEnd w:id="23"/>
    <w:bookmarkStart w:id="24" w:name="functional-unit"/>
    <w:p>
      <w:pPr>
        <w:pStyle w:val="Heading3"/>
      </w:pPr>
      <w:r>
        <w:t xml:space="preserve">1.2. Functional Unit</w:t>
      </w:r>
    </w:p>
    <w:p>
      <w:pPr>
        <w:numPr>
          <w:ilvl w:val="0"/>
          <w:numId w:val="1002"/>
        </w:numPr>
        <w:pStyle w:val="Compact"/>
      </w:pPr>
      <w:r>
        <w:t xml:space="preserve">The functional unit for this PCF analysis is defined as</w:t>
      </w:r>
      <w:r>
        <w:t xml:space="preserve"> </w:t>
      </w:r>
      <w:r>
        <w:rPr>
          <w:bCs/>
          <w:b/>
        </w:rPr>
        <w:t xml:space="preserve">1.0 unit of yrmffsoqkw</w:t>
      </w:r>
      <w:r>
        <w:t xml:space="preserve">. This unit serves as the reference basis for quantifying all environmental impacts.</w:t>
      </w:r>
    </w:p>
    <w:bookmarkEnd w:id="24"/>
    <w:bookmarkStart w:id="25" w:name="system-boundary"/>
    <w:p>
      <w:pPr>
        <w:pStyle w:val="Heading3"/>
      </w:pPr>
      <w:r>
        <w:t xml:space="preserve">1.3. System Boundary</w:t>
      </w:r>
    </w:p>
    <w:p>
      <w:pPr>
        <w:numPr>
          <w:ilvl w:val="0"/>
          <w:numId w:val="1003"/>
        </w:numPr>
        <w:pStyle w:val="Compact"/>
      </w:pPr>
      <w:r>
        <w:t xml:space="preserve">The system boundary for this PCF is defined as</w:t>
      </w:r>
      <w:r>
        <w:t xml:space="preserve"> </w:t>
      </w:r>
      <w:r>
        <w:rPr>
          <w:bCs/>
          <w:b/>
        </w:rPr>
        <w:t xml:space="preserve">"factory_gate"</w:t>
      </w:r>
      <w:r>
        <w:t xml:space="preserve"> </w:t>
      </w:r>
      <w:r>
        <w:t xml:space="preserve">for direct operational emissions, but extends to a "cradle-to-grave" approach for comprehensive value chain analysis, encompassing all significant lifecycle stages. This includes raw material acquisition, manufacturing, transportation, use phase, and end-of-life.</w:t>
      </w:r>
    </w:p>
    <w:bookmarkEnd w:id="25"/>
    <w:bookmarkStart w:id="26" w:name="geographic-scope"/>
    <w:p>
      <w:pPr>
        <w:pStyle w:val="Heading3"/>
      </w:pPr>
      <w:r>
        <w:t xml:space="preserve">1.4. Geographic Scope</w:t>
      </w:r>
    </w:p>
    <w:p>
      <w:pPr>
        <w:numPr>
          <w:ilvl w:val="0"/>
          <w:numId w:val="1004"/>
        </w:numPr>
        <w:pStyle w:val="Compact"/>
      </w:pPr>
      <w:r>
        <w:t xml:space="preserve">**Final Production Country:** China</w:t>
      </w:r>
    </w:p>
    <w:p>
      <w:pPr>
        <w:numPr>
          <w:ilvl w:val="0"/>
          <w:numId w:val="1004"/>
        </w:numPr>
        <w:pStyle w:val="Compact"/>
      </w:pPr>
      <w:r>
        <w:t xml:space="preserve">**Supply Chain Focus:** Europe Focused (implying product usage and potentially some upstream material sourcing/distribution channels related to Europe).</w:t>
      </w:r>
    </w:p>
    <w:bookmarkEnd w:id="26"/>
    <w:bookmarkStart w:id="27" w:name="allocation"/>
    <w:p>
      <w:pPr>
        <w:pStyle w:val="Heading3"/>
      </w:pPr>
      <w:r>
        <w:t xml:space="preserve">1.5. Allocation</w:t>
      </w:r>
    </w:p>
    <w:p>
      <w:pPr>
        <w:pStyle w:val="FirstParagraph"/>
      </w:pPr>
      <w:r>
        <w:t xml:space="preserve">Allocation of environmental impacts for co-products or multi-functional processes has been conducted based on generally accepted principles, primarily mass-based or economic allocation where data allows. For this product-specific PCF, direct attributional accounting is prioritized.</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The lifecycle of yrmffsoqkw has been mapped into distinct stages, and data has been collected from both primary (provided parameters) and secondary (industry-standard emission factors) sources.</w:t>
      </w:r>
    </w:p>
    <w:bookmarkStart w:id="29" w:name="Xe227f7b05c0b30ba5b6939bd28c3e502b8231ed"/>
    <w:p>
      <w:pPr>
        <w:pStyle w:val="Heading3"/>
      </w:pPr>
      <w:r>
        <w:t xml:space="preserve">2.1. Detailed Bill of Materials (BOM) - zdtstgjj</w:t>
      </w:r>
    </w:p>
    <w:p>
      <w:pPr>
        <w:pStyle w:val="FirstParagraph"/>
      </w:pPr>
      <w:r>
        <w:t xml:space="preserve">The following detailed Bill of Materials (BOM) provides a high-accuracy material impact calculation for yrmffsoqkw. The \'Total Carbon\' values represent the cradle-to-gate emissions for each material, including extraction, processing, and initial transport to the manufacturing facility. These values are directly incorporated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1002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1003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1004</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Battery Production</w:t>
            </w:r>
          </w:p>
        </w:tc>
        <w:tc>
          <w:tcPr/>
          <w:p>
            <w:pPr>
              <w:pStyle w:val="Compact"/>
              <w:jc w:val="left"/>
            </w:pPr>
            <w:r>
              <w:t xml:space="preserve">0.015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1005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0.030</w:t>
            </w:r>
          </w:p>
        </w:tc>
      </w:tr>
      <w:tr>
        <w:tc>
          <w:tcPr/>
          <w:p>
            <w:pPr>
              <w:pStyle w:val="Compact"/>
              <w:jc w:val="left"/>
            </w:pPr>
            <w:r>
              <w:t xml:space="preserve">1006</w:t>
            </w:r>
          </w:p>
        </w:tc>
        <w:tc>
          <w:tcPr/>
          <w:p>
            <w:pPr>
              <w:pStyle w:val="Compact"/>
              <w:jc w:val="left"/>
            </w:pPr>
            <w:r>
              <w:t xml:space="preserve">Solder</w:t>
            </w:r>
          </w:p>
        </w:tc>
        <w:tc>
          <w:tcPr/>
          <w:p>
            <w:pPr>
              <w:pStyle w:val="Compact"/>
              <w:jc w:val="left"/>
            </w:pPr>
            <w:r>
              <w:t xml:space="preserve">Metals</w:t>
            </w:r>
          </w:p>
        </w:tc>
        <w:tc>
          <w:tcPr/>
          <w:p>
            <w:pPr>
              <w:pStyle w:val="Compact"/>
              <w:jc w:val="left"/>
            </w:pPr>
            <w:r>
              <w:t xml:space="preserve">Soldering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0.020</w:t>
            </w:r>
          </w:p>
        </w:tc>
      </w:tr>
      <w:tr>
        <w:tc>
          <w:tcPr>
            <w:gridSpan w:val="7"/>
          </w:tcPr>
          <w:p>
            <w:pPr>
              <w:pStyle w:val="Compact"/>
              <w:jc w:val="right"/>
            </w:pPr>
            <w:r>
              <w:rPr>
                <w:bCs/>
                <w:b/>
              </w:rPr>
              <w:t xml:space="preserve">Subtotal Material Carbon Footprint (Scope 3 - Upstream):</w:t>
            </w:r>
          </w:p>
        </w:tc>
        <w:tc>
          <w:tcPr/>
          <w:p>
            <w:pPr>
              <w:pStyle w:val="Compact"/>
              <w:jc w:val="left"/>
            </w:pPr>
            <w:r>
              <w:rPr>
                <w:bCs/>
                <w:b/>
              </w:rPr>
              <w:t xml:space="preserve">1.400 kgCO2e</w:t>
            </w:r>
          </w:p>
        </w:tc>
      </w:tr>
    </w:tbl>
    <w:p>
      <w:pPr>
        <w:pStyle w:val="BodyText"/>
      </w:pPr>
      <w:r>
        <w:rPr>
          <w:iCs/>
          <w:i/>
        </w:rPr>
        <w:t xml:space="preserve">Note on Emission Factors: The Emission Factors and Total Carbon values for BOM items are taken as provided, representing high-accuracy material impact data for the specific processes and materials. Industry benchmarks suggest a range for these categories (e.g., plastic injection molding can be around 1-4 kgCO2e/kg, PCB manufacturing from 30-185 kgCO2e/kg depending on complexity and components, Li-ion battery production around 8-25 kgCO2e/kg for typical energy densities, and copper wire 0.005-41.8 kgCO2e/kg depending on scope). Solder can be around 2-10 kgCO2e/kg. The provided values are within a plausible range based on such industry data.</w:t>
      </w:r>
    </w:p>
    <w:bookmarkEnd w:id="29"/>
    <w:bookmarkStart w:id="30" w:name="manufacturing-energy-inputs"/>
    <w:p>
      <w:pPr>
        <w:pStyle w:val="Heading3"/>
      </w:pPr>
      <w:r>
        <w:t xml:space="preserve">2.2. Manufacturing Energy Inputs</w:t>
      </w:r>
    </w:p>
    <w:p>
      <w:pPr>
        <w:numPr>
          <w:ilvl w:val="0"/>
          <w:numId w:val="1005"/>
        </w:numPr>
        <w:pStyle w:val="Compact"/>
      </w:pPr>
      <w:r>
        <w:t xml:space="preserve">**Energy Intensity (jqxxlzwnww):** 5.0 kWh/unit</w:t>
      </w:r>
    </w:p>
    <w:p>
      <w:pPr>
        <w:numPr>
          <w:ilvl w:val="0"/>
          <w:numId w:val="1005"/>
        </w:numPr>
        <w:pStyle w:val="Compact"/>
      </w:pPr>
      <w:r>
        <w:t xml:space="preserve">**Renewable Energy Usage (tifvuordps):** 70% of manufacturing energy is sourced from renewable energy.</w:t>
      </w:r>
    </w:p>
    <w:p>
      <w:pPr>
        <w:numPr>
          <w:ilvl w:val="0"/>
          <w:numId w:val="1005"/>
        </w:numPr>
        <w:pStyle w:val="Compact"/>
      </w:pPr>
      <w:r>
        <w:t xml:space="preserve">**Non-renewable Energy:** 30% of manufacturing energy.</w:t>
      </w:r>
    </w:p>
    <w:p>
      <w:pPr>
        <w:numPr>
          <w:ilvl w:val="0"/>
          <w:numId w:val="1005"/>
        </w:numPr>
        <w:pStyle w:val="Compact"/>
      </w:pPr>
      <w:r>
        <w:t xml:space="preserve">**Emission Factor (China Grid Mix):** 0.60 kgCO2e/kWh for non-renewable electricity.</w:t>
      </w:r>
    </w:p>
    <w:bookmarkEnd w:id="30"/>
    <w:bookmarkStart w:id="31" w:name="transport-logistics"/>
    <w:p>
      <w:pPr>
        <w:pStyle w:val="Heading3"/>
      </w:pPr>
      <w:r>
        <w:t xml:space="preserve">2.3. Transport Logistics</w:t>
      </w:r>
    </w:p>
    <w:p>
      <w:pPr>
        <w:numPr>
          <w:ilvl w:val="0"/>
          <w:numId w:val="1006"/>
        </w:numPr>
        <w:pStyle w:val="Compact"/>
      </w:pPr>
      <w:r>
        <w:t xml:space="preserve">**Product Mass for Transport:** 0.1 kg/unit (estimated based on BOM quantities).</w:t>
      </w:r>
    </w:p>
    <w:p>
      <w:pPr>
        <w:numPr>
          <w:ilvl w:val="0"/>
          <w:numId w:val="1006"/>
        </w:numPr>
        <w:pStyle w:val="Compact"/>
      </w:pPr>
      <w:r>
        <w:t xml:space="preserve">**Main Transport Mode (Select Mode):** Sea Freight (Asia to Europe)</w:t>
      </w:r>
    </w:p>
    <w:p>
      <w:pPr>
        <w:numPr>
          <w:ilvl w:val="0"/>
          <w:numId w:val="1006"/>
        </w:numPr>
        <w:pStyle w:val="Compact"/>
      </w:pPr>
      <w:r>
        <w:t xml:space="preserve">**Main Transport Distance (mvewskwpyu):** 15,000 km</w:t>
      </w:r>
    </w:p>
    <w:p>
      <w:pPr>
        <w:numPr>
          <w:ilvl w:val="0"/>
          <w:numId w:val="1006"/>
        </w:numPr>
        <w:pStyle w:val="Compact"/>
      </w:pPr>
      <w:r>
        <w:t xml:space="preserve">**Sea Freight Emission Factor:** 0.010 kgCO2e/tkm.</w:t>
      </w:r>
    </w:p>
    <w:p>
      <w:pPr>
        <w:numPr>
          <w:ilvl w:val="0"/>
          <w:numId w:val="1006"/>
        </w:numPr>
        <w:pStyle w:val="Compact"/>
      </w:pPr>
      <w:r>
        <w:t xml:space="preserve">**Regional Transport Mode:** Truck (within Europe)</w:t>
      </w:r>
    </w:p>
    <w:p>
      <w:pPr>
        <w:numPr>
          <w:ilvl w:val="0"/>
          <w:numId w:val="1006"/>
        </w:numPr>
        <w:pStyle w:val="Compact"/>
      </w:pPr>
      <w:r>
        <w:t xml:space="preserve">**Regional Transport Distance:** 1,000 km</w:t>
      </w:r>
    </w:p>
    <w:p>
      <w:pPr>
        <w:numPr>
          <w:ilvl w:val="0"/>
          <w:numId w:val="1006"/>
        </w:numPr>
        <w:pStyle w:val="Compact"/>
      </w:pPr>
      <w:r>
        <w:t xml:space="preserve">**Truck Emission Factor:** 0.07 kgCO2e/tkm.</w:t>
      </w:r>
    </w:p>
    <w:p>
      <w:pPr>
        <w:numPr>
          <w:ilvl w:val="0"/>
          <w:numId w:val="1006"/>
        </w:numPr>
        <w:pStyle w:val="Compact"/>
      </w:pPr>
      <w:r>
        <w:t xml:space="preserve">**Last-Mile Delivery Channel (Delivery Type):** Parcel Courier (Van)</w:t>
      </w:r>
    </w:p>
    <w:p>
      <w:pPr>
        <w:numPr>
          <w:ilvl w:val="0"/>
          <w:numId w:val="1006"/>
        </w:numPr>
        <w:pStyle w:val="Compact"/>
      </w:pPr>
      <w:r>
        <w:t xml:space="preserve">**Last-Mile Delivery Distance:** 50 km (estimated)</w:t>
      </w:r>
    </w:p>
    <w:p>
      <w:pPr>
        <w:numPr>
          <w:ilvl w:val="0"/>
          <w:numId w:val="1006"/>
        </w:numPr>
        <w:pStyle w:val="Compact"/>
      </w:pPr>
      <w:r>
        <w:t xml:space="preserve">**Parcel Van Emission Factor:** 0.20 kgCO2e/tkm (estimated, higher due to lower load factors).</w:t>
      </w:r>
    </w:p>
    <w:bookmarkEnd w:id="31"/>
    <w:bookmarkStart w:id="32" w:name="use-phase-parameters"/>
    <w:p>
      <w:pPr>
        <w:pStyle w:val="Heading3"/>
      </w:pPr>
      <w:r>
        <w:t xml:space="preserve">2.4. Use Phase Parameters</w:t>
      </w:r>
    </w:p>
    <w:p>
      <w:pPr>
        <w:numPr>
          <w:ilvl w:val="0"/>
          <w:numId w:val="1007"/>
        </w:numPr>
        <w:pStyle w:val="Compact"/>
      </w:pPr>
      <w:r>
        <w:t xml:space="preserve">**Product Lifespan (hrmwdelogm):** 5 years (1825 days)</w:t>
      </w:r>
    </w:p>
    <w:p>
      <w:pPr>
        <w:numPr>
          <w:ilvl w:val="0"/>
          <w:numId w:val="1007"/>
        </w:numPr>
        <w:pStyle w:val="Compact"/>
      </w:pPr>
      <w:r>
        <w:t xml:space="preserve">**Energy Consumption in Use (pwndzfydpz):** 0.005 kWh/day</w:t>
      </w:r>
    </w:p>
    <w:p>
      <w:pPr>
        <w:numPr>
          <w:ilvl w:val="0"/>
          <w:numId w:val="1007"/>
        </w:numPr>
        <w:pStyle w:val="Compact"/>
      </w:pPr>
      <w:r>
        <w:t xml:space="preserve">**Emission Factor (Europe Grid Mix):** 0.35 kgCO2e/kWh (for electricity consumed during use phase, assuming primary market in Europe).</w:t>
      </w:r>
    </w:p>
    <w:bookmarkEnd w:id="32"/>
    <w:bookmarkStart w:id="33" w:name="end-of-life-eol-scenarios"/>
    <w:p>
      <w:pPr>
        <w:pStyle w:val="Heading3"/>
      </w:pPr>
      <w:r>
        <w:t xml:space="preserve">2.5. End-of-Life (EoL) Scenarios</w:t>
      </w:r>
    </w:p>
    <w:p>
      <w:pPr>
        <w:numPr>
          <w:ilvl w:val="0"/>
          <w:numId w:val="1008"/>
        </w:numPr>
        <w:pStyle w:val="Compact"/>
      </w:pPr>
      <w:r>
        <w:t xml:space="preserve">**Recyclability Percentage (mkzquggxho):** 80% (by mass)</w:t>
      </w:r>
    </w:p>
    <w:p>
      <w:pPr>
        <w:numPr>
          <w:ilvl w:val="0"/>
          <w:numId w:val="1008"/>
        </w:numPr>
        <w:pStyle w:val="Compact"/>
      </w:pPr>
      <w:r>
        <w:t xml:space="preserve">**Circular/Take-back Programs (mlxtwgnjjd):** Yes, established collection and recycling program.</w:t>
      </w:r>
    </w:p>
    <w:p>
      <w:pPr>
        <w:numPr>
          <w:ilvl w:val="0"/>
          <w:numId w:val="1008"/>
        </w:numPr>
        <w:pStyle w:val="Compact"/>
      </w:pPr>
      <w:r>
        <w:t xml:space="preserve">**EoL Impact:** A net credit is applied due to high recyclability, acknowledging avoided emissions from virgin material production.</w:t>
      </w:r>
    </w:p>
    <w:p>
      <w:r>
        <w:pict>
          <v:rect style="width:0;height:1.5pt" o:hralign="center" o:hrstd="t" o:hr="t"/>
        </w:pict>
      </w:r>
    </w:p>
    <w:bookmarkEnd w:id="33"/>
    <w:bookmarkEnd w:id="34"/>
    <w:bookmarkStart w:id="41" w:name="emissions-calculation-and-categorization"/>
    <w:p>
      <w:pPr>
        <w:pStyle w:val="Heading2"/>
      </w:pPr>
      <w:r>
        <w:t xml:space="preserve">3. Emissions Calculation and Categorization</w:t>
      </w:r>
    </w:p>
    <w:p>
      <w:pPr>
        <w:pStyle w:val="FirstParagraph"/>
      </w:pPr>
      <w:r>
        <w:t xml:space="preserve">Emissions are calculated for each lifecycle stage (Activity * Emission Factor = CO2e) and categorized according to the GHG Protocol\'s Scope 1, Scope 2, and Scope 3 definitions.</w:t>
      </w:r>
    </w:p>
    <w:bookmarkStart w:id="35" w:name="scope-1-emissions-direct-emissions"/>
    <w:p>
      <w:pPr>
        <w:pStyle w:val="Heading3"/>
      </w:pPr>
      <w:r>
        <w:t xml:space="preserve">3.1. Scope 1 Emissions (Direct Emissions)</w:t>
      </w:r>
    </w:p>
    <w:p>
      <w:pPr>
        <w:pStyle w:val="FirstParagraph"/>
      </w:pPr>
      <w:r>
        <w:t xml:space="preserve">Scope 1 emissions arise from sources owned or controlled by frtserimtu. For the manufacturing of yrmffsoqkw, direct on-site fuel combustion or process emissions are assumed to be negligible or are accounted for within the purchased materials\' cradle-to-gate footprint, unless specifically identified. Therefore, no significant Scope 1 emissions are directly attributed to the product manufacturing process in this analysis beyond what is embedded in material EFs.</w:t>
      </w:r>
    </w:p>
    <w:bookmarkEnd w:id="35"/>
    <w:bookmarkStart w:id="36" w:name="scope-2-emissions-purchased-energy"/>
    <w:p>
      <w:pPr>
        <w:pStyle w:val="Heading3"/>
      </w:pPr>
      <w:r>
        <w:t xml:space="preserve">3.2. Scope 2 Emissions (Purchased Energy)</w:t>
      </w:r>
    </w:p>
    <w:p>
      <w:pPr>
        <w:pStyle w:val="FirstParagraph"/>
      </w:pPr>
      <w:r>
        <w:t xml:space="preserve">Scope 2 emissions are indirect GHG emissions from the generation of purchased electricity consumed by frtserimtu\'s manufacturing operations.</w:t>
      </w:r>
    </w:p>
    <w:p>
      <w:pPr>
        <w:numPr>
          <w:ilvl w:val="0"/>
          <w:numId w:val="1009"/>
        </w:numPr>
        <w:pStyle w:val="Compact"/>
      </w:pPr>
      <w:r>
        <w:t xml:space="preserve">Total Energy Intensity: 5.0 kWh/unit</w:t>
      </w:r>
    </w:p>
    <w:p>
      <w:pPr>
        <w:numPr>
          <w:ilvl w:val="0"/>
          <w:numId w:val="1009"/>
        </w:numPr>
        <w:pStyle w:val="Compact"/>
      </w:pPr>
      <w:r>
        <w:t xml:space="preserve">Renewable Energy Usage: 70% (3.5 kWh) - assumed zero emissions at point of consumption.</w:t>
      </w:r>
    </w:p>
    <w:p>
      <w:pPr>
        <w:numPr>
          <w:ilvl w:val="0"/>
          <w:numId w:val="1009"/>
        </w:numPr>
        <w:pStyle w:val="Compact"/>
      </w:pPr>
      <w:r>
        <w:t xml:space="preserve">Non-Renewable Energy: 30% (1.5 kWh)</w:t>
      </w:r>
    </w:p>
    <w:p>
      <w:pPr>
        <w:numPr>
          <w:ilvl w:val="0"/>
          <w:numId w:val="1009"/>
        </w:numPr>
        <w:pStyle w:val="Compact"/>
      </w:pPr>
      <w:r>
        <w:t xml:space="preserve">China Grid Emission Factor: 0.60 kgCO2e/kWh</w:t>
      </w:r>
    </w:p>
    <w:p>
      <w:pPr>
        <w:numPr>
          <w:ilvl w:val="0"/>
          <w:numId w:val="1009"/>
        </w:numPr>
        <w:pStyle w:val="Compact"/>
      </w:pPr>
      <w:r>
        <w:rPr>
          <w:bCs/>
          <w:b/>
        </w:rPr>
        <w:t xml:space="preserve">Calculation:</w:t>
      </w:r>
      <w:r>
        <w:t xml:space="preserve"> </w:t>
      </w:r>
      <w:r>
        <w:t xml:space="preserve">1.5 kWh/unit * 0.60 kgCO2e/kWh = 0.90 kgCO2e/unit</w:t>
      </w:r>
    </w:p>
    <w:p>
      <w:pPr>
        <w:numPr>
          <w:ilvl w:val="0"/>
          <w:numId w:val="1009"/>
        </w:numPr>
        <w:pStyle w:val="Compact"/>
      </w:pPr>
      <w:r>
        <w:rPr>
          <w:bCs/>
          <w:b/>
        </w:rPr>
        <w:t xml:space="preserve">Total Scope 2 Emissions: 0.90 kgCO2e</w:t>
      </w:r>
    </w:p>
    <w:bookmarkEnd w:id="36"/>
    <w:bookmarkStart w:id="39" w:name="scope-3-emissions-value-chain-emissions"/>
    <w:p>
      <w:pPr>
        <w:pStyle w:val="Heading3"/>
      </w:pPr>
      <w:r>
        <w:t xml:space="preserve">3.3. Scope 3 Emissions (Value Chain Emissions)</w:t>
      </w:r>
    </w:p>
    <w:p>
      <w:pPr>
        <w:pStyle w:val="FirstParagraph"/>
      </w:pPr>
      <w:r>
        <w:t xml:space="preserve">Scope 3 emissions encompass all other indirect emissions upstream and downstream in the value chain, representing the most significant portion of the product\'s footprint. The analysis aims for at least 95% coverage as per 2026 requirements.</w:t>
      </w:r>
    </w:p>
    <w:bookmarkStart w:id="37" w:name="Xce74424e9dd88bd1f6a8284aae36e998d200d07"/>
    <w:p>
      <w:pPr>
        <w:pStyle w:val="Heading4"/>
      </w:pPr>
      <w:r>
        <w:t xml:space="preserve">3.3.1. Upstream Emissions (Category 1: Purchased Goods &amp; Services, Category 4: Upstream Transportation &amp; Distribution)</w:t>
      </w:r>
    </w:p>
    <w:p>
      <w:pPr>
        <w:numPr>
          <w:ilvl w:val="0"/>
          <w:numId w:val="1010"/>
        </w:numPr>
        <w:pStyle w:val="Compact"/>
      </w:pPr>
      <w:r>
        <w:rPr>
          <w:bCs/>
          <w:b/>
        </w:rPr>
        <w:t xml:space="preserve">Materials (from zdtstgjj BOM):</w:t>
      </w:r>
      <w:r>
        <w:t xml:space="preserve"> </w:t>
      </w:r>
      <w:r>
        <w:t xml:space="preserve">The \'Total Carbon\' values provided in the BOM directly reflect the cradle-to-gate emissions for each material, including extraction, processing, and primary transport.</w:t>
      </w:r>
    </w:p>
    <w:p>
      <w:pPr>
        <w:numPr>
          <w:ilvl w:val="1"/>
          <w:numId w:val="1011"/>
        </w:numPr>
        <w:pStyle w:val="Compact"/>
      </w:pPr>
      <w:r>
        <w:t xml:space="preserve">Plastic Casing: 0.175 kgCO2e</w:t>
      </w:r>
    </w:p>
    <w:p>
      <w:pPr>
        <w:numPr>
          <w:ilvl w:val="1"/>
          <w:numId w:val="1011"/>
        </w:numPr>
        <w:pStyle w:val="Compact"/>
      </w:pPr>
      <w:r>
        <w:t xml:space="preserve">PCB: 0.300 kgCO2e</w:t>
      </w:r>
    </w:p>
    <w:p>
      <w:pPr>
        <w:numPr>
          <w:ilvl w:val="1"/>
          <w:numId w:val="1011"/>
        </w:numPr>
        <w:pStyle w:val="Compact"/>
      </w:pPr>
      <w:r>
        <w:t xml:space="preserve">Silicon Chip: 0.500 kgCO2e</w:t>
      </w:r>
    </w:p>
    <w:p>
      <w:pPr>
        <w:numPr>
          <w:ilvl w:val="1"/>
          <w:numId w:val="1011"/>
        </w:numPr>
        <w:pStyle w:val="Compact"/>
      </w:pPr>
      <w:r>
        <w:t xml:space="preserve">Lithium-ion Battery: 0.375 kgCO2e</w:t>
      </w:r>
    </w:p>
    <w:p>
      <w:pPr>
        <w:numPr>
          <w:ilvl w:val="1"/>
          <w:numId w:val="1011"/>
        </w:numPr>
        <w:pStyle w:val="Compact"/>
      </w:pPr>
      <w:r>
        <w:t xml:space="preserve">Copper Wire: 0.030 kgCO2e</w:t>
      </w:r>
    </w:p>
    <w:p>
      <w:pPr>
        <w:numPr>
          <w:ilvl w:val="1"/>
          <w:numId w:val="1011"/>
        </w:numPr>
        <w:pStyle w:val="Compact"/>
      </w:pPr>
      <w:r>
        <w:t xml:space="preserve">Solder: 0.020 kgCO2e</w:t>
      </w:r>
    </w:p>
    <w:p>
      <w:pPr>
        <w:numPr>
          <w:ilvl w:val="0"/>
          <w:numId w:val="1000"/>
        </w:numPr>
        <w:pStyle w:val="Compact"/>
      </w:pPr>
      <w:r>
        <w:rPr>
          <w:bCs/>
          <w:b/>
        </w:rPr>
        <w:t xml:space="preserve">Subtotal Material Emissions: 1.400 kgCO2e</w:t>
      </w:r>
    </w:p>
    <w:p>
      <w:pPr>
        <w:numPr>
          <w:ilvl w:val="0"/>
          <w:numId w:val="1010"/>
        </w:numPr>
        <w:pStyle w:val="Compact"/>
      </w:pPr>
      <w:r>
        <w:rPr>
          <w:bCs/>
          <w:b/>
        </w:rPr>
        <w:t xml:space="preserve">Upstream Transport of Finished Product (China to Europe):</w:t>
      </w:r>
    </w:p>
    <w:p>
      <w:pPr>
        <w:numPr>
          <w:ilvl w:val="1"/>
          <w:numId w:val="1012"/>
        </w:numPr>
        <w:pStyle w:val="Compact"/>
      </w:pPr>
      <w:r>
        <w:t xml:space="preserve">Product Mass: 0.1 kg (0.0001 tonnes)</w:t>
      </w:r>
    </w:p>
    <w:p>
      <w:pPr>
        <w:numPr>
          <w:ilvl w:val="1"/>
          <w:numId w:val="1012"/>
        </w:numPr>
        <w:pStyle w:val="Compact"/>
      </w:pPr>
      <w:r>
        <w:t xml:space="preserve">Sea Freight: 0.0001 tonnes * 15,000 km * 0.010 kgCO2e/tkm = 0.015 kgCO2e</w:t>
      </w:r>
    </w:p>
    <w:bookmarkEnd w:id="37"/>
    <w:bookmarkStart w:id="38" w:name="X99c0823a420f1f6639607e4855ed6075faf483c"/>
    <w:p>
      <w:pPr>
        <w:pStyle w:val="Heading4"/>
      </w:pPr>
      <w:r>
        <w:t xml:space="preserve">3.3.2. Downstream Emissions (Category 9: Downstream Transportation &amp; Distribution, Category 11: Use of Sold Products, Category 12: End-of-Life Treatment of Sold Products)</w:t>
      </w:r>
    </w:p>
    <w:p>
      <w:pPr>
        <w:numPr>
          <w:ilvl w:val="0"/>
          <w:numId w:val="1013"/>
        </w:numPr>
        <w:pStyle w:val="Compact"/>
      </w:pPr>
      <w:r>
        <w:rPr>
          <w:bCs/>
          <w:b/>
        </w:rPr>
        <w:t xml:space="preserve">Regional &amp; Last-Mile Delivery:</w:t>
      </w:r>
    </w:p>
    <w:p>
      <w:pPr>
        <w:numPr>
          <w:ilvl w:val="1"/>
          <w:numId w:val="1014"/>
        </w:numPr>
        <w:pStyle w:val="Compact"/>
      </w:pPr>
      <w:r>
        <w:t xml:space="preserve">Truck Transport (within Europe): 0.0001 tonnes * 1,000 km * 0.07 kgCO2e/tkm = 0.007 kgCO2e</w:t>
      </w:r>
    </w:p>
    <w:p>
      <w:pPr>
        <w:numPr>
          <w:ilvl w:val="1"/>
          <w:numId w:val="1014"/>
        </w:numPr>
        <w:pStyle w:val="Compact"/>
      </w:pPr>
      <w:r>
        <w:t xml:space="preserve">Parcel Van (Last-Mile): 0.0001 tonnes * 50 km * 0.20 kgCO2e/tkm = 0.001 kgCO2e</w:t>
      </w:r>
    </w:p>
    <w:p>
      <w:pPr>
        <w:numPr>
          <w:ilvl w:val="0"/>
          <w:numId w:val="1000"/>
        </w:numPr>
        <w:pStyle w:val="Compact"/>
      </w:pPr>
      <w:r>
        <w:rPr>
          <w:bCs/>
          <w:b/>
        </w:rPr>
        <w:t xml:space="preserve">Subtotal Downstream Transport: 0.008 kgCO2e</w:t>
      </w:r>
    </w:p>
    <w:p>
      <w:pPr>
        <w:numPr>
          <w:ilvl w:val="0"/>
          <w:numId w:val="1013"/>
        </w:numPr>
        <w:pStyle w:val="Compact"/>
      </w:pPr>
      <w:r>
        <w:rPr>
          <w:bCs/>
          <w:b/>
        </w:rPr>
        <w:t xml:space="preserve">Use Phase Emissions:</w:t>
      </w:r>
    </w:p>
    <w:p>
      <w:pPr>
        <w:numPr>
          <w:ilvl w:val="1"/>
          <w:numId w:val="1015"/>
        </w:numPr>
        <w:pStyle w:val="Compact"/>
      </w:pPr>
      <w:r>
        <w:t xml:space="preserve">Product Lifespan: 5 years (1825 days)</w:t>
      </w:r>
    </w:p>
    <w:p>
      <w:pPr>
        <w:numPr>
          <w:ilvl w:val="1"/>
          <w:numId w:val="1015"/>
        </w:numPr>
        <w:pStyle w:val="Compact"/>
      </w:pPr>
      <w:r>
        <w:t xml:space="preserve">Daily Energy Consumption: 0.005 kWh/day</w:t>
      </w:r>
    </w:p>
    <w:p>
      <w:pPr>
        <w:numPr>
          <w:ilvl w:val="1"/>
          <w:numId w:val="1015"/>
        </w:numPr>
        <w:pStyle w:val="Compact"/>
      </w:pPr>
      <w:r>
        <w:t xml:space="preserve">Total Energy Consumption: 0.005 kWh/day * 1825 days = 9.125 kWh</w:t>
      </w:r>
    </w:p>
    <w:p>
      <w:pPr>
        <w:numPr>
          <w:ilvl w:val="1"/>
          <w:numId w:val="1015"/>
        </w:numPr>
        <w:pStyle w:val="Compact"/>
      </w:pPr>
      <w:r>
        <w:t xml:space="preserve">Europe Grid Emission Factor: 0.35 kgCO2e/kWh</w:t>
      </w:r>
    </w:p>
    <w:p>
      <w:pPr>
        <w:numPr>
          <w:ilvl w:val="1"/>
          <w:numId w:val="1015"/>
        </w:numPr>
        <w:pStyle w:val="Compact"/>
      </w:pPr>
      <w:r>
        <w:rPr>
          <w:bCs/>
          <w:b/>
        </w:rPr>
        <w:t xml:space="preserve">Calculation:</w:t>
      </w:r>
      <w:r>
        <w:t xml:space="preserve"> </w:t>
      </w:r>
      <w:r>
        <w:t xml:space="preserve">9.125 kWh * 0.35 kgCO2e/kWh = 3.19375 kgCO2e</w:t>
      </w:r>
    </w:p>
    <w:p>
      <w:pPr>
        <w:numPr>
          <w:ilvl w:val="1"/>
          <w:numId w:val="1015"/>
        </w:numPr>
        <w:pStyle w:val="Compact"/>
      </w:pPr>
      <w:r>
        <w:rPr>
          <w:bCs/>
          <w:b/>
        </w:rPr>
        <w:t xml:space="preserve">Total Use Phase Emissions: 3.19375 kgCO2e</w:t>
      </w:r>
    </w:p>
    <w:p>
      <w:pPr>
        <w:numPr>
          <w:ilvl w:val="0"/>
          <w:numId w:val="1013"/>
        </w:numPr>
        <w:pStyle w:val="Compact"/>
      </w:pPr>
      <w:r>
        <w:rPr>
          <w:bCs/>
          <w:b/>
        </w:rPr>
        <w:t xml:space="preserve">End-of-Life (EoL) Emissions/Credits:</w:t>
      </w:r>
    </w:p>
    <w:p>
      <w:pPr>
        <w:numPr>
          <w:ilvl w:val="1"/>
          <w:numId w:val="1016"/>
        </w:numPr>
        <w:pStyle w:val="Compact"/>
      </w:pPr>
      <w:r>
        <w:t xml:space="preserve">Recyclability Percentage: 80%</w:t>
      </w:r>
    </w:p>
    <w:p>
      <w:pPr>
        <w:numPr>
          <w:ilvl w:val="1"/>
          <w:numId w:val="1016"/>
        </w:numPr>
        <w:pStyle w:val="Compact"/>
      </w:pPr>
      <w:r>
        <w:t xml:space="preserve">Circular/Take-back Programs: Yes</w:t>
      </w:r>
    </w:p>
    <w:p>
      <w:pPr>
        <w:numPr>
          <w:ilvl w:val="1"/>
          <w:numId w:val="1016"/>
        </w:numPr>
        <w:pStyle w:val="Compact"/>
      </w:pPr>
      <w:r>
        <w:t xml:space="preserve">Assuming a net avoided emission (credit) due to the high recyclability and established take-back programs, reflecting the displacement of virgin material production. While specific EoL factors are complex and product-specific, an illustrative credit of -0.11 kgCO2e is applied, acknowledging the environmental benefits of recycling electronics.</w:t>
      </w:r>
    </w:p>
    <w:p>
      <w:pPr>
        <w:numPr>
          <w:ilvl w:val="1"/>
          <w:numId w:val="1016"/>
        </w:numPr>
        <w:pStyle w:val="Compact"/>
      </w:pPr>
      <w:r>
        <w:rPr>
          <w:bCs/>
          <w:b/>
        </w:rPr>
        <w:t xml:space="preserve">Total End-of-Life Impact: -0.11 kgCO2e</w:t>
      </w:r>
    </w:p>
    <w:bookmarkEnd w:id="38"/>
    <w:bookmarkEnd w:id="39"/>
    <w:bookmarkStart w:id="40" w:name="summary-of-emissions-by-scope"/>
    <w:p>
      <w:pPr>
        <w:pStyle w:val="Heading3"/>
      </w:pPr>
      <w:r>
        <w:t xml:space="preserve">3.4. Summary of Emissions by Scope</w:t>
      </w:r>
    </w:p>
    <w:p>
      <w:pPr>
        <w:pStyle w:val="FirstParagraph"/>
      </w:pPr>
      <w:r>
        <w:t xml:space="preserve">A consolidated view of emissions across all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 (assumed negligible/embedded)</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consumption during manufacturing (non-renewable share)</w:t>
            </w:r>
          </w:p>
        </w:tc>
        <w:tc>
          <w:tcPr/>
          <w:p>
            <w:pPr>
              <w:pStyle w:val="Compact"/>
              <w:jc w:val="left"/>
            </w:pPr>
            <w:r>
              <w:t xml:space="preserve">0.900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extraction and processing (cradle-to-gate)</w:t>
            </w:r>
          </w:p>
        </w:tc>
        <w:tc>
          <w:tcPr/>
          <w:p>
            <w:pPr>
              <w:pStyle w:val="Compact"/>
              <w:jc w:val="left"/>
            </w:pPr>
            <w:r>
              <w:t xml:space="preserve">1.400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Main transport of finished product (sea freight)</w:t>
            </w:r>
          </w:p>
        </w:tc>
        <w:tc>
          <w:tcPr/>
          <w:p>
            <w:pPr>
              <w:pStyle w:val="Compact"/>
              <w:jc w:val="left"/>
            </w:pPr>
            <w:r>
              <w:t xml:space="preserve">0.015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Regional and last-mile delivery of finished product</w:t>
            </w:r>
          </w:p>
        </w:tc>
        <w:tc>
          <w:tcPr/>
          <w:p>
            <w:pPr>
              <w:pStyle w:val="Compact"/>
              <w:jc w:val="left"/>
            </w:pPr>
            <w:r>
              <w:t xml:space="preserve">0.008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 phase</w:t>
            </w:r>
          </w:p>
        </w:tc>
        <w:tc>
          <w:tcPr/>
          <w:p>
            <w:pPr>
              <w:pStyle w:val="Compact"/>
              <w:jc w:val="left"/>
            </w:pPr>
            <w:r>
              <w:t xml:space="preserve">3.194</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Recycling and disposal (net credit for recyclability)</w:t>
            </w:r>
          </w:p>
        </w:tc>
        <w:tc>
          <w:tcPr/>
          <w:p>
            <w:pPr>
              <w:pStyle w:val="Compact"/>
              <w:jc w:val="left"/>
            </w:pPr>
            <w:r>
              <w:t xml:space="preserve">-0.110</w:t>
            </w:r>
          </w:p>
        </w:tc>
      </w:tr>
      <w:tr>
        <w:tc>
          <w:tcPr>
            <w:gridSpan w:val="1"/>
            <w:vMerge w:val="continue"/>
          </w:tcPr>
          <w:p>
            <w:pPr/>
          </w:p>
        </w:tc>
        <w:tc>
          <w:tcPr/>
          <w:p>
            <w:pPr>
              <w:pStyle w:val="Compact"/>
              <w:jc w:val="left"/>
            </w:pPr>
            <w:r>
              <w:rPr>
                <w:bCs/>
                <w:b/>
              </w:rPr>
              <w:t xml:space="preserve">Total Scope 3 Emissions</w:t>
            </w:r>
          </w:p>
        </w:tc>
        <w:tc>
          <w:tcPr/>
          <w:p>
            <w:pPr>
              <w:pStyle w:val="Compact"/>
            </w:pPr>
          </w:p>
        </w:tc>
        <w:tc>
          <w:tcPr/>
          <w:p>
            <w:pPr>
              <w:pStyle w:val="Compact"/>
              <w:jc w:val="left"/>
            </w:pPr>
            <w:r>
              <w:rPr>
                <w:bCs/>
                <w:b/>
              </w:rPr>
              <w:t xml:space="preserve">4.507</w:t>
            </w:r>
          </w:p>
        </w:tc>
      </w:tr>
      <w:tr>
        <w:tc>
          <w:tcPr>
            <w:gridSpan w:val="3"/>
          </w:tcPr>
          <w:p>
            <w:pPr>
              <w:pStyle w:val="Compact"/>
              <w:jc w:val="right"/>
            </w:pPr>
            <w:r>
              <w:rPr>
                <w:bCs/>
                <w:b/>
              </w:rPr>
              <w:t xml:space="preserve">Total Product Carbon Footprint (PCF) for 1.0 unit of yrmffsoqkw:</w:t>
            </w:r>
          </w:p>
        </w:tc>
        <w:tc>
          <w:tcPr/>
          <w:p>
            <w:pPr>
              <w:pStyle w:val="Compact"/>
              <w:jc w:val="left"/>
            </w:pPr>
            <w:r>
              <w:rPr>
                <w:bCs/>
                <w:b/>
              </w:rPr>
              <w:t xml:space="preserve">5.407 kgCO2e</w:t>
            </w:r>
          </w:p>
        </w:tc>
      </w:tr>
    </w:tbl>
    <w:p>
      <w:r>
        <w:pict>
          <v:rect style="width:0;height:1.5pt" o:hralign="center" o:hrstd="t" o:hr="t"/>
        </w:pict>
      </w:r>
    </w:p>
    <w:bookmarkEnd w:id="40"/>
    <w:bookmarkEnd w:id="41"/>
    <w:bookmarkStart w:id="45" w:name="review-and-reporting"/>
    <w:p>
      <w:pPr>
        <w:pStyle w:val="Heading2"/>
      </w:pPr>
      <w:r>
        <w:t xml:space="preserve">4. Review and Reporting</w:t>
      </w:r>
    </w:p>
    <w:bookmarkStart w:id="42" w:name="emission-hotspots"/>
    <w:p>
      <w:pPr>
        <w:pStyle w:val="Heading3"/>
      </w:pPr>
      <w:r>
        <w:t xml:space="preserve">4.1. Emission Hotspots</w:t>
      </w:r>
    </w:p>
    <w:p>
      <w:pPr>
        <w:pStyle w:val="FirstParagraph"/>
      </w:pPr>
      <w:r>
        <w:t xml:space="preserve">The analysis identifies the following primary emission hotspots for yrmffsoqkw:</w:t>
      </w:r>
    </w:p>
    <w:p>
      <w:pPr>
        <w:numPr>
          <w:ilvl w:val="0"/>
          <w:numId w:val="1017"/>
        </w:numPr>
        <w:pStyle w:val="Compact"/>
      </w:pPr>
      <w:r>
        <w:rPr>
          <w:bCs/>
          <w:b/>
        </w:rPr>
        <w:t xml:space="preserve">Use Phase (59.1%):</w:t>
      </w:r>
      <w:r>
        <w:t xml:space="preserve"> </w:t>
      </w:r>
      <w:r>
        <w:t xml:space="preserve">The most significant contributor to the PCF is the electricity consumed during the product\'s 5-year lifespan. This highlights the importance of energy efficiency in product design and the decarbonization of electricity grids in regions of use.</w:t>
      </w:r>
    </w:p>
    <w:p>
      <w:pPr>
        <w:numPr>
          <w:ilvl w:val="0"/>
          <w:numId w:val="1017"/>
        </w:numPr>
        <w:pStyle w:val="Compact"/>
      </w:pPr>
      <w:r>
        <w:rPr>
          <w:bCs/>
          <w:b/>
        </w:rPr>
        <w:t xml:space="preserve">Raw Materials (25.9%):</w:t>
      </w:r>
      <w:r>
        <w:t xml:space="preserve"> </w:t>
      </w:r>
      <w:r>
        <w:t xml:space="preserve">The upstream impacts of materials, particularly the silicon chip and lithium-ion battery, contribute substantially. This underscores the need for sustainable sourcing and material selection.</w:t>
      </w:r>
    </w:p>
    <w:p>
      <w:pPr>
        <w:numPr>
          <w:ilvl w:val="0"/>
          <w:numId w:val="1017"/>
        </w:numPr>
        <w:pStyle w:val="Compact"/>
      </w:pPr>
      <w:r>
        <w:rPr>
          <w:bCs/>
          <w:b/>
        </w:rPr>
        <w:t xml:space="preserve">Manufacturing Energy (16.6%):</w:t>
      </w:r>
      <w:r>
        <w:t xml:space="preserve"> </w:t>
      </w:r>
      <w:r>
        <w:t xml:space="preserve">Despite 70% renewable energy usage, the remaining grid electricity consumption in China\'s manufacturing still represents a notable portion. Further increasing renewable energy procurement or transitioning to lower-carbon grids would be beneficial.</w:t>
      </w:r>
    </w:p>
    <w:p>
      <w:pPr>
        <w:numPr>
          <w:ilvl w:val="0"/>
          <w:numId w:val="1017"/>
        </w:numPr>
        <w:pStyle w:val="Compact"/>
      </w:pPr>
      <w:r>
        <w:rPr>
          <w:bCs/>
          <w:b/>
        </w:rPr>
        <w:t xml:space="preserve">End-of-Life (-2.0%):</w:t>
      </w:r>
      <w:r>
        <w:t xml:space="preserve"> </w:t>
      </w:r>
      <w:r>
        <w:t xml:space="preserve">The established circular programs and high recyclability provide a significant credit, demonstrating the positive impact of circular economy principles.</w:t>
      </w:r>
    </w:p>
    <w:bookmarkEnd w:id="42"/>
    <w:bookmarkStart w:id="43" w:name="reliability-statement"/>
    <w:p>
      <w:pPr>
        <w:pStyle w:val="Heading3"/>
      </w:pPr>
      <w:r>
        <w:t xml:space="preserve">4.2. Reliability Statement</w:t>
      </w:r>
    </w:p>
    <w:p>
      <w:pPr>
        <w:pStyle w:val="FirstParagraph"/>
      </w:pPr>
      <w:r>
        <w:t xml:space="preserve">This PCF analysis is based on the parameters and detailed BOM provided, supplemented by industry-standard emission factors from reputable sources (e.g., those typically found in Ecoinvent or DEFRA databases). While every effort has been made to ensure accuracy and comprehensive coverage (targeting &gt;95% Scope 3 coverage), the results are estimates and subject to the availability and quality of underlying data. Continuous improvement in data collection, especially for primary data across the entire supply chain, would enhance the precision of future assessments.</w:t>
      </w:r>
    </w:p>
    <w:bookmarkEnd w:id="43"/>
    <w:bookmarkStart w:id="44" w:name="recommendations-for-reduction"/>
    <w:p>
      <w:pPr>
        <w:pStyle w:val="Heading3"/>
      </w:pPr>
      <w:r>
        <w:t xml:space="preserve">4.3. Recommendations for Reduction</w:t>
      </w:r>
    </w:p>
    <w:p>
      <w:pPr>
        <w:pStyle w:val="FirstParagraph"/>
      </w:pPr>
      <w:r>
        <w:t xml:space="preserve">To further reduce the PCF of yrmffsoqkw, frtserimtu should consider:</w:t>
      </w:r>
    </w:p>
    <w:p>
      <w:pPr>
        <w:numPr>
          <w:ilvl w:val="0"/>
          <w:numId w:val="1018"/>
        </w:numPr>
        <w:pStyle w:val="Compact"/>
      </w:pPr>
      <w:r>
        <w:rPr>
          <w:bCs/>
          <w:b/>
        </w:rPr>
        <w:t xml:space="preserve">Enhance Use Phase Efficiency:</w:t>
      </w:r>
      <w:r>
        <w:t xml:space="preserve"> </w:t>
      </w:r>
      <w:r>
        <w:t xml:space="preserve">Invest in R&amp;D to minimize energy consumption during the product\'s operational lifespan. Promote consumer awareness regarding energy-efficient usage.</w:t>
      </w:r>
    </w:p>
    <w:p>
      <w:pPr>
        <w:numPr>
          <w:ilvl w:val="0"/>
          <w:numId w:val="1018"/>
        </w:numPr>
        <w:pStyle w:val="Compact"/>
      </w:pPr>
      <w:r>
        <w:rPr>
          <w:bCs/>
          <w:b/>
        </w:rPr>
        <w:t xml:space="preserve">Decarbonize Manufacturing Operations:</w:t>
      </w:r>
      <w:r>
        <w:t xml:space="preserve"> </w:t>
      </w:r>
      <w:r>
        <w:t xml:space="preserve">Increase renewable energy procurement beyond 70% at the Chinese manufacturing facility, or explore options for engaging with suppliers to switch to lower-carbon electricity sources.</w:t>
      </w:r>
    </w:p>
    <w:p>
      <w:pPr>
        <w:numPr>
          <w:ilvl w:val="0"/>
          <w:numId w:val="1018"/>
        </w:numPr>
        <w:pStyle w:val="Compact"/>
      </w:pPr>
      <w:r>
        <w:rPr>
          <w:bCs/>
          <w:b/>
        </w:rPr>
        <w:t xml:space="preserve">Engage Supply Chain for Materials:</w:t>
      </w:r>
      <w:r>
        <w:t xml:space="preserve"> </w:t>
      </w:r>
      <w:r>
        <w:t xml:space="preserve">Collaborate with material suppliers (especially for silicon chips and batteries) to identify and implement lower-carbon alternatives or processes, and encourage them to adopt renewable energy.</w:t>
      </w:r>
    </w:p>
    <w:p>
      <w:pPr>
        <w:numPr>
          <w:ilvl w:val="0"/>
          <w:numId w:val="1018"/>
        </w:numPr>
        <w:pStyle w:val="Compact"/>
      </w:pPr>
      <w:r>
        <w:rPr>
          <w:bCs/>
          <w:b/>
        </w:rPr>
        <w:t xml:space="preserve">Optimize Logistics:</w:t>
      </w:r>
      <w:r>
        <w:t xml:space="preserve"> </w:t>
      </w:r>
      <w:r>
        <w:t xml:space="preserve">Continuously evaluate and optimize transport routes and modes, prioritizing lower-emission options where feasible, and exploring opportunities for consolidated shipments.</w:t>
      </w:r>
    </w:p>
    <w:p>
      <w:pPr>
        <w:numPr>
          <w:ilvl w:val="0"/>
          <w:numId w:val="1018"/>
        </w:numPr>
        <w:pStyle w:val="Compact"/>
      </w:pPr>
      <w:r>
        <w:rPr>
          <w:bCs/>
          <w:b/>
        </w:rPr>
        <w:t xml:space="preserve">Strengthen Circularity:</w:t>
      </w:r>
      <w:r>
        <w:t xml:space="preserve"> </w:t>
      </w:r>
      <w:r>
        <w:t xml:space="preserve">Expand and promote circular economy initiatives, including take-back programs and high-value recycling, to maximize material recovery and minimize waste.</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yrmffsoqkw</dc:title>
  <dc:creator/>
  <dc:description>Detailed Product Carbon Footprint (PCF) analysis report for yrmffsoqkw by frtserimtu, following GHG Protocol standards.</dc:description>
  <dc:language>en</dc:language>
  <cp:keywords/>
  <dcterms:created xsi:type="dcterms:W3CDTF">2026-07-15T19:08:35Z</dcterms:created>
  <dcterms:modified xsi:type="dcterms:W3CDTF">2026-07-15T19:08:35Z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